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E79"/>
          <w:sz w:val="34"/>
        </w:rPr>
        <w:t>FICHE 12 : LA MODIFICATION DE LA RELATION DE TRAVAIL</w:t>
      </w:r>
    </w:p>
    <w:p/>
    <w:p>
      <w:pPr>
        <w:pStyle w:val="Heading2"/>
      </w:pPr>
      <w:r>
        <w:rPr>
          <w:b/>
          <w:color w:val="2F5496"/>
          <w:sz w:val="24"/>
        </w:rPr>
        <w:t>I • LA MODIFICATION DE LA SITUATION JURIDIQUE DU SALARIÉ</w:t>
      </w:r>
    </w:p>
    <w:p>
      <w:pPr>
        <w:pStyle w:val="Heading2"/>
      </w:pPr>
      <w:r>
        <w:rPr>
          <w:b/>
          <w:color w:val="BF5700"/>
          <w:sz w:val="24"/>
        </w:rPr>
        <w:t>A • LA MODIFICATION DES CONDITIONS DE TRAVAIL</w:t>
      </w:r>
    </w:p>
    <w:p>
      <w:r>
        <w:rPr>
          <w:b w:val="0"/>
          <w:color w:val="BF5700"/>
          <w:sz w:val="22"/>
        </w:rPr>
        <w:t>Les conditions de travail relèvent du pouvoir de direction de l'employeur. Il s'agit de la plupart des décisions qui se</w:t>
      </w:r>
    </w:p>
    <w:p>
      <w:r>
        <w:rPr>
          <w:b w:val="0"/>
          <w:color w:val="BF5700"/>
          <w:sz w:val="22"/>
        </w:rPr>
        <w:t>rapportent à l'organisation du travail comme une modification peu importante des horaires collectifs, ou une mutation</w:t>
      </w:r>
    </w:p>
    <w:p>
      <w:r>
        <w:rPr>
          <w:b w:val="0"/>
          <w:color w:val="BF5700"/>
          <w:sz w:val="22"/>
        </w:rPr>
        <w:t>à un poste sensiblement identique n'entraînant pas de modification réelle du contrat de travail (rémunération</w:t>
      </w:r>
    </w:p>
    <w:p>
      <w:r>
        <w:rPr>
          <w:b w:val="0"/>
          <w:color w:val="BF5700"/>
          <w:sz w:val="22"/>
        </w:rPr>
        <w:t>55</w:t>
      </w:r>
    </w:p>
    <w:p>
      <w:r>
        <w:rPr>
          <w:b w:val="0"/>
          <w:color w:val="BF5700"/>
          <w:sz w:val="22"/>
        </w:rPr>
        <w:t>éditions Corroy à 4 rue de Villars, 42000 Saint-etienne à 04 77 79 92 46 à infos@editions-corroy.fr</w:t>
      </w:r>
    </w:p>
    <w:p>
      <w:r>
        <w:rPr>
          <w:b w:val="0"/>
          <w:color w:val="BF5700"/>
          <w:sz w:val="22"/>
        </w:rPr>
        <w:t>Exercice</w:t>
      </w:r>
    </w:p>
    <w:p>
      <w:r>
        <w:rPr>
          <w:b w:val="0"/>
          <w:color w:val="BF5700"/>
          <w:sz w:val="22"/>
        </w:rPr>
        <w:t>correspondant</w:t>
      </w:r>
    </w:p>
    <w:p>
      <w:r>
        <w:rPr>
          <w:b w:val="0"/>
          <w:color w:val="BF5700"/>
          <w:sz w:val="22"/>
        </w:rPr>
        <w:t>LA BOÎTE à BONBONS : Modi?cation des conditions de travail, modi?cation du contrat de travail, conséquences</w:t>
      </w:r>
    </w:p>
    <w:p>
      <w:r>
        <w:rPr>
          <w:b w:val="0"/>
          <w:color w:val="BF5700"/>
          <w:sz w:val="22"/>
        </w:rPr>
        <w:t>pour le salarié et obligations de l'employeur, modi?cation de la situation juridique de l'employeur, effets sur les</w:t>
      </w:r>
    </w:p>
    <w:p>
      <w:r>
        <w:rPr>
          <w:b w:val="0"/>
          <w:color w:val="BF5700"/>
          <w:sz w:val="22"/>
        </w:rPr>
        <w:t>contrats de travail, suspension du contrat pour maladie non professionnelle, contrôle de l'arrêt maladie.</w:t>
      </w:r>
    </w:p>
    <w:p>
      <w:pPr>
        <w:pStyle w:val="Heading2"/>
      </w:pPr>
      <w:r>
        <w:rPr>
          <w:b/>
          <w:color w:val="2F5496"/>
          <w:sz w:val="24"/>
        </w:rPr>
        <w:t>DCGUE3F.qxp_DCGUE3F 24/07/2025 10:26 Page 55</w:t>
      </w:r>
    </w:p>
    <w:p>
      <w:r>
        <w:rPr>
          <w:b w:val="0"/>
          <w:color w:val="000000"/>
          <w:sz w:val="22"/>
        </w:rPr>
        <w:t>semblable, contraintes identiques) la réalisation d'heures supplémentairesé à noter qu'un accord collectif instituant</w:t>
      </w:r>
    </w:p>
    <w:p>
      <w:r>
        <w:rPr>
          <w:b w:val="0"/>
          <w:color w:val="000000"/>
          <w:sz w:val="22"/>
        </w:rPr>
        <w:t>un aménagement du temps de travail ne constitue pas une modification du contrat de travail (art 3122-6 c.trav).</w:t>
      </w:r>
    </w:p>
    <w:p>
      <w:r>
        <w:rPr>
          <w:b w:val="0"/>
          <w:color w:val="000000"/>
          <w:sz w:val="22"/>
        </w:rPr>
        <w:t>Par conséquent c'est en vertu des pouvoirs que la loi confère à l'employeur que ce dernier peut ?</w:t>
      </w:r>
    </w:p>
    <w:p>
      <w:r>
        <w:rPr>
          <w:b w:val="0"/>
          <w:color w:val="000000"/>
          <w:sz w:val="22"/>
        </w:rPr>
        <w:t>unilatéralement imposer toute modification relative aux modalités d'exécution du contrat de travail.</w:t>
      </w:r>
    </w:p>
    <w:p>
      <w:r>
        <w:rPr>
          <w:b w:val="0"/>
          <w:color w:val="000000"/>
          <w:sz w:val="22"/>
        </w:rPr>
        <w:t>De fait le refus du salarié peut être considéré comme un acte d'insubordination justifiant son licenciement. Néanmoins,</w:t>
      </w:r>
    </w:p>
    <w:p>
      <w:r>
        <w:rPr>
          <w:b w:val="0"/>
          <w:color w:val="000000"/>
          <w:sz w:val="22"/>
        </w:rPr>
        <w:t>il ne constitue pas à lui seul une faute grave (Cass. soc. 28 avril 2011, Cass. soc. 20 nov. 2013). à noter enfin qu'une</w:t>
      </w:r>
    </w:p>
    <w:p>
      <w:r>
        <w:rPr>
          <w:b w:val="0"/>
          <w:color w:val="BF5700"/>
          <w:sz w:val="22"/>
        </w:rPr>
        <w:t>modification des conditions de travail d'un salarié protège nécessite son accord.</w:t>
      </w:r>
    </w:p>
    <w:p>
      <w:pPr>
        <w:pStyle w:val="Heading2"/>
      </w:pPr>
      <w:r>
        <w:rPr>
          <w:b/>
          <w:color w:val="2F5496"/>
          <w:sz w:val="24"/>
        </w:rPr>
        <w:t>B • LA MODIFICATION DU CONTRAT DE TRAVAIL</w:t>
      </w:r>
    </w:p>
    <w:p>
      <w:pPr>
        <w:pStyle w:val="Heading2"/>
      </w:pPr>
      <w:r>
        <w:rPr>
          <w:b/>
          <w:color w:val="2F5496"/>
          <w:sz w:val="24"/>
        </w:rPr>
        <w:t>APPRÉCIATION DE LA MODIFICATION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La modification du contrat de travail porte sur un élément essentiel par nature du contrat de travail, ou sur un élément</w:t>
      </w:r>
    </w:p>
    <w:p>
      <w:r>
        <w:rPr>
          <w:b w:val="0"/>
          <w:color w:val="000000"/>
          <w:sz w:val="22"/>
        </w:rPr>
        <w:t>déterminant pour les parties à la conclusion du contrat. L'intérêt essentiel est que toute modification du contrat suppose</w:t>
      </w:r>
    </w:p>
    <w:p>
      <w:r>
        <w:rPr>
          <w:b w:val="0"/>
          <w:color w:val="000000"/>
          <w:sz w:val="22"/>
        </w:rPr>
        <w:t>l'accord préalable du salarié.</w:t>
      </w:r>
    </w:p>
    <w:p>
      <w:r>
        <w:rPr>
          <w:b w:val="0"/>
          <w:color w:val="000000"/>
          <w:sz w:val="22"/>
        </w:rPr>
        <w:t>Sont considérées comme une modification du contrat de travail, les modifications portant sur :</w:t>
      </w:r>
    </w:p>
    <w:p>
      <w:pPr>
        <w:pStyle w:val="ListBullet"/>
      </w:pPr>
      <w:r>
        <w:rPr>
          <w:b w:val="0"/>
          <w:color w:val="000000"/>
          <w:sz w:val="22"/>
        </w:rPr>
        <w:t>la rémunération (Cass. soc. 6 octobre 2010 ; Cass. soc. 17 janvier 2017) ;</w:t>
      </w:r>
    </w:p>
    <w:p>
      <w:pPr>
        <w:pStyle w:val="ListBullet"/>
      </w:pPr>
      <w:r>
        <w:rPr>
          <w:b w:val="0"/>
          <w:color w:val="000000"/>
          <w:sz w:val="22"/>
        </w:rPr>
        <w:t>la fonction et la qualification ;</w:t>
      </w:r>
    </w:p>
    <w:p>
      <w:pPr>
        <w:pStyle w:val="ListBullet"/>
      </w:pPr>
      <w:r>
        <w:rPr>
          <w:b w:val="0"/>
          <w:color w:val="000000"/>
          <w:sz w:val="22"/>
        </w:rPr>
        <w:t>le changement de la durée du travail ;</w:t>
      </w:r>
    </w:p>
    <w:p>
      <w:pPr>
        <w:pStyle w:val="ListBullet"/>
      </w:pPr>
      <w:r>
        <w:rPr>
          <w:b w:val="0"/>
          <w:color w:val="000000"/>
          <w:sz w:val="22"/>
        </w:rPr>
        <w:t>la modification importante de l'horaire de travail ;</w:t>
      </w:r>
    </w:p>
    <w:p>
      <w:pPr>
        <w:pStyle w:val="ListBullet"/>
      </w:pPr>
      <w:r>
        <w:rPr>
          <w:b w:val="0"/>
          <w:color w:val="000000"/>
          <w:sz w:val="22"/>
        </w:rPr>
        <w:t>le passage d'un horaire de nuit à un horaire de jour (Cass. soc. 4 mai 2017) ;</w:t>
      </w:r>
    </w:p>
    <w:p>
      <w:pPr>
        <w:pStyle w:val="ListBullet"/>
      </w:pPr>
      <w:r>
        <w:rPr>
          <w:b w:val="0"/>
          <w:color w:val="000000"/>
          <w:sz w:val="22"/>
        </w:rPr>
        <w:t>l'appauvrissement des missions et des responsabilités (Cass. soc. 29 janvier 2014) ;</w:t>
      </w:r>
    </w:p>
    <w:p>
      <w:pPr>
        <w:pStyle w:val="ListBullet"/>
      </w:pPr>
      <w:r>
        <w:rPr>
          <w:b w:val="0"/>
          <w:color w:val="000000"/>
          <w:sz w:val="22"/>
        </w:rPr>
        <w:t>ou encore, la réduction du périmètre de prospection pouvant avoir des incidences sur la rémunération (Cass. soc. 12 février 2015).</w:t>
      </w:r>
    </w:p>
    <w:p>
      <w:r>
        <w:rPr>
          <w:b w:val="0"/>
          <w:color w:val="000000"/>
          <w:sz w:val="22"/>
        </w:rPr>
        <w:t>Sur ce point, la mention du lieu de travail dans le contrat n'a qu'une valeur d'information. Des lors, l'employeur peut le modifier</w:t>
      </w:r>
    </w:p>
    <w:p>
      <w:r>
        <w:rPr>
          <w:b w:val="0"/>
          <w:color w:val="00703C"/>
          <w:sz w:val="22"/>
        </w:rPr>
        <w:t>si le changement s'opère dans le même secteur géographique (cette notion doit être appréciée à travers différents critères : la</w:t>
      </w:r>
    </w:p>
    <w:p>
      <w:r>
        <w:rPr>
          <w:b w:val="0"/>
          <w:color w:val="000000"/>
          <w:sz w:val="22"/>
        </w:rPr>
        <w:t>distance séparant l'ancien et le nouveau lieu de travail, l'existence d'un bassin d'emploi, les facilités d'accès au nouveau lieu de</w:t>
      </w:r>
    </w:p>
    <w:p>
      <w:r>
        <w:rPr>
          <w:b w:val="0"/>
          <w:color w:val="00703C"/>
          <w:sz w:val="22"/>
        </w:rPr>
        <w:t>travail (Cass. soc. 25 janvier 2006). Par trois arrêts du 5 mai 2012, la Cour de cassation a précise plus encore cette notion en</w:t>
      </w:r>
    </w:p>
    <w:p>
      <w:r>
        <w:rPr>
          <w:b w:val="0"/>
          <w:color w:val="000000"/>
          <w:sz w:val="22"/>
        </w:rPr>
        <w:t>considérant qu'est situé dans un même secteur géographique le changement de lieu de travail impose au salarié :</w:t>
      </w:r>
    </w:p>
    <w:p>
      <w:pPr>
        <w:pStyle w:val="ListBullet"/>
      </w:pPr>
      <w:r>
        <w:rPr>
          <w:b w:val="0"/>
          <w:color w:val="000000"/>
          <w:sz w:val="22"/>
        </w:rPr>
        <w:t>dans l'agglomération parisienne disposant de plusieurs moyens de transport collectif, des lors que la distance qui sépare</w:t>
      </w:r>
    </w:p>
    <w:p>
      <w:r>
        <w:rPr>
          <w:b w:val="0"/>
          <w:color w:val="000000"/>
          <w:sz w:val="22"/>
        </w:rPr>
        <w:t>l'ancien du nouveau lieu de travail est de 32 km, ce qui correspond à un temps de trajet de 34 minutes ;</w:t>
      </w:r>
    </w:p>
    <w:p>
      <w:pPr>
        <w:pStyle w:val="ListBullet"/>
      </w:pPr>
      <w:r>
        <w:rPr>
          <w:b w:val="0"/>
          <w:color w:val="000000"/>
          <w:sz w:val="22"/>
        </w:rPr>
        <w:t>hors agglomération parisienne, le nouveau lieu de travail distant de 19 kilomètres du précédent, peu importent la distance qui</w:t>
      </w:r>
    </w:p>
    <w:p>
      <w:r>
        <w:rPr>
          <w:b w:val="0"/>
          <w:color w:val="000000"/>
          <w:sz w:val="22"/>
        </w:rPr>
        <w:t>sépare le domicile du salarié de son nouveau lieu de travail et la présence ou non de moyens de transport collectif.</w:t>
      </w:r>
    </w:p>
    <w:p>
      <w:r>
        <w:rPr>
          <w:b w:val="0"/>
          <w:color w:val="000000"/>
          <w:sz w:val="22"/>
        </w:rPr>
        <w:t>De même, s'il existe une clause de mobilité, il faut considérer que le salarié s'est engagé par avance à accepter une modification</w:t>
      </w:r>
    </w:p>
    <w:p>
      <w:r>
        <w:rPr>
          <w:b w:val="0"/>
          <w:color w:val="000000"/>
          <w:sz w:val="22"/>
        </w:rPr>
        <w:t>de son lieu de travail.</w:t>
      </w:r>
    </w:p>
    <w:p>
      <w:pPr>
        <w:pStyle w:val="Heading2"/>
      </w:pPr>
      <w:r>
        <w:rPr>
          <w:b/>
          <w:color w:val="2F5496"/>
          <w:sz w:val="24"/>
        </w:rPr>
        <w:t>MISE EN OUVRE DE LA MODIFICATION DU CONTRAT DE TRAVAIL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BF5700"/>
          <w:sz w:val="22"/>
        </w:rPr>
        <w:t>La procédure est différente selon que la modification repose sur un motif économique ou sur un motif personnel.</w:t>
      </w:r>
    </w:p>
    <w:p>
      <w:r>
        <w:rPr>
          <w:b w:val="0"/>
          <w:color w:val="BF5700"/>
          <w:sz w:val="22"/>
        </w:rPr>
        <w:t>En cas de modification pour motif économique, l'employeur est tenu de respecter une procédure légale décrite à l'article L</w:t>
      </w:r>
    </w:p>
    <w:p>
      <w:r>
        <w:rPr>
          <w:b w:val="0"/>
          <w:color w:val="000000"/>
          <w:sz w:val="22"/>
        </w:rPr>
        <w:t>1222-6 du Code du travail. Le projet de modification du contrat est notifié au salarié par lettre recommandée avec AR. Le</w:t>
      </w:r>
    </w:p>
    <w:p>
      <w:r>
        <w:rPr>
          <w:b w:val="0"/>
          <w:color w:val="BF5700"/>
          <w:sz w:val="22"/>
        </w:rPr>
        <w:t>motif économique doit y être clairement précise. Le salarié dispose du délai d'un mois pour accepter ou refuser le projet qui</w:t>
      </w:r>
    </w:p>
    <w:p>
      <w:r>
        <w:rPr>
          <w:b w:val="0"/>
          <w:color w:val="000000"/>
          <w:sz w:val="22"/>
        </w:rPr>
        <w:t>lui est soumis. L'absence de réponse vaut acceptation, mais l'employeur ne pourra s'en prévaloir si le projet de modification</w:t>
      </w:r>
    </w:p>
    <w:p>
      <w:r>
        <w:rPr>
          <w:b w:val="0"/>
          <w:color w:val="000000"/>
          <w:sz w:val="22"/>
        </w:rPr>
        <w:t>ne comportait aucun motif ou un motif imprécis. En cas de refus, l'employeur peut, soit abandonner son projet, soit mettre</w:t>
      </w:r>
    </w:p>
    <w:p>
      <w:r>
        <w:rPr>
          <w:b w:val="0"/>
          <w:color w:val="BF5700"/>
          <w:sz w:val="22"/>
        </w:rPr>
        <w:t>en ouvre la procédure de licenciement pour motif économique à condition qu'il réponde aux critères de la loi.</w:t>
      </w:r>
    </w:p>
    <w:p>
      <w:r>
        <w:rPr>
          <w:b w:val="0"/>
          <w:color w:val="BF5700"/>
          <w:sz w:val="22"/>
        </w:rPr>
        <w:t>En cas de modification pour motif personnel, l'employeur est dispense de toute procédure spécifique. Il doit donc</w:t>
      </w:r>
    </w:p>
    <w:p>
      <w:r>
        <w:rPr>
          <w:b w:val="0"/>
          <w:color w:val="000000"/>
          <w:sz w:val="22"/>
        </w:rPr>
        <w:t>s'assurer de l'acceptation ou du refus du salarié. Dans ce dernier cas, il peut renoncer à la modification ou mettre en ouvre</w:t>
      </w:r>
    </w:p>
    <w:p>
      <w:r>
        <w:rPr>
          <w:b w:val="0"/>
          <w:color w:val="BF5700"/>
          <w:sz w:val="22"/>
        </w:rPr>
        <w:t>la procédure de licenciement pour motif personnel. Bien que non fautif, le licenciement devra évidemment reposer sur une</w:t>
      </w:r>
    </w:p>
    <w:p>
      <w:r>
        <w:rPr>
          <w:b w:val="0"/>
          <w:color w:val="000000"/>
          <w:sz w:val="22"/>
        </w:rPr>
        <w:t>cause réelle et sérieuse autre que le refus du salarié (Cass. soc. 11 juillet 2018).</w:t>
      </w:r>
    </w:p>
    <w:p>
      <w:pPr>
        <w:pStyle w:val="Heading2"/>
      </w:pPr>
      <w:r>
        <w:rPr>
          <w:b/>
          <w:color w:val="2F5496"/>
          <w:sz w:val="24"/>
        </w:rPr>
        <w:t>II • LA MODIFICATION DE LA SITUATION JURIDIQUE DE L'EMPLOYEUR</w:t>
      </w:r>
    </w:p>
    <w:p>
      <w:pPr>
        <w:pStyle w:val="Heading2"/>
      </w:pPr>
      <w:r>
        <w:rPr>
          <w:b/>
          <w:color w:val="BF5700"/>
          <w:sz w:val="24"/>
        </w:rPr>
        <w:t>A • LE PRINCIPE</w:t>
      </w:r>
    </w:p>
    <w:p>
      <w:r>
        <w:rPr>
          <w:b w:val="0"/>
          <w:color w:val="BF5700"/>
          <w:sz w:val="22"/>
        </w:rPr>
        <w:t>Il est pose à l'article L 1224-1 du code du travail qui dispose : à S'il survient une modification dans la situation juridique de</w:t>
      </w:r>
    </w:p>
    <w:p>
      <w:r>
        <w:rPr>
          <w:b w:val="0"/>
          <w:color w:val="BF5700"/>
          <w:sz w:val="22"/>
        </w:rPr>
        <w:t>l'employeur, notamment par succession, vente, fusion, transformation du fonds, mise en société, tous les contrats de travail en</w:t>
      </w:r>
    </w:p>
    <w:p>
      <w:r>
        <w:rPr>
          <w:b w:val="0"/>
          <w:color w:val="BF5700"/>
          <w:sz w:val="22"/>
        </w:rPr>
        <w:t>cours au jour de la modification subsistent entre le nouvel employeur et le personnel de l'entreprise à.</w:t>
      </w:r>
    </w:p>
    <w:p>
      <w:r>
        <w:rPr>
          <w:b w:val="0"/>
          <w:color w:val="BF5700"/>
          <w:sz w:val="22"/>
        </w:rPr>
        <w:t>Cet article appelle deux remarques : d'une part la liste n'est pas limitative tel que le suggère l'adverbe à notamment à,</w:t>
      </w:r>
    </w:p>
    <w:p>
      <w:r>
        <w:rPr>
          <w:b w:val="0"/>
          <w:color w:val="BF5700"/>
          <w:sz w:val="22"/>
        </w:rPr>
        <w:t>d'autre part le principe à vocation à s'appliquer à toute entité économique autonome transférée dont l'existence et</w:t>
      </w:r>
    </w:p>
    <w:p>
      <w:r>
        <w:rPr>
          <w:b w:val="0"/>
          <w:color w:val="BF5700"/>
          <w:sz w:val="22"/>
        </w:rPr>
        <w:t>l'identité sont maintenues, c'est-à-dire fonctionne dans des conditions analogues à la précédente.</w:t>
      </w:r>
    </w:p>
    <w:p>
      <w:pPr>
        <w:pStyle w:val="Heading2"/>
      </w:pPr>
      <w:r>
        <w:rPr>
          <w:b/>
          <w:color w:val="2F5496"/>
          <w:sz w:val="24"/>
        </w:rPr>
        <w:t>B • LES EFFETS SUR LA RELATION DE TRAVAIL</w:t>
      </w:r>
    </w:p>
    <w:p>
      <w:pPr>
        <w:pStyle w:val="Heading2"/>
      </w:pPr>
      <w:r>
        <w:rPr>
          <w:b/>
          <w:color w:val="2F5496"/>
          <w:sz w:val="24"/>
        </w:rPr>
        <w:t>LE MAINTIEN DES CONTRATS DE TRAVAIL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Quelle que soit leur nature, à durée déterminée ou indéterminée, contrats d'apprentissage, de professionnalisationé</w:t>
      </w:r>
    </w:p>
    <w:p>
      <w:r>
        <w:rPr>
          <w:b w:val="0"/>
          <w:color w:val="000000"/>
          <w:sz w:val="22"/>
        </w:rPr>
        <w:t>tous les contrats de travail subsistent avec le nouvel employeur. Il y a donc transfert de plein droit de l'ancien employeur</w:t>
      </w:r>
    </w:p>
    <w:p>
      <w:r>
        <w:rPr>
          <w:b w:val="0"/>
          <w:color w:val="000000"/>
          <w:sz w:val="22"/>
        </w:rPr>
        <w:t>vers le nouvel employeur de l'ensemble des contrats antérieurement conclus. Cette opération de transfert vaut pour</w:t>
      </w:r>
    </w:p>
    <w:p>
      <w:r>
        <w:rPr>
          <w:b w:val="0"/>
          <w:color w:val="BF5700"/>
          <w:sz w:val="22"/>
        </w:rPr>
        <w:t>tous les éléments du contrat (rémunération, ancienneté, classification, fonctione). à noter que lorsque les conditions</w:t>
      </w:r>
    </w:p>
    <w:p>
      <w:r>
        <w:rPr>
          <w:b w:val="0"/>
          <w:color w:val="000000"/>
          <w:sz w:val="22"/>
        </w:rPr>
        <w:t>ne sont pas réunies, le transfert du contrat de travail vers une autre entreprise s'analyse en une modification du contrat</w:t>
      </w:r>
    </w:p>
    <w:p>
      <w:r>
        <w:rPr>
          <w:b w:val="0"/>
          <w:color w:val="000000"/>
          <w:sz w:val="22"/>
        </w:rPr>
        <w:t>nécessitant l'accord du salarié (Cass. soc. 25 septembre 2024).</w:t>
      </w:r>
    </w:p>
    <w:p>
      <w:pPr>
        <w:pStyle w:val="Heading2"/>
      </w:pPr>
      <w:r>
        <w:rPr>
          <w:b/>
          <w:color w:val="2F5496"/>
          <w:sz w:val="24"/>
        </w:rPr>
        <w:t>NULLITÉ DES LICENCIEMENTS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C00000"/>
          <w:sz w:val="22"/>
        </w:rPr>
        <w:t>Tout licenciement ayant pour objet d'écarter la continuation des contrats est frappe de nullité, sauf cas particulier par</w:t>
      </w:r>
    </w:p>
    <w:p>
      <w:r>
        <w:rPr>
          <w:b w:val="0"/>
          <w:color w:val="BF5700"/>
          <w:sz w:val="22"/>
        </w:rPr>
        <w:t>exemple : procédure de sauvegarde, redressement ou liquidation judiciaire.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