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16 : LA RUPTURE CONVENTIONNELLE</w:t>
      </w:r>
    </w:p>
    <w:p/>
    <w:p>
      <w:pPr>
        <w:pStyle w:val="Heading2"/>
      </w:pPr>
      <w:r>
        <w:rPr>
          <w:b/>
          <w:color w:val="2F5496"/>
          <w:sz w:val="24"/>
        </w:rPr>
        <w:t>A • LES FONDEMENTS</w:t>
      </w:r>
    </w:p>
    <w:p>
      <w:r>
        <w:rPr>
          <w:b w:val="0"/>
          <w:color w:val="000000"/>
          <w:sz w:val="22"/>
        </w:rPr>
        <w:t>En dehors des cas de rupture encadrés par la loi, et jusqu'à la loi du 25 juin 2008, l'employeur et le salarié pouvaient</w:t>
      </w:r>
    </w:p>
    <w:p>
      <w:r>
        <w:rPr>
          <w:b w:val="0"/>
          <w:color w:val="000000"/>
          <w:sz w:val="22"/>
        </w:rPr>
        <w:t>rompre le contrat de travail d'un commun accord. La rupture amiable est ainsi une forme négociée de rupture du contrat</w:t>
      </w:r>
    </w:p>
    <w:p>
      <w:r>
        <w:rPr>
          <w:b w:val="0"/>
          <w:color w:val="00703C"/>
          <w:sz w:val="22"/>
        </w:rPr>
        <w:t>de travail. Les parties, employeur et salariés, conviennent ensemble de mettre fin à la relation de travail. Il s'agit de la</w:t>
      </w:r>
    </w:p>
    <w:p>
      <w:r>
        <w:rPr>
          <w:b w:val="0"/>
          <w:color w:val="BF5700"/>
          <w:sz w:val="22"/>
        </w:rPr>
        <w:t>stricte application d'un principe de droit commun tire de l'article 1134 du Code civil : à Les conventions légalement</w:t>
      </w:r>
    </w:p>
    <w:p>
      <w:r>
        <w:rPr>
          <w:b w:val="0"/>
          <w:color w:val="000000"/>
          <w:sz w:val="22"/>
        </w:rPr>
        <w:t>formées tiennent lieu de loi à ceux qui les ont faites. Elles ne peuvent être révoquées que de leur consentement mutuel,</w:t>
      </w:r>
    </w:p>
    <w:p>
      <w:r>
        <w:rPr>
          <w:b w:val="0"/>
          <w:color w:val="BF5700"/>
          <w:sz w:val="22"/>
        </w:rPr>
        <w:t>ou pour les causes que la loi autorise. Elles doivent être exécutées de bonne foi à.</w:t>
      </w:r>
    </w:p>
    <w:p>
      <w:r>
        <w:rPr>
          <w:b w:val="0"/>
          <w:color w:val="000000"/>
          <w:sz w:val="22"/>
        </w:rPr>
        <w:t>C'est par ailleurs, bien que légalement prévue, cette possibilité qui est retenue pour certains contrats, comme le contrat</w:t>
      </w:r>
    </w:p>
    <w:p>
      <w:r>
        <w:rPr>
          <w:b w:val="0"/>
          <w:color w:val="000000"/>
          <w:sz w:val="22"/>
        </w:rPr>
        <w:t>d'apprentissage, ou le contrat à durée déterminé.</w:t>
      </w:r>
    </w:p>
    <w:p>
      <w:r>
        <w:rPr>
          <w:b w:val="0"/>
          <w:color w:val="000000"/>
          <w:sz w:val="22"/>
        </w:rPr>
        <w:t>Elle peut être fondée soit sur un motif personnel, soit résulter d'un motif économique mais n'étant pas considérée</w:t>
      </w:r>
    </w:p>
    <w:p>
      <w:r>
        <w:rPr>
          <w:b w:val="0"/>
          <w:color w:val="000000"/>
          <w:sz w:val="22"/>
        </w:rPr>
        <w:t>comme un licenciement elle n'ouvre pas droit aux indemnités légales de licenciement. Néanmoins cette rupture</w:t>
      </w:r>
    </w:p>
    <w:p>
      <w:r>
        <w:rPr>
          <w:b w:val="0"/>
          <w:color w:val="BF5700"/>
          <w:sz w:val="22"/>
        </w:rPr>
        <w:t>amiable n'assure aucune protection du salarié, ni dans la procédure, ni dans les indemnités qui peuvent lui être allouées.</w:t>
      </w:r>
    </w:p>
    <w:p>
      <w:r>
        <w:rPr>
          <w:b w:val="0"/>
          <w:color w:val="000000"/>
          <w:sz w:val="22"/>
        </w:rPr>
        <w:t>C'est la raison pour laquelle le législateur, par la loi portant à modernisation du marché du travail à, a introduit dans le</w:t>
      </w:r>
    </w:p>
    <w:p>
      <w:r>
        <w:rPr>
          <w:b w:val="0"/>
          <w:color w:val="000000"/>
          <w:sz w:val="22"/>
        </w:rPr>
        <w:t>code du travail un nouveau mode de rupture aux articles L 1237-11 à 1237-16.</w:t>
      </w:r>
    </w:p>
    <w:p>
      <w:pPr>
        <w:pStyle w:val="Heading2"/>
      </w:pPr>
      <w:r>
        <w:rPr>
          <w:b/>
          <w:color w:val="2F5496"/>
          <w:sz w:val="24"/>
        </w:rPr>
        <w:t>B • CHAMP D'APPLICATION</w:t>
      </w:r>
    </w:p>
    <w:p>
      <w:r>
        <w:rPr>
          <w:b w:val="0"/>
          <w:color w:val="BF5700"/>
          <w:sz w:val="22"/>
        </w:rPr>
        <w:t>Dans les principes, la rupture conventionnelle s'apparente à la rupture amiable. Le code du travail dispose ainsi : à</w:t>
      </w:r>
    </w:p>
    <w:p>
      <w:r>
        <w:rPr>
          <w:b w:val="0"/>
          <w:color w:val="BF5700"/>
          <w:sz w:val="22"/>
        </w:rPr>
        <w:t>L'employeur et le salarié peuvent convenir en commun des conditions de la rupture du contrat de travail qui les lie à.</w:t>
      </w:r>
    </w:p>
    <w:p>
      <w:r>
        <w:rPr>
          <w:b w:val="0"/>
          <w:color w:val="BF5700"/>
          <w:sz w:val="22"/>
        </w:rPr>
        <w:t>Mais le législateur ne s'est pas contente de traduire dans le code du travail un principe de droit civil. Il a en effet, introduit</w:t>
      </w:r>
    </w:p>
    <w:p>
      <w:r>
        <w:rPr>
          <w:b w:val="0"/>
          <w:color w:val="000000"/>
          <w:sz w:val="22"/>
        </w:rPr>
        <w:t>un véritable régime juridique permettant d'encadrer cette modalité de rupture du contrat de travail.</w:t>
      </w:r>
    </w:p>
    <w:p>
      <w:r>
        <w:rPr>
          <w:b w:val="0"/>
          <w:color w:val="000000"/>
          <w:sz w:val="22"/>
        </w:rPr>
        <w:t>En premier lieu, elle n'est pas autorisée pour les ruptures résultant :</w:t>
      </w:r>
    </w:p>
    <w:p>
      <w:pPr>
        <w:pStyle w:val="ListBullet"/>
      </w:pPr>
      <w:r>
        <w:rPr>
          <w:b w:val="0"/>
          <w:color w:val="BF5700"/>
          <w:sz w:val="22"/>
        </w:rPr>
        <w:t>des accords collectifs de gestion prévisionnelle des emplois et des compétences dans les conditions définies par</w:t>
      </w:r>
    </w:p>
    <w:p>
      <w:r>
        <w:rPr>
          <w:b w:val="0"/>
          <w:color w:val="000000"/>
          <w:sz w:val="22"/>
        </w:rPr>
        <w:t>l'article L. 2242-15 ;</w:t>
      </w:r>
    </w:p>
    <w:p>
      <w:pPr>
        <w:pStyle w:val="ListBullet"/>
      </w:pPr>
      <w:r>
        <w:rPr>
          <w:b w:val="0"/>
          <w:color w:val="BF5700"/>
          <w:sz w:val="22"/>
        </w:rPr>
        <w:t>des plans de sauvegarde de l'emploi dans les conditions définies par l'article L. 1233-61.</w:t>
      </w:r>
    </w:p>
    <w:p>
      <w:r>
        <w:rPr>
          <w:b w:val="0"/>
          <w:color w:val="000000"/>
          <w:sz w:val="22"/>
        </w:rPr>
        <w:t>D'autre part :</w:t>
      </w:r>
    </w:p>
    <w:p>
      <w:pPr>
        <w:pStyle w:val="ListBullet"/>
      </w:pPr>
      <w:r>
        <w:rPr>
          <w:b w:val="0"/>
          <w:color w:val="BF5700"/>
          <w:sz w:val="22"/>
        </w:rPr>
        <w:t>elle ne doit pas avoir pour effet de contourner les règles relatives aux licenciements économiques. Ainsi l'employeur</w:t>
      </w:r>
    </w:p>
    <w:p>
      <w:r>
        <w:rPr>
          <w:b w:val="0"/>
          <w:color w:val="BF5700"/>
          <w:sz w:val="22"/>
        </w:rPr>
        <w:t>ne peut utiliser cette procédure pour échapper à son obligation de reclassement.</w:t>
      </w:r>
    </w:p>
    <w:p>
      <w:pPr>
        <w:pStyle w:val="ListBullet"/>
      </w:pPr>
      <w:r>
        <w:rPr>
          <w:b w:val="0"/>
          <w:color w:val="000000"/>
          <w:sz w:val="22"/>
        </w:rPr>
        <w:t>les salariés protégés s'ils sont admissibles à la rupture conventionnelle, bénéficient toujours de garanties</w:t>
      </w:r>
    </w:p>
    <w:p>
      <w:r>
        <w:rPr>
          <w:b w:val="0"/>
          <w:color w:val="BF5700"/>
          <w:sz w:val="22"/>
        </w:rPr>
        <w:t>spécifiques. Ainsi, l'autorisation de l'inspecteur du travail reste toujours nécessaire.</w:t>
      </w:r>
    </w:p>
    <w:p>
      <w:r>
        <w:rPr>
          <w:b w:val="0"/>
          <w:color w:val="000000"/>
          <w:sz w:val="22"/>
        </w:rPr>
        <w:t>à noter enfin que la rupture conventionnelle contractualise de fait la cessation de la relation de travail. Elle est donc</w:t>
      </w:r>
    </w:p>
    <w:p>
      <w:r>
        <w:rPr>
          <w:b w:val="0"/>
          <w:color w:val="BF5700"/>
          <w:sz w:val="22"/>
        </w:rPr>
        <w:t>assujettie aux conditions de fond de tout contrat et peut ainsi être affectée par un vice du consentement. La Cour de</w:t>
      </w:r>
    </w:p>
    <w:p>
      <w:r>
        <w:rPr>
          <w:b w:val="0"/>
          <w:color w:val="000000"/>
          <w:sz w:val="22"/>
        </w:rPr>
        <w:t>cassation (Cass. soc. 19 juin 2024) a récemment considéré que la rupture conventionnelle annulée en raison du dol du</w:t>
      </w:r>
    </w:p>
    <w:p>
      <w:r>
        <w:rPr>
          <w:b w:val="0"/>
          <w:color w:val="000000"/>
          <w:sz w:val="22"/>
        </w:rPr>
        <w:t>salarié produit les effets d'une démission emportant toutes les conséquences pour ce dernier d'une telle qualification.</w:t>
      </w:r>
    </w:p>
    <w:p>
      <w:r>
        <w:rPr>
          <w:b w:val="0"/>
          <w:color w:val="000000"/>
          <w:sz w:val="22"/>
        </w:rPr>
        <w:t>Mais l'une des particularités la plus remarquable est d'assujettir cette forme de rupture au respect d'un formalisme</w:t>
      </w:r>
    </w:p>
    <w:p>
      <w:r>
        <w:rPr>
          <w:b w:val="0"/>
          <w:color w:val="000000"/>
          <w:sz w:val="22"/>
        </w:rPr>
        <w:t>spécifique.</w:t>
      </w:r>
    </w:p>
    <w:p>
      <w:r>
        <w:rPr>
          <w:b w:val="0"/>
          <w:color w:val="000000"/>
          <w:sz w:val="22"/>
        </w:rPr>
        <w:t>69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pPr>
        <w:pStyle w:val="Heading2"/>
      </w:pPr>
      <w:r>
        <w:rPr>
          <w:b/>
          <w:color w:val="2F5496"/>
          <w:sz w:val="24"/>
        </w:rPr>
        <w:t>DCGUE3F.qxp_DCGUE3F 24/07/2025 15:54 Page 69</w:t>
      </w:r>
    </w:p>
    <w:p>
      <w:pPr>
        <w:pStyle w:val="Heading2"/>
      </w:pPr>
      <w:r>
        <w:rPr>
          <w:b/>
          <w:color w:val="BF5700"/>
          <w:sz w:val="24"/>
        </w:rPr>
        <w:t>II • LA PROCÉDURE</w:t>
      </w:r>
    </w:p>
    <w:p>
      <w:pPr>
        <w:pStyle w:val="Heading2"/>
      </w:pPr>
      <w:r>
        <w:rPr>
          <w:b/>
          <w:color w:val="2F5496"/>
          <w:sz w:val="24"/>
        </w:rPr>
        <w:t>A • PHASE D'ENTRETIENS PRÉALABLES</w:t>
      </w:r>
    </w:p>
    <w:p>
      <w:r>
        <w:rPr>
          <w:b w:val="0"/>
          <w:color w:val="BF5700"/>
          <w:sz w:val="22"/>
        </w:rPr>
        <w:t>à l'occasion d'un ou plusieurs entretiens, l'employeur et le salarié conviennent ensemble des principes d'une rupture</w:t>
      </w:r>
    </w:p>
    <w:p>
      <w:r>
        <w:rPr>
          <w:b w:val="0"/>
          <w:color w:val="000000"/>
          <w:sz w:val="22"/>
        </w:rPr>
        <w:t>conventionnelle du contrat de travail.</w:t>
      </w:r>
    </w:p>
    <w:p>
      <w:r>
        <w:rPr>
          <w:b w:val="0"/>
          <w:color w:val="000000"/>
          <w:sz w:val="22"/>
        </w:rPr>
        <w:t>Le salarié dispose de la possibilité de se faire assister par toute personne de l'entreprise : membre de la délégation du</w:t>
      </w:r>
    </w:p>
    <w:p>
      <w:r>
        <w:rPr>
          <w:b w:val="0"/>
          <w:color w:val="000000"/>
          <w:sz w:val="22"/>
        </w:rPr>
        <w:t>personnel au CSE, délégué syndical ou tout autre salarié. à défaut d'institutions représentatives du personnel, il peut</w:t>
      </w:r>
    </w:p>
    <w:p>
      <w:r>
        <w:rPr>
          <w:b w:val="0"/>
          <w:color w:val="000000"/>
          <w:sz w:val="22"/>
        </w:rPr>
        <w:t>solliciter un conseiller figurant sur une liste établie par l'autorité administrative et consultable auprès de la DREETS ou</w:t>
      </w:r>
    </w:p>
    <w:p>
      <w:r>
        <w:rPr>
          <w:b w:val="0"/>
          <w:color w:val="000000"/>
          <w:sz w:val="22"/>
        </w:rPr>
        <w:t>de la mairie.</w:t>
      </w:r>
    </w:p>
    <w:p>
      <w:r>
        <w:rPr>
          <w:b w:val="0"/>
          <w:color w:val="000000"/>
          <w:sz w:val="22"/>
        </w:rPr>
        <w:t>Si le salarié fait usage de cette prérogative, l'employeur peut alors lui-même être assisté exclusivement par une personne</w:t>
      </w:r>
    </w:p>
    <w:p>
      <w:r>
        <w:rPr>
          <w:b w:val="0"/>
          <w:color w:val="000000"/>
          <w:sz w:val="22"/>
        </w:rPr>
        <w:t>de l'entreprise ou, si cette dernière compte moins de 50 salariés, par un autre employeur de la même branche ou encore</w:t>
      </w:r>
    </w:p>
    <w:p>
      <w:r>
        <w:rPr>
          <w:b w:val="0"/>
          <w:color w:val="BF5700"/>
          <w:sz w:val="22"/>
        </w:rPr>
        <w:t>par une personne relevant de son organisation syndicale. Il doit en tout hypothèse en informer le salarié avant l'en-</w:t>
      </w:r>
    </w:p>
    <w:p>
      <w:r>
        <w:rPr>
          <w:b w:val="0"/>
          <w:color w:val="000000"/>
          <w:sz w:val="22"/>
        </w:rPr>
        <w:t>tretien.</w:t>
      </w:r>
    </w:p>
    <w:p>
      <w:pPr>
        <w:pStyle w:val="Heading2"/>
      </w:pPr>
      <w:r>
        <w:rPr>
          <w:b/>
          <w:color w:val="2F5496"/>
          <w:sz w:val="24"/>
        </w:rPr>
        <w:t>SIGNATURE DE LA CONVENTION DE RUPTURE CONVENTIONNELLE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La convention doit impérativement prévoir :</w:t>
      </w:r>
    </w:p>
    <w:p>
      <w:pPr>
        <w:pStyle w:val="ListBullet"/>
      </w:pPr>
      <w:r>
        <w:rPr>
          <w:b w:val="0"/>
          <w:color w:val="000000"/>
          <w:sz w:val="22"/>
        </w:rPr>
        <w:t>des indemnités spécifiques de rupture conventionnelle dont le montant ne peut être inférieur aux indemnités</w:t>
      </w:r>
    </w:p>
    <w:p>
      <w:r>
        <w:rPr>
          <w:b w:val="0"/>
          <w:color w:val="000000"/>
          <w:sz w:val="22"/>
        </w:rPr>
        <w:t>légales de licenciement ou des indemnités conventionnelles pour les employeurs entrant dans le champ d'ap-</w:t>
      </w:r>
    </w:p>
    <w:p>
      <w:r>
        <w:rPr>
          <w:b w:val="0"/>
          <w:color w:val="000000"/>
          <w:sz w:val="22"/>
        </w:rPr>
        <w:t>plication de l'ANI du 11 janvier 2008.</w:t>
      </w:r>
    </w:p>
    <w:p>
      <w:pPr>
        <w:pStyle w:val="ListBullet"/>
      </w:pPr>
      <w:r>
        <w:rPr>
          <w:b w:val="0"/>
          <w:color w:val="000000"/>
          <w:sz w:val="22"/>
        </w:rPr>
        <w:t>la date de rupture du contrat. Elle peut être fixée au minimum le lendemain de l'homologation.</w:t>
      </w:r>
    </w:p>
    <w:p>
      <w:pPr>
        <w:pStyle w:val="Heading2"/>
      </w:pPr>
      <w:r>
        <w:rPr>
          <w:b/>
          <w:color w:val="2F5496"/>
          <w:sz w:val="24"/>
        </w:rPr>
        <w:t>DÉLAI DE RÉTRACTATION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compter du lendemain de la signature de la convention, chaque partie dispose d'un délai de 15 jours calendaires</w:t>
      </w:r>
    </w:p>
    <w:p>
      <w:r>
        <w:rPr>
          <w:b w:val="0"/>
          <w:color w:val="000000"/>
          <w:sz w:val="22"/>
        </w:rPr>
        <w:t>pendant lequel chacune peut librement se rétracter. La loi n'exige aucune justification à la remise en cause de la</w:t>
      </w:r>
    </w:p>
    <w:p>
      <w:r>
        <w:rPr>
          <w:b w:val="0"/>
          <w:color w:val="000000"/>
          <w:sz w:val="22"/>
        </w:rPr>
        <w:t>convention.</w:t>
      </w:r>
    </w:p>
    <w:p>
      <w:pPr>
        <w:pStyle w:val="Heading2"/>
      </w:pPr>
      <w:r>
        <w:rPr>
          <w:b/>
          <w:color w:val="2F5496"/>
          <w:sz w:val="24"/>
        </w:rPr>
        <w:t>HOMOLOGATION DE LA CONVENTION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Une fois le délai de rétractation épuisé, la partie la plus diligente communique au directeur régional de la DREETS un</w:t>
      </w:r>
    </w:p>
    <w:p>
      <w:r>
        <w:rPr>
          <w:b w:val="0"/>
          <w:color w:val="C00000"/>
          <w:sz w:val="22"/>
        </w:rPr>
        <w:t>exemplaire de la convention aux fins de son homologation. Cette communication, sauf exception, doit être réalisée par</w:t>
      </w:r>
    </w:p>
    <w:p>
      <w:r>
        <w:rPr>
          <w:b w:val="0"/>
          <w:color w:val="000000"/>
          <w:sz w:val="22"/>
        </w:rPr>
        <w:t>téléservice. Il dispose de 15 jours ouvrables à compter de la réception du formulaire pour instruire la demande. Trois</w:t>
      </w:r>
    </w:p>
    <w:p>
      <w:r>
        <w:rPr>
          <w:b w:val="0"/>
          <w:color w:val="000000"/>
          <w:sz w:val="22"/>
        </w:rPr>
        <w:t>possibilités sont envisageables :</w:t>
      </w:r>
    </w:p>
    <w:p>
      <w:pPr>
        <w:pStyle w:val="ListBullet"/>
      </w:pPr>
      <w:r>
        <w:rPr>
          <w:b w:val="0"/>
          <w:color w:val="000000"/>
          <w:sz w:val="22"/>
        </w:rPr>
        <w:t>l'absence de réponse dans le délai imparti. Dans cette hypothèse, l'homologation est réputée acquise ;</w:t>
      </w:r>
    </w:p>
    <w:p>
      <w:pPr>
        <w:pStyle w:val="ListBullet"/>
      </w:pPr>
      <w:r>
        <w:rPr>
          <w:b w:val="0"/>
          <w:color w:val="000000"/>
          <w:sz w:val="22"/>
        </w:rPr>
        <w:t>le directeur régional homologue la convention. Ses dispositions ont vocation à s'appliquer ;</w:t>
      </w:r>
    </w:p>
    <w:p>
      <w:pPr>
        <w:pStyle w:val="ListBullet"/>
      </w:pPr>
      <w:r>
        <w:rPr>
          <w:b w:val="0"/>
          <w:color w:val="000000"/>
          <w:sz w:val="22"/>
        </w:rPr>
        <w:t>le directeur régional refuse l'homologation. Sa décision peut être contestée devant le Conseil de prudéhommes</w:t>
      </w:r>
    </w:p>
    <w:p>
      <w:r>
        <w:rPr>
          <w:b w:val="0"/>
          <w:color w:val="000000"/>
          <w:sz w:val="22"/>
        </w:rPr>
        <w:t>compétent.</w:t>
      </w:r>
    </w:p>
    <w:p>
      <w:pPr>
        <w:pStyle w:val="Heading2"/>
      </w:pPr>
      <w:r>
        <w:rPr>
          <w:b/>
          <w:color w:val="2F5496"/>
          <w:sz w:val="24"/>
        </w:rPr>
        <w:t>III • LA RUPTURE CONVENTIONNELLE COLLECTIVE</w:t>
      </w:r>
    </w:p>
    <w:p>
      <w:r>
        <w:rPr>
          <w:b w:val="0"/>
          <w:color w:val="000000"/>
          <w:sz w:val="22"/>
        </w:rPr>
        <w:t>Les ordonnances du 22 septembre 2017 instituent un nouveau mécanisme de rupture du contrat de travail à durée</w:t>
      </w:r>
    </w:p>
    <w:p>
      <w:r>
        <w:rPr>
          <w:b w:val="0"/>
          <w:color w:val="000000"/>
          <w:sz w:val="22"/>
        </w:rPr>
        <w:t>indéterminée : la rupture conventionnelle collective (C. trav. art. 1237_19).</w:t>
      </w:r>
    </w:p>
    <w:p>
      <w:r>
        <w:rPr>
          <w:b w:val="0"/>
          <w:color w:val="BF5700"/>
          <w:sz w:val="22"/>
        </w:rPr>
        <w:t>Un accord collectif peut prévoir et déterminer les conditions dans lesquelles une rupture conventionnelle collective du</w:t>
      </w:r>
    </w:p>
    <w:p>
      <w:r>
        <w:rPr>
          <w:b w:val="0"/>
          <w:color w:val="BF5700"/>
          <w:sz w:val="22"/>
        </w:rPr>
        <w:t>contrat de travail peut intervenir. La DREETS doit être informée sans délai de l'ouverture des négociations. La rupture</w:t>
      </w:r>
    </w:p>
    <w:p>
      <w:r>
        <w:rPr>
          <w:b w:val="0"/>
          <w:color w:val="BF5700"/>
          <w:sz w:val="22"/>
        </w:rPr>
        <w:t>doit se faire d'un commun accord, elle ne peut être imposée au salarié. Celui-ci, pour en bénéficier, doit se porter</w:t>
      </w:r>
    </w:p>
    <w:p>
      <w:r>
        <w:rPr>
          <w:b w:val="0"/>
          <w:color w:val="000000"/>
          <w:sz w:val="22"/>
        </w:rPr>
        <w:t>candidat et formuler par écrit son acceptation du dispositif. De même, le salarié ne peut imposer à l'employeur sa</w:t>
      </w:r>
    </w:p>
    <w:p>
      <w:r>
        <w:rPr>
          <w:b w:val="0"/>
          <w:color w:val="000000"/>
          <w:sz w:val="22"/>
        </w:rPr>
        <w:t>candidature.</w:t>
      </w:r>
    </w:p>
    <w:p>
      <w:r>
        <w:rPr>
          <w:b w:val="0"/>
          <w:color w:val="BF5700"/>
          <w:sz w:val="22"/>
        </w:rPr>
        <w:t>L'accord, adopté selon la règle majoritaire, doit contenir certaines rubriques figurant à l'article L 1237-19-1 du code du</w:t>
      </w:r>
    </w:p>
    <w:p>
      <w:r>
        <w:rPr>
          <w:b w:val="0"/>
          <w:color w:val="000000"/>
          <w:sz w:val="22"/>
        </w:rPr>
        <w:t>travail (modalités d'information du CSE, nombre de départs, modalités de départ, suivi et mise en ouvre de l'accorde).</w:t>
      </w:r>
    </w:p>
    <w:p>
      <w:r>
        <w:rPr>
          <w:b w:val="0"/>
          <w:color w:val="000000"/>
          <w:sz w:val="22"/>
        </w:rPr>
        <w:t>Une fois adopté, l'accord est transmis à la DREETS pour validation qui en vérifie la régularité sur le fond et la forme. Son</w:t>
      </w:r>
    </w:p>
    <w:p>
      <w:r>
        <w:rPr>
          <w:b w:val="0"/>
          <w:color w:val="000000"/>
          <w:sz w:val="22"/>
        </w:rPr>
        <w:t>avis motivé est notifié à l'employeur et au CSE dans les 15 jours calendaires à compter de la réception de l'accord.</w:t>
      </w:r>
    </w:p>
    <w:p>
      <w:r>
        <w:rPr>
          <w:b w:val="0"/>
          <w:color w:val="000000"/>
          <w:sz w:val="22"/>
        </w:rPr>
        <w:t>Trois situations peuvent alors se présenter :</w:t>
      </w:r>
    </w:p>
    <w:p>
      <w:pPr>
        <w:pStyle w:val="ListBullet"/>
      </w:pPr>
      <w:r>
        <w:rPr>
          <w:b w:val="0"/>
          <w:color w:val="000000"/>
          <w:sz w:val="22"/>
        </w:rPr>
        <w:t>l'administration garde le silence dans les délais requis. Dans cette hypothèse, cela vaut acceptation des</w:t>
      </w:r>
    </w:p>
    <w:p>
      <w:r>
        <w:rPr>
          <w:b w:val="0"/>
          <w:color w:val="000000"/>
          <w:sz w:val="22"/>
        </w:rPr>
        <w:t>stipulations de l'accord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de validation. L'accord s'applique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négatif. L'employeur peut, s'il le souhaite, reprendre le projet en y apportant les</w:t>
      </w:r>
    </w:p>
    <w:p>
      <w:r>
        <w:rPr>
          <w:b w:val="0"/>
          <w:color w:val="000000"/>
          <w:sz w:val="22"/>
        </w:rPr>
        <w:t>modifications demandées.</w:t>
      </w:r>
    </w:p>
    <w:p>
      <w:r>
        <w:rPr>
          <w:b w:val="0"/>
          <w:color w:val="00703C"/>
          <w:sz w:val="22"/>
        </w:rPr>
        <w:t>En toute hypothèse, l'avis rendu par la DREETS peut faire l'objet d'un recours judiciaire devant le tribunal administratif</w:t>
      </w:r>
    </w:p>
    <w:p>
      <w:r>
        <w:rPr>
          <w:b w:val="0"/>
          <w:color w:val="BF5700"/>
          <w:sz w:val="22"/>
        </w:rPr>
        <w:t>qui doit statuer dans un délai de trois moi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