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I • LE SERVICE PUBLIC DE L'EMPLOI</w:t>
      </w:r>
    </w:p>
    <w:p>
      <w:pPr>
        <w:pStyle w:val="Heading2"/>
      </w:pPr>
      <w:r>
        <w:rPr>
          <w:b/>
          <w:color w:val="2F5496"/>
          <w:sz w:val="24"/>
        </w:rPr>
        <w:t>A • LES OPÉRATEURS DU SERVICE PUBLIC DE L'EMPLOI</w:t>
      </w:r>
    </w:p>
    <w:p>
      <w:r>
        <w:rPr>
          <w:b w:val="0"/>
          <w:color w:val="000000"/>
          <w:sz w:val="22"/>
        </w:rPr>
        <w:t>Tel que définit à l'article L 5311-1 du code du travail, le service public de l'emploi a pour mission l'accueil, l'orientation,</w:t>
      </w:r>
    </w:p>
    <w:p>
      <w:r>
        <w:rPr>
          <w:b w:val="0"/>
          <w:color w:val="000000"/>
          <w:sz w:val="22"/>
        </w:rPr>
        <w:t>la formation et l'insertion ; Il comprend le placement, le versement d'un revenu de remplacement, l'accompagnement</w:t>
      </w:r>
    </w:p>
    <w:p>
      <w:r>
        <w:rPr>
          <w:b w:val="0"/>
          <w:color w:val="000000"/>
          <w:sz w:val="22"/>
        </w:rPr>
        <w:t>des demandeurs d'emploi et l'aide à la sécurisation des parcours professionnels de tous les salariés. Trois groupes</w:t>
      </w:r>
    </w:p>
    <w:p>
      <w:r>
        <w:rPr>
          <w:b w:val="0"/>
          <w:color w:val="000000"/>
          <w:sz w:val="22"/>
        </w:rPr>
        <w:t>concourent au service public de l'emploi :</w:t>
      </w:r>
    </w:p>
    <w:p>
      <w:pPr>
        <w:pStyle w:val="ListBullet"/>
      </w:pPr>
      <w:r>
        <w:rPr>
          <w:b w:val="0"/>
          <w:color w:val="000000"/>
          <w:sz w:val="22"/>
        </w:rPr>
        <w:t>le premier comprend l'état, France Travail et l'agence nationale pour la formation professionnelle des adultes ;</w:t>
      </w:r>
    </w:p>
    <w:p>
      <w:pPr>
        <w:pStyle w:val="ListBullet"/>
      </w:pPr>
      <w:r>
        <w:rPr>
          <w:b w:val="0"/>
          <w:color w:val="000000"/>
          <w:sz w:val="22"/>
        </w:rPr>
        <w:t>le second, les collectivités territoriales et leurs groupements ;</w:t>
      </w:r>
    </w:p>
    <w:p>
      <w:pPr>
        <w:pStyle w:val="ListBullet"/>
      </w:pPr>
      <w:r>
        <w:rPr>
          <w:b w:val="0"/>
          <w:color w:val="000000"/>
          <w:sz w:val="22"/>
        </w:rPr>
        <w:t>le troisième intègre les autres opérateurs publics ou privés, les entreprises de travail temporaire, les agences de</w:t>
      </w:r>
    </w:p>
    <w:p>
      <w:r>
        <w:rPr>
          <w:b w:val="0"/>
          <w:color w:val="000000"/>
          <w:sz w:val="22"/>
        </w:rPr>
        <w:t>placement privé.</w:t>
      </w:r>
    </w:p>
    <w:p>
      <w:pPr>
        <w:pStyle w:val="Heading2"/>
      </w:pPr>
      <w:r>
        <w:rPr>
          <w:b/>
          <w:color w:val="2F5496"/>
          <w:sz w:val="24"/>
        </w:rPr>
        <w:t>B • L'ACTIVITÉ DE PLACEMENT</w:t>
      </w:r>
    </w:p>
    <w:p>
      <w:r>
        <w:rPr>
          <w:b w:val="0"/>
          <w:color w:val="000000"/>
          <w:sz w:val="22"/>
        </w:rPr>
        <w:t>L'article L 5321-1 du code du travail définit l'activité de placement comme une prestation consistant à fournir, à titre</w:t>
      </w:r>
    </w:p>
    <w:p>
      <w:r>
        <w:rPr>
          <w:b w:val="0"/>
          <w:color w:val="000000"/>
          <w:sz w:val="22"/>
        </w:rPr>
        <w:t>habituel, des services visant à rapprocher offres et demandes d'emploi, sans que la personne physique ou morale</w:t>
      </w:r>
    </w:p>
    <w:p>
      <w:r>
        <w:rPr>
          <w:b w:val="0"/>
          <w:color w:val="000000"/>
          <w:sz w:val="22"/>
        </w:rPr>
        <w:t>assurant cette activité ne devienne partie aux relations de travail susceptibles d'en découler.</w:t>
      </w:r>
    </w:p>
    <w:p>
      <w:r>
        <w:rPr>
          <w:b w:val="0"/>
          <w:color w:val="000000"/>
          <w:sz w:val="22"/>
        </w:rPr>
        <w:t>Si France Travail conserve la capacité d'assurer cette mission, désormais, toute personne morale de droit privée peut y</w:t>
      </w:r>
    </w:p>
    <w:p>
      <w:r>
        <w:rPr>
          <w:b w:val="0"/>
          <w:color w:val="BF5700"/>
          <w:sz w:val="22"/>
        </w:rPr>
        <w:t>concourir sous la seule condition d'obtenir une autorisation administrative préalable.</w:t>
      </w:r>
    </w:p>
    <w:p>
      <w:r>
        <w:rPr>
          <w:b w:val="0"/>
          <w:color w:val="000000"/>
          <w:sz w:val="22"/>
        </w:rPr>
        <w:t>Ainsi les entreprises de travail temporaire, les collectivités territoriales, et plus largement tout opérateur privé, peuvent</w:t>
      </w:r>
    </w:p>
    <w:p>
      <w:r>
        <w:rPr>
          <w:b w:val="0"/>
          <w:color w:val="000000"/>
          <w:sz w:val="22"/>
        </w:rPr>
        <w:t>librement participer au service public de l'emploi et devenir des acteurs de premier rang dans le rapprochement entre</w:t>
      </w:r>
    </w:p>
    <w:p>
      <w:r>
        <w:rPr>
          <w:b w:val="0"/>
          <w:color w:val="000000"/>
          <w:sz w:val="22"/>
        </w:rPr>
        <w:t>demandeurs d'emploi et offre de travail.</w:t>
      </w:r>
    </w:p>
    <w:p>
      <w:pPr>
        <w:pStyle w:val="Heading2"/>
      </w:pPr>
      <w:r>
        <w:rPr>
          <w:b/>
          <w:color w:val="2F5496"/>
          <w:sz w:val="24"/>
        </w:rPr>
        <w:t>II • OFFRES D'EMPLOI</w:t>
      </w:r>
    </w:p>
    <w:p>
      <w:pPr>
        <w:pStyle w:val="Heading2"/>
      </w:pPr>
      <w:r>
        <w:rPr>
          <w:b/>
          <w:color w:val="2F5496"/>
          <w:sz w:val="24"/>
        </w:rPr>
        <w:t>A • MODALITÉS DE DIFFUSION</w:t>
      </w:r>
    </w:p>
    <w:p>
      <w:r>
        <w:rPr>
          <w:b w:val="0"/>
          <w:color w:val="000000"/>
          <w:sz w:val="22"/>
        </w:rPr>
        <w:t>La loi du 18 janvier 2005 a étendu les modalités selon lesquelles les offres d'emploi peuvent être portées à la</w:t>
      </w:r>
    </w:p>
    <w:p>
      <w:r>
        <w:rPr>
          <w:b w:val="0"/>
          <w:color w:val="000000"/>
          <w:sz w:val="22"/>
        </w:rPr>
        <w:t>connaissance du public. Les offres et demandes d'emploi peuvent être effectuées :</w:t>
      </w:r>
    </w:p>
    <w:p>
      <w:pPr>
        <w:pStyle w:val="ListBullet"/>
      </w:pPr>
      <w:r>
        <w:rPr>
          <w:b w:val="0"/>
          <w:color w:val="000000"/>
          <w:sz w:val="22"/>
        </w:rPr>
        <w:t>soit par voie de presse;</w:t>
      </w:r>
    </w:p>
    <w:p>
      <w:pPr>
        <w:pStyle w:val="ListBullet"/>
      </w:pPr>
      <w:r>
        <w:rPr>
          <w:b w:val="0"/>
          <w:color w:val="000000"/>
          <w:sz w:val="22"/>
        </w:rPr>
        <w:t>soit par tout autre moyen de communication, quel qu'en soit le support, accessible au public.</w:t>
      </w:r>
    </w:p>
    <w:p>
      <w:pPr>
        <w:pStyle w:val="Heading2"/>
      </w:pPr>
      <w:r>
        <w:rPr>
          <w:b/>
          <w:color w:val="2F5496"/>
          <w:sz w:val="24"/>
        </w:rPr>
        <w:t>B • LE FORMALISME RÉDACTIONNEL DES OFFRES</w:t>
      </w:r>
    </w:p>
    <w:p>
      <w:r>
        <w:rPr>
          <w:b w:val="0"/>
          <w:color w:val="BF5700"/>
          <w:sz w:val="22"/>
        </w:rPr>
        <w:t>Toute offre doit être datée et rédigée en français notamment si l'employeur est français ou si la prestation de ?</w:t>
      </w:r>
    </w:p>
    <w:p>
      <w:r>
        <w:rPr>
          <w:b w:val="0"/>
          <w:color w:val="BF5700"/>
          <w:sz w:val="22"/>
        </w:rPr>
        <w:t>travail doit être exécutée sur le territoire français.</w:t>
      </w:r>
    </w:p>
    <w:p>
      <w:r>
        <w:rPr>
          <w:b w:val="0"/>
          <w:color w:val="BF5700"/>
          <w:sz w:val="22"/>
        </w:rPr>
        <w:t>Si l'annonce est anonyme, l'entreprise émettrice doit faire connaître au directeur de la publication du journal, son ?</w:t>
      </w:r>
    </w:p>
    <w:p>
      <w:r>
        <w:rPr>
          <w:b w:val="0"/>
          <w:color w:val="000000"/>
          <w:sz w:val="22"/>
        </w:rPr>
        <w:t>nom, sa raison sociale et son adresse.</w:t>
      </w:r>
    </w:p>
    <w:p>
      <w:r>
        <w:rPr>
          <w:b w:val="0"/>
          <w:color w:val="BF5700"/>
          <w:sz w:val="22"/>
        </w:rPr>
        <w:t>Sont interdites les mentions discriminatoires, c'est-à-dire toute annonce imposant une condition fondée sur ?</w:t>
      </w:r>
    </w:p>
    <w:p>
      <w:r>
        <w:rPr>
          <w:b w:val="0"/>
          <w:color w:val="000000"/>
          <w:sz w:val="22"/>
        </w:rPr>
        <w:t>l'origine, le sexe, la situation de famille, l'apparence physique, le patronyme, l'état de santé, le handicap, les</w:t>
      </w:r>
    </w:p>
    <w:p>
      <w:r>
        <w:rPr>
          <w:b w:val="0"/>
          <w:color w:val="000000"/>
          <w:sz w:val="22"/>
        </w:rPr>
        <w:t>caractéristiques génétiques, les moeurs, l'orientation sexuelle, l'âge, les opinions politiques, les activités syndicales,</w:t>
      </w:r>
    </w:p>
    <w:p>
      <w:r>
        <w:rPr>
          <w:b w:val="0"/>
          <w:color w:val="000000"/>
          <w:sz w:val="22"/>
        </w:rPr>
        <w:t>l'appartenance ou la non-appartenance, vraie ou supposée, à une ethnie, une nation, une race ou une religion</w:t>
      </w:r>
    </w:p>
    <w:p>
      <w:r>
        <w:rPr>
          <w:b w:val="0"/>
          <w:color w:val="000000"/>
          <w:sz w:val="22"/>
        </w:rPr>
        <w:t>déterminée, sous peine de sanctions pénales.</w:t>
      </w:r>
    </w:p>
    <w:p>
      <w:r>
        <w:rPr>
          <w:b w:val="0"/>
          <w:color w:val="000000"/>
          <w:sz w:val="22"/>
        </w:rPr>
        <w:t>Sont interdites les mentions contenant un terme en langue étrangère s'il existe un terme français pouvant le ?</w:t>
      </w:r>
    </w:p>
    <w:p>
      <w:r>
        <w:rPr>
          <w:b w:val="0"/>
          <w:color w:val="000000"/>
          <w:sz w:val="22"/>
        </w:rPr>
        <w:t>remplacer.</w:t>
      </w:r>
    </w:p>
    <w:p>
      <w:r>
        <w:rPr>
          <w:b w:val="0"/>
          <w:color w:val="BF5700"/>
          <w:sz w:val="22"/>
        </w:rPr>
        <w:t>Sont interdites les annonces comportant une condition d'âge en dehors des cas prévus par la loi ou le règlement ?</w:t>
      </w:r>
    </w:p>
    <w:p>
      <w:r>
        <w:rPr>
          <w:b w:val="0"/>
          <w:color w:val="000000"/>
          <w:sz w:val="22"/>
        </w:rPr>
        <w:t>(par exemple : mannequins, artistes, politiques de l'emploi).</w:t>
      </w:r>
    </w:p>
    <w:p>
      <w:r>
        <w:rPr>
          <w:b w:val="0"/>
          <w:color w:val="000000"/>
          <w:sz w:val="22"/>
        </w:rPr>
        <w:t>Sont interdites les allégations fausses ou de nature à induire en erreur en matière de travaux à domicile et de ?</w:t>
      </w:r>
    </w:p>
    <w:p>
      <w:r>
        <w:rPr>
          <w:b w:val="0"/>
          <w:color w:val="000000"/>
          <w:sz w:val="22"/>
        </w:rPr>
        <w:t>prestations de services notamment.</w:t>
      </w:r>
    </w:p>
    <w:p>
      <w:pPr>
        <w:pStyle w:val="Heading2"/>
      </w:pPr>
      <w:r>
        <w:rPr>
          <w:b/>
          <w:color w:val="2F5496"/>
          <w:sz w:val="24"/>
        </w:rPr>
        <w:t>III • MÉTHODES DE RECRUTEMENT ET PROTECTION DES LIBERTÉS</w:t>
      </w:r>
    </w:p>
    <w:p>
      <w:pPr>
        <w:pStyle w:val="Heading2"/>
      </w:pPr>
      <w:r>
        <w:rPr>
          <w:b/>
          <w:color w:val="BF5700"/>
          <w:sz w:val="24"/>
        </w:rPr>
        <w:t>A • LES PRINCIPES GOUVERNANT à LA SÉLECTION DES CANDIDATS</w:t>
      </w:r>
    </w:p>
    <w:p>
      <w:pPr>
        <w:pStyle w:val="Heading2"/>
      </w:pPr>
      <w:r>
        <w:rPr>
          <w:b/>
          <w:color w:val="BF5700"/>
          <w:sz w:val="24"/>
        </w:rPr>
        <w:t>LES PRINCIPES DIRECTEURS</w:t>
      </w:r>
    </w:p>
    <w:p>
      <w:r>
        <w:rPr>
          <w:b w:val="0"/>
          <w:color w:val="BF5700"/>
          <w:sz w:val="22"/>
        </w:rPr>
        <w:t>?</w:t>
      </w:r>
    </w:p>
    <w:p>
      <w:r>
        <w:rPr>
          <w:b w:val="0"/>
          <w:color w:val="BF5700"/>
          <w:sz w:val="22"/>
        </w:rPr>
        <w:t>Quelles que soient les méthodes utilisées, les questions posées doivent répondre à la double exigence suivante (c. trav.</w:t>
      </w:r>
    </w:p>
    <w:p>
      <w:r>
        <w:rPr>
          <w:b w:val="0"/>
          <w:color w:val="BF5700"/>
          <w:sz w:val="22"/>
        </w:rPr>
        <w:t>art. L. 1221-6) :</w:t>
      </w:r>
    </w:p>
    <w:p>
      <w:pPr>
        <w:pStyle w:val="ListBullet"/>
      </w:pPr>
      <w:r>
        <w:rPr>
          <w:b w:val="0"/>
          <w:color w:val="BF5700"/>
          <w:sz w:val="22"/>
        </w:rPr>
        <w:t>Les informations demandées ne doivent avoir comme finalité, que d'apprécier la capacité du candidat à</w:t>
      </w:r>
    </w:p>
    <w:p>
      <w:r>
        <w:rPr>
          <w:b w:val="0"/>
          <w:color w:val="BF5700"/>
          <w:sz w:val="22"/>
        </w:rPr>
        <w:t>occuper l'emploi propose ou ses aptitudes professionnelles.</w:t>
      </w:r>
    </w:p>
    <w:p>
      <w:pPr>
        <w:pStyle w:val="ListBullet"/>
      </w:pPr>
      <w:r>
        <w:rPr>
          <w:b w:val="0"/>
          <w:color w:val="BF5700"/>
          <w:sz w:val="22"/>
        </w:rPr>
        <w:t>Les informations demandées doivent présenter un lien direct et nécessaire avec l'emploi propose ou avec</w:t>
      </w:r>
    </w:p>
    <w:p>
      <w:r>
        <w:rPr>
          <w:b w:val="0"/>
          <w:color w:val="BF5700"/>
          <w:sz w:val="22"/>
        </w:rPr>
        <w:t>l'évaluation des aptitudes professionnelles à.</w:t>
      </w:r>
    </w:p>
    <w:p/>
    <w:p>
      <w:r>
        <w:rPr>
          <w:b w:val="0"/>
          <w:color w:val="BF5700"/>
          <w:sz w:val="22"/>
        </w:rPr>
        <w:t>Des lors l'employeur doit s'abstenir de toute discrimination et les informations sollicitées à l'occasion de l'entretien</w:t>
      </w:r>
    </w:p>
    <w:p>
      <w:r>
        <w:rPr>
          <w:b w:val="0"/>
          <w:color w:val="BF5700"/>
          <w:sz w:val="22"/>
        </w:rPr>
        <w:t>ne peuvent être attentatoires au droit des personnes et à leurs libertés individuelles. Ainsi les questions sur l'état de</w:t>
      </w:r>
    </w:p>
    <w:p>
      <w:r>
        <w:rPr>
          <w:b w:val="0"/>
          <w:color w:val="BF5700"/>
          <w:sz w:val="22"/>
        </w:rPr>
        <w:t>santé du candidat, ses meurs sexuelles, ses opinions religieuses ou philosophiques ou encore son état de grossesse sont</w:t>
      </w:r>
    </w:p>
    <w:p>
      <w:r>
        <w:rPr>
          <w:b w:val="0"/>
          <w:color w:val="BF5700"/>
          <w:sz w:val="22"/>
        </w:rPr>
        <w:t>interdites et les réponses mensongères apportées ne sauraient en principe motiver une rupture du contrat de travail.</w:t>
      </w:r>
    </w:p>
    <w:p>
      <w:pPr>
        <w:pStyle w:val="Heading2"/>
      </w:pPr>
      <w:r>
        <w:rPr>
          <w:b/>
          <w:color w:val="2F5496"/>
          <w:sz w:val="24"/>
        </w:rPr>
        <w:t>LES MÉTHODES USUELLES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procède à la sélection des candidats à partir de critères et méthodes définis par lui. En général l'analyse du</w:t>
      </w:r>
    </w:p>
    <w:p>
      <w:r>
        <w:rPr>
          <w:b w:val="0"/>
          <w:color w:val="000000"/>
          <w:sz w:val="22"/>
        </w:rPr>
        <w:t>curriculum vitae (à noter que la loi Rebsamen met fin à l'expérimentation du CV anonyme mais conserve la faculté pour</w:t>
      </w:r>
    </w:p>
    <w:p>
      <w:r>
        <w:rPr>
          <w:b w:val="0"/>
          <w:color w:val="000000"/>
          <w:sz w:val="22"/>
        </w:rPr>
        <w:t>l'employeur d'y recourir (C. trav. Art 1221-7)), puis l'entretien sont les deux moyens les plus couramment utilisés.</w:t>
      </w:r>
    </w:p>
    <w:p>
      <w:r>
        <w:rPr>
          <w:b w:val="0"/>
          <w:color w:val="000000"/>
          <w:sz w:val="22"/>
        </w:rPr>
        <w:t>D'autres méthodes comme les tests psychologiques, l'essai professionnel, le questionnaire d'embauche peuvent aider</w:t>
      </w:r>
    </w:p>
    <w:p>
      <w:r>
        <w:rPr>
          <w:b w:val="0"/>
          <w:color w:val="BF5700"/>
          <w:sz w:val="22"/>
        </w:rPr>
        <w:t>l'employeur à choisir son futur salarié. à noter enfin que le candidat doit être expressément informé des méthodes et</w:t>
      </w:r>
    </w:p>
    <w:p>
      <w:r>
        <w:rPr>
          <w:b w:val="0"/>
          <w:color w:val="000000"/>
          <w:sz w:val="22"/>
        </w:rPr>
        <w:t>techniques d'aide au recrutement utilisées, sachant que les résultats obtenus sont confidentiels.</w:t>
      </w:r>
    </w:p>
    <w:p>
      <w:pPr>
        <w:pStyle w:val="Heading2"/>
      </w:pPr>
      <w:r>
        <w:rPr>
          <w:b/>
          <w:color w:val="2F5496"/>
          <w:sz w:val="24"/>
        </w:rPr>
        <w:t>B • PARTICULARITÉS DU QUESTIONNAIRE D'EMBAUCHE</w:t>
      </w:r>
    </w:p>
    <w:p>
      <w:r>
        <w:rPr>
          <w:b w:val="0"/>
          <w:color w:val="000000"/>
          <w:sz w:val="22"/>
        </w:rPr>
        <w:t>L'ensemble des informations recueillies, et particulièrement celles résultant de questionnaires d'embauche, peuvent</w:t>
      </w:r>
    </w:p>
    <w:p>
      <w:r>
        <w:rPr>
          <w:b w:val="0"/>
          <w:color w:val="00703C"/>
          <w:sz w:val="22"/>
        </w:rPr>
        <w:t>faire l'objet d'une collecte par le recruteur. Le recueil et la conservation des ces informations personnelles constituent</w:t>
      </w:r>
    </w:p>
    <w:p>
      <w:r>
        <w:rPr>
          <w:b w:val="0"/>
          <w:color w:val="00703C"/>
          <w:sz w:val="22"/>
        </w:rPr>
        <w:t>des opérations de traitements de données à caractère personnel et doivent par conséquent répondre aux exigences du</w:t>
      </w:r>
    </w:p>
    <w:p>
      <w:r>
        <w:rPr>
          <w:b w:val="0"/>
          <w:color w:val="000000"/>
          <w:sz w:val="22"/>
        </w:rPr>
        <w:t>RGPD et de la loi Informatique et libertés (notamment : transparence, finalité et durée de conservation de la collecte).</w:t>
      </w:r>
    </w:p>
    <w:p>
      <w:pPr>
        <w:pStyle w:val="Heading2"/>
      </w:pPr>
      <w:r>
        <w:rPr>
          <w:b/>
          <w:color w:val="2F5496"/>
          <w:sz w:val="24"/>
        </w:rPr>
        <w:t>C • L'EXIGENCE DE BONNE FOI DU CANDIDAT</w:t>
      </w:r>
    </w:p>
    <w:p>
      <w:r>
        <w:rPr>
          <w:b w:val="0"/>
          <w:color w:val="BF5700"/>
          <w:sz w:val="22"/>
        </w:rPr>
        <w:t>Le candidat doit répondre de bonne foi aux questions qui lui sont posées. à défaut, les manquements à cette obligation</w:t>
      </w:r>
    </w:p>
    <w:p>
      <w:r>
        <w:rPr>
          <w:b w:val="0"/>
          <w:color w:val="000000"/>
          <w:sz w:val="22"/>
        </w:rPr>
        <w:t>peuvent être sanctionnés par une action en nullité du contrat dans la mesure où les réponses erronées ont été</w:t>
      </w:r>
    </w:p>
    <w:p>
      <w:r>
        <w:rPr>
          <w:b w:val="0"/>
          <w:color w:val="000000"/>
          <w:sz w:val="22"/>
        </w:rPr>
        <w:t>déterminantes dans la sélection du candidat. (Néanmoins, Cass. soc. 30 mars 1999 : Juge inopposable au salarié des</w:t>
      </w:r>
    </w:p>
    <w:p>
      <w:r>
        <w:rPr>
          <w:b w:val="0"/>
          <w:color w:val="000000"/>
          <w:sz w:val="22"/>
        </w:rPr>
        <w:t>informations mensongères données lors de l'entretien d'embauche dans la mesure où il a donne toute satisfaction dans</w:t>
      </w:r>
    </w:p>
    <w:p>
      <w:r>
        <w:rPr>
          <w:b w:val="0"/>
          <w:color w:val="000000"/>
          <w:sz w:val="22"/>
        </w:rPr>
        <w:t>son emploi pendant une durée de 3 ans).</w:t>
      </w:r>
    </w:p>
    <w:p>
      <w:pPr>
        <w:pStyle w:val="Heading2"/>
      </w:pPr>
      <w:r>
        <w:rPr>
          <w:b/>
          <w:color w:val="2F5496"/>
          <w:sz w:val="24"/>
        </w:rPr>
        <w:t>IV • LA PROPOSITION D'EMBAUCHE</w:t>
      </w:r>
    </w:p>
    <w:p>
      <w:pPr>
        <w:pStyle w:val="Heading2"/>
      </w:pPr>
      <w:r>
        <w:rPr>
          <w:b/>
          <w:color w:val="00703C"/>
          <w:sz w:val="24"/>
        </w:rPr>
        <w:t>A • DÉFINITION</w:t>
      </w:r>
    </w:p>
    <w:p>
      <w:r>
        <w:rPr>
          <w:b w:val="0"/>
          <w:color w:val="00703C"/>
          <w:sz w:val="22"/>
        </w:rPr>
        <w:t>En cohérence avec l'ordonnance du 10 février 2016 portant réforme du droit des contrats, la Cour de cassation par deux</w:t>
      </w:r>
    </w:p>
    <w:p>
      <w:r>
        <w:rPr>
          <w:b w:val="0"/>
          <w:color w:val="00703C"/>
          <w:sz w:val="22"/>
        </w:rPr>
        <w:t>arrêts en date du 21 septembre 2017 opère un revirement de jurisprudence. Abandonnant ainsi la notion de promesse</w:t>
      </w:r>
    </w:p>
    <w:p>
      <w:r>
        <w:rPr>
          <w:b w:val="0"/>
          <w:color w:val="00703C"/>
          <w:sz w:val="22"/>
        </w:rPr>
        <w:t>d'embauche, elle distingue désormais l'offre de contrat de travail et la promesse unilatérale de contrat de travail.</w:t>
      </w:r>
    </w:p>
    <w:p>
      <w:pPr>
        <w:pStyle w:val="Heading2"/>
      </w:pPr>
      <w:r>
        <w:rPr>
          <w:b/>
          <w:color w:val="2F5496"/>
          <w:sz w:val="24"/>
        </w:rPr>
        <w:t>L'OFFRE DE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constitue l'acte de l'offrant (l'employeur), précisant l'emploi, la rémunération et la date d'entrée en fonction, par</w:t>
      </w:r>
    </w:p>
    <w:p>
      <w:r>
        <w:rPr>
          <w:b w:val="0"/>
          <w:color w:val="000000"/>
          <w:sz w:val="22"/>
        </w:rPr>
        <w:t>lequel ce dernier propose un engagement à un salarié potentiel et exprime la volonté de son auteur d'être lié en cas</w:t>
      </w:r>
    </w:p>
    <w:p>
      <w:r>
        <w:rPr>
          <w:b w:val="0"/>
          <w:color w:val="000000"/>
          <w:sz w:val="22"/>
        </w:rPr>
        <w:t>d'acceptation.</w:t>
      </w:r>
    </w:p>
    <w:p>
      <w:pPr>
        <w:pStyle w:val="Heading2"/>
      </w:pPr>
      <w:r>
        <w:rPr>
          <w:b/>
          <w:color w:val="2F5496"/>
          <w:sz w:val="24"/>
        </w:rPr>
        <w:t>LA PROMESSE UNILATÉRALE DE CONTRAT DE TRAVAIL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Elle constitue un contrat précisant l'emploi, la rémunération et la date d'entrée en fonction par lequel une partie, le</w:t>
      </w:r>
    </w:p>
    <w:p>
      <w:r>
        <w:rPr>
          <w:b w:val="0"/>
          <w:color w:val="000000"/>
          <w:sz w:val="22"/>
        </w:rPr>
        <w:t>promettant (l'employeur), accorde à l'autre, le bénéficiaire (le futur salarié), le droit d'opter pour la conclusion d'un</w:t>
      </w:r>
    </w:p>
    <w:p>
      <w:r>
        <w:rPr>
          <w:b w:val="0"/>
          <w:color w:val="000000"/>
          <w:sz w:val="22"/>
        </w:rPr>
        <w:t>contrat (de travail), pour la formation duquel il ne manque que le consentement du bénéficiaire (le futur salarié).</w:t>
      </w:r>
    </w:p>
    <w:p>
      <w:pPr>
        <w:pStyle w:val="Heading2"/>
      </w:pPr>
      <w:r>
        <w:rPr>
          <w:b/>
          <w:color w:val="2F5496"/>
          <w:sz w:val="24"/>
        </w:rPr>
        <w:t>B • LES EFFETS DE LA RUPTURE DE L'OFFRE DE CONTRAT ET DE LA PROMESSE UNILATÉRALE</w:t>
      </w:r>
    </w:p>
    <w:p>
      <w:r>
        <w:rPr>
          <w:b w:val="0"/>
          <w:color w:val="BF5700"/>
          <w:sz w:val="22"/>
        </w:rPr>
        <w:t>Cette nouvelle distinction emporte nécessairement des effets spécifiques.</w:t>
      </w:r>
    </w:p>
    <w:p>
      <w:pPr>
        <w:pStyle w:val="Heading2"/>
      </w:pPr>
      <w:r>
        <w:rPr>
          <w:b/>
          <w:color w:val="2F5496"/>
          <w:sz w:val="24"/>
        </w:rPr>
        <w:t>LA RÉTRACTATION DE L'OFFRE D'EMPLOI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L'offre d'emploi, qui doit être maintenue pendant un délai raisonnable ou celui fixe par son auteur, peut être librement</w:t>
      </w:r>
    </w:p>
    <w:p>
      <w:r>
        <w:rPr>
          <w:b w:val="0"/>
          <w:color w:val="000000"/>
          <w:sz w:val="22"/>
        </w:rPr>
        <w:t>rétractée tant qu'elle n'est pas parvenue à son bénéficiaire. Il en est de même lorsque le délai accorde est échu.</w:t>
      </w:r>
    </w:p>
    <w:p>
      <w:r>
        <w:rPr>
          <w:b w:val="0"/>
          <w:color w:val="000000"/>
          <w:sz w:val="22"/>
        </w:rPr>
        <w:t>En revanche, lorsque l'offre est parvenue à son bénéficiaire ne l'ayant pas encore acceptée, la rétractation de l'employeur</w:t>
      </w:r>
    </w:p>
    <w:p>
      <w:r>
        <w:rPr>
          <w:b w:val="0"/>
          <w:color w:val="000000"/>
          <w:sz w:val="22"/>
        </w:rPr>
        <w:t>est de nature à engager sa responsabilité civile extracontractuelle et fait obstacle à la conclusion du contrat (de travail).</w:t>
      </w:r>
    </w:p>
    <w:p>
      <w:pPr>
        <w:pStyle w:val="Heading2"/>
      </w:pPr>
      <w:r>
        <w:rPr>
          <w:b/>
          <w:color w:val="2F5496"/>
          <w:sz w:val="24"/>
        </w:rPr>
        <w:t>LA RÉVOCATION DE LA PROMESSE UNILATÉRALE D'EMBAUCHE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promesse unilatérale impose à celui qui en est l'auteur un droit d'option à son bénéficiaire, c'est-à-dire le droit de</w:t>
      </w:r>
    </w:p>
    <w:p>
      <w:r>
        <w:rPr>
          <w:b w:val="0"/>
          <w:color w:val="000000"/>
          <w:sz w:val="22"/>
        </w:rPr>
        <w:t>conclure ou de ne pas conclure le contrat, ici, de travail. Des lors, la révocation de la promesse au cours du délai d'option</w:t>
      </w:r>
    </w:p>
    <w:p>
      <w:r>
        <w:rPr>
          <w:b w:val="0"/>
          <w:color w:val="000000"/>
          <w:sz w:val="22"/>
        </w:rPr>
        <w:t>n'empêche pas la conclusion du contrat si le bénéficiaire live l'option au cours du délai imparti. Néanmoins, si les</w:t>
      </w:r>
    </w:p>
    <w:p>
      <w:r>
        <w:rPr>
          <w:b w:val="0"/>
          <w:color w:val="000000"/>
          <w:sz w:val="22"/>
        </w:rPr>
        <w:t>pourparlers se poursuivent au-delà de la promesse, celle-ci perd sa valeur contractuelle.</w:t>
      </w:r>
    </w:p>
    <w:p>
      <w:r>
        <w:rPr>
          <w:b w:val="0"/>
          <w:color w:val="000000"/>
          <w:sz w:val="22"/>
        </w:rPr>
        <w:t>Il conviendra en la matière d'être vigilant ou prudent, selon que l'on se place du côté du salarié ou de l'employeur, pour</w:t>
      </w:r>
    </w:p>
    <w:p>
      <w:r>
        <w:rPr>
          <w:b w:val="0"/>
          <w:color w:val="000000"/>
          <w:sz w:val="22"/>
        </w:rPr>
        <w:t>évaluer les conséquences découlant de l'engagement prise;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