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21 : HYGIÈNE ET SÉCURITÉ</w:t>
      </w:r>
    </w:p>
    <w:p/>
    <w:p>
      <w:pPr>
        <w:pStyle w:val="Heading2"/>
      </w:pPr>
      <w:r>
        <w:rPr>
          <w:b/>
          <w:color w:val="2F5496"/>
          <w:sz w:val="24"/>
        </w:rPr>
        <w:t>I • L'HYGIÈNE ET LA SÉCURITÉ DANS L'ENTREPRISE</w:t>
      </w:r>
    </w:p>
    <w:p>
      <w:pPr>
        <w:pStyle w:val="Heading2"/>
      </w:pPr>
      <w:r>
        <w:rPr>
          <w:b/>
          <w:color w:val="BF5700"/>
          <w:sz w:val="24"/>
        </w:rPr>
        <w:t>A • LES OBLIGATIONS DE L'EMPLOYEUR EN MATIÈRE D'HYGIÈNE ET DE SÉCURITÉ</w:t>
      </w:r>
    </w:p>
    <w:p>
      <w:pPr>
        <w:pStyle w:val="Heading2"/>
      </w:pPr>
      <w:r>
        <w:rPr>
          <w:b/>
          <w:color w:val="BF5700"/>
          <w:sz w:val="24"/>
        </w:rPr>
        <w:t>PRINCIPE GÉNÉRAL</w:t>
      </w:r>
    </w:p>
    <w:p>
      <w:r>
        <w:rPr>
          <w:b w:val="0"/>
          <w:color w:val="BF5700"/>
          <w:sz w:val="22"/>
        </w:rPr>
        <w:t>?</w:t>
      </w:r>
    </w:p>
    <w:p>
      <w:r>
        <w:rPr>
          <w:b w:val="0"/>
          <w:color w:val="BF5700"/>
          <w:sz w:val="22"/>
        </w:rPr>
        <w:t>L'employeur prend les mesures nécessaires pour assurer la sécurité et protéger la santé physique et mentale des</w:t>
      </w:r>
    </w:p>
    <w:p>
      <w:r>
        <w:rPr>
          <w:b w:val="0"/>
          <w:color w:val="BF5700"/>
          <w:sz w:val="22"/>
        </w:rPr>
        <w:t>travailleurs. Cette obligation s'étend à tout à risque manifeste d'atteinte à la sécurité des tiers évoluant dans l'en-</w:t>
      </w:r>
    </w:p>
    <w:p>
      <w:r>
        <w:rPr>
          <w:b w:val="0"/>
          <w:color w:val="BF5700"/>
          <w:sz w:val="22"/>
        </w:rPr>
        <w:t>vironnement immédiat de travail à. Les mesures peuvent comprendre des actions de prévention des risques</w:t>
      </w:r>
    </w:p>
    <w:p>
      <w:r>
        <w:rPr>
          <w:b w:val="0"/>
          <w:color w:val="00703C"/>
          <w:sz w:val="22"/>
        </w:rPr>
        <w:t>professionnels et de la pénibilité, d'information et de formation ou encore consister en la mise en place d'une</w:t>
      </w:r>
    </w:p>
    <w:p>
      <w:r>
        <w:rPr>
          <w:b w:val="0"/>
          <w:color w:val="BF5700"/>
          <w:sz w:val="22"/>
        </w:rPr>
        <w:t>organisation et de moyens adaptés (L 4121-1 C trav.).</w:t>
      </w:r>
    </w:p>
    <w:p>
      <w:r>
        <w:rPr>
          <w:b w:val="0"/>
          <w:color w:val="BF5700"/>
          <w:sz w:val="22"/>
        </w:rPr>
        <w:t>En matière d'hygiène, la réglementation, aussi vaste que détaillée (installation sanitaire, luminosité, température,</w:t>
      </w:r>
    </w:p>
    <w:p>
      <w:r>
        <w:rPr>
          <w:b w:val="0"/>
          <w:color w:val="BF5700"/>
          <w:sz w:val="22"/>
        </w:rPr>
        <w:t>aération, restauration et hébergement) figure à l'article L 4221-1 al 2 du code du travail ainsi que dans la partie</w:t>
      </w:r>
    </w:p>
    <w:p>
      <w:r>
        <w:rPr>
          <w:b w:val="0"/>
          <w:color w:val="BF5700"/>
          <w:sz w:val="22"/>
        </w:rPr>
        <w:t>réglementaire du même code. L'obligation est générale puisque à les locaux doivent être tenus dans un état constant de</w:t>
      </w:r>
    </w:p>
    <w:p>
      <w:r>
        <w:rPr>
          <w:b w:val="0"/>
          <w:color w:val="BF5700"/>
          <w:sz w:val="22"/>
        </w:rPr>
        <w:t>propreté et présenter les conditions d'hygiène et de salubrité nécessaires propres à assurer la santé des intéressés à.</w:t>
      </w:r>
    </w:p>
    <w:p>
      <w:r>
        <w:rPr>
          <w:b w:val="0"/>
          <w:color w:val="BF5700"/>
          <w:sz w:val="22"/>
        </w:rPr>
        <w:t>En matière de sécurité, le même article du code du travail pose un principe général : à Les établissements et locauxé doivent</w:t>
      </w:r>
    </w:p>
    <w:p>
      <w:r>
        <w:rPr>
          <w:b w:val="0"/>
          <w:color w:val="BF5700"/>
          <w:sz w:val="22"/>
        </w:rPr>
        <w:t>être aménagés de manière à garantir la sécurité des travailleurs à. Celle-ci s'entend aussi bien de la sécurité elle-même mais</w:t>
      </w:r>
    </w:p>
    <w:p>
      <w:r>
        <w:rPr>
          <w:b w:val="0"/>
          <w:color w:val="BF5700"/>
          <w:sz w:val="22"/>
        </w:rPr>
        <w:t>aussi de la santé physique et mentale des travailleurs (L 4121-1 C. trav). Tous moyens de prévention (pour un manquement</w:t>
      </w:r>
    </w:p>
    <w:p>
      <w:r>
        <w:rPr>
          <w:b w:val="0"/>
          <w:color w:val="BF5700"/>
          <w:sz w:val="22"/>
        </w:rPr>
        <w:t>de l'employeur à cette obligation à Cass. soc. 6 décembre 2017), individuels et collectifs (prévention des accidents, des</w:t>
      </w:r>
    </w:p>
    <w:p>
      <w:r>
        <w:rPr>
          <w:b w:val="0"/>
          <w:color w:val="BF5700"/>
          <w:sz w:val="22"/>
        </w:rPr>
        <w:t>incendies, formation à la sécurité, prévention des risques à la source, adaptation des techniques à l'homme), doivent</w:t>
      </w:r>
    </w:p>
    <w:p>
      <w:r>
        <w:rPr>
          <w:b w:val="0"/>
          <w:color w:val="BF5700"/>
          <w:sz w:val="22"/>
        </w:rPr>
        <w:t>concourir à cet impératif légal. En outre l'employeur est charge d'établir un plan d'évaluation des risques professionnels et</w:t>
      </w:r>
    </w:p>
    <w:p>
      <w:r>
        <w:rPr>
          <w:b w:val="0"/>
          <w:color w:val="BF5700"/>
          <w:sz w:val="22"/>
        </w:rPr>
        <w:t>de prévention ayant vocation à améliorer la lutte contre les accidents et maladies professionnelles.</w:t>
      </w:r>
    </w:p>
    <w:p>
      <w:r>
        <w:rPr>
          <w:b w:val="0"/>
          <w:color w:val="BF5700"/>
          <w:sz w:val="22"/>
        </w:rPr>
        <w:t>L'obligation de sécurité est une obligation de résultat. Cependant, le manquement à cette obligation ne justifie pas la</w:t>
      </w:r>
    </w:p>
    <w:p>
      <w:r>
        <w:rPr>
          <w:b w:val="0"/>
          <w:color w:val="BF5700"/>
          <w:sz w:val="22"/>
        </w:rPr>
        <w:t>nullité du licenciement (Cass. soc. 14 février 2024). à titre d'exemple, il en est ainsi lorsqu'un salarié a été victime d'un</w:t>
      </w:r>
    </w:p>
    <w:p>
      <w:r>
        <w:rPr>
          <w:b w:val="0"/>
          <w:color w:val="BF5700"/>
          <w:sz w:val="22"/>
        </w:rPr>
        <w:t>malaise sur son lieu de travail en raison d'un stress d'origine professionnelle (Cass. soc. 5 juillet 2017). La Cour de</w:t>
      </w:r>
    </w:p>
    <w:p>
      <w:r>
        <w:rPr>
          <w:b w:val="0"/>
          <w:color w:val="BF5700"/>
          <w:sz w:val="22"/>
        </w:rPr>
        <w:t>cassation a eu l'occasion de le rappeler à plusieurs reprises et le manquement de l'employeur à cet impératif justifie</w:t>
      </w:r>
    </w:p>
    <w:p>
      <w:r>
        <w:rPr>
          <w:b w:val="0"/>
          <w:color w:val="BF5700"/>
          <w:sz w:val="22"/>
        </w:rPr>
        <w:t>notamment la prise d'acte de rupture par le salarié. Cette obligation générale ne se confond pas avec l'interdiction</w:t>
      </w:r>
    </w:p>
    <w:p>
      <w:r>
        <w:rPr>
          <w:b w:val="0"/>
          <w:color w:val="BF5700"/>
          <w:sz w:val="22"/>
        </w:rPr>
        <w:t>des agissements de harcèlement, raison pour laquelle la Cour de cassation a infléchi sa position en la matière dans un</w:t>
      </w:r>
    </w:p>
    <w:p>
      <w:r>
        <w:rPr>
          <w:b w:val="0"/>
          <w:color w:val="BF5700"/>
          <w:sz w:val="22"/>
        </w:rPr>
        <w:t>premier arrêt du 25 novembre 2015, puis opéra un revirement de jurisprudence par un arrêt en date du 1</w:t>
      </w:r>
    </w:p>
    <w:p>
      <w:r>
        <w:rPr>
          <w:b w:val="0"/>
          <w:color w:val="BF5700"/>
          <w:sz w:val="22"/>
        </w:rPr>
        <w:t>er</w:t>
      </w:r>
    </w:p>
    <w:p>
      <w:r>
        <w:rPr>
          <w:b w:val="0"/>
          <w:color w:val="BF5700"/>
          <w:sz w:val="22"/>
        </w:rPr>
        <w:t>juin 2016. En</w:t>
      </w:r>
    </w:p>
    <w:p>
      <w:r>
        <w:rPr>
          <w:b w:val="0"/>
          <w:color w:val="BF5700"/>
          <w:sz w:val="22"/>
        </w:rPr>
        <w:t>effet, la cour considère que l'employeur remplit son obligation légale de sécurité, s'il démontre :</w:t>
      </w:r>
    </w:p>
    <w:p>
      <w:pPr>
        <w:pStyle w:val="ListBullet"/>
      </w:pPr>
      <w:r>
        <w:rPr>
          <w:b w:val="0"/>
          <w:color w:val="BF5700"/>
          <w:sz w:val="22"/>
        </w:rPr>
        <w:t>avoir en amont pris toute mesure de prévention de nature à éviter la survenance du risque ;</w:t>
      </w:r>
    </w:p>
    <w:p>
      <w:pPr>
        <w:pStyle w:val="ListBullet"/>
      </w:pPr>
      <w:r>
        <w:rPr>
          <w:b w:val="0"/>
          <w:color w:val="BF5700"/>
          <w:sz w:val="22"/>
        </w:rPr>
        <w:t>avoir pris toutes les mesures immédiates propres à faire cesser le risque et avoir réussi à le faire effectivement cesser.</w:t>
      </w:r>
    </w:p>
    <w:p>
      <w:pPr>
        <w:pStyle w:val="Heading2"/>
      </w:pPr>
      <w:r>
        <w:rPr>
          <w:b/>
          <w:color w:val="2F5496"/>
          <w:sz w:val="24"/>
        </w:rPr>
        <w:t>ÉVALUATION DES RISQUES PROFESSIONNELS ET MESURES DE PRÉVENTION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703C"/>
          <w:sz w:val="22"/>
        </w:rPr>
        <w:t>L'évaluation des risques. Fonction de l'activité de l'établissement, elle consiste à recenser l'ensemble des dangers</w:t>
      </w:r>
    </w:p>
    <w:p>
      <w:r>
        <w:rPr>
          <w:b w:val="0"/>
          <w:color w:val="000000"/>
          <w:sz w:val="22"/>
        </w:rPr>
        <w:t>auxquels les salariés peuvent être confrontés et qui sont de nature à affecter leur santé et leur sécurité. C'est une</w:t>
      </w:r>
    </w:p>
    <w:p>
      <w:r>
        <w:rPr>
          <w:b w:val="0"/>
          <w:color w:val="000000"/>
          <w:sz w:val="22"/>
        </w:rPr>
        <w:t>opération minutieuse qui vise à cataloguer et donc repérer dans tous les secteurs de l'entreprise les dangers et risques</w:t>
      </w:r>
    </w:p>
    <w:p>
      <w:r>
        <w:rPr>
          <w:b w:val="0"/>
          <w:color w:val="BF5700"/>
          <w:sz w:val="22"/>
        </w:rPr>
        <w:t>potentiels auxquels le salarié est susceptible d'être exposé. L'évaluation doit être effectuée régulièrement et au</w:t>
      </w:r>
    </w:p>
    <w:p>
      <w:r>
        <w:rPr>
          <w:b w:val="0"/>
          <w:color w:val="000000"/>
          <w:sz w:val="22"/>
        </w:rPr>
        <w:t>moins une fois par an. La loi autorise pour les entreprises de moins de 11 salariés une mise à jour moins fréquente à</w:t>
      </w:r>
    </w:p>
    <w:p>
      <w:r>
        <w:rPr>
          <w:b w:val="0"/>
          <w:color w:val="BF5700"/>
          <w:sz w:val="22"/>
        </w:rPr>
        <w:t>conditions de garantir un niveau de protection équivalent et après avis des organisations professionnelles. Les</w:t>
      </w:r>
    </w:p>
    <w:p>
      <w:r>
        <w:rPr>
          <w:b w:val="0"/>
          <w:color w:val="BF5700"/>
          <w:sz w:val="22"/>
        </w:rPr>
        <w:t>résultats sont portes obligatoirement dans un document unique (document unique d'évaluation des risques</w:t>
      </w:r>
    </w:p>
    <w:p>
      <w:r>
        <w:rPr>
          <w:b w:val="0"/>
          <w:color w:val="000000"/>
          <w:sz w:val="22"/>
        </w:rPr>
        <w:t>professionnels - DUERP), qui comprend un inventaire des risques identifiés pour chaque unité de travail. Il doit</w:t>
      </w:r>
    </w:p>
    <w:p>
      <w:r>
        <w:rPr>
          <w:b w:val="0"/>
          <w:color w:val="BF5700"/>
          <w:sz w:val="22"/>
        </w:rPr>
        <w:t>être conserve au minimum pendant 40 ans. à noter enfin que le CSE doit être consulté sur le DUERP et ses mises</w:t>
      </w:r>
    </w:p>
    <w:p>
      <w:r>
        <w:rPr>
          <w:b w:val="0"/>
          <w:color w:val="000000"/>
          <w:sz w:val="22"/>
        </w:rPr>
        <w:t>à jour.</w:t>
      </w:r>
    </w:p>
    <w:p>
      <w:r>
        <w:rPr>
          <w:b w:val="0"/>
          <w:color w:val="000000"/>
          <w:sz w:val="22"/>
        </w:rPr>
        <w:t>Les mesures de prévention. Les actions de préventions sont établies au regard des conclusions de l'évaluation des</w:t>
      </w:r>
    </w:p>
    <w:p>
      <w:r>
        <w:rPr>
          <w:b w:val="0"/>
          <w:color w:val="000000"/>
          <w:sz w:val="22"/>
        </w:rPr>
        <w:t>risques.</w:t>
      </w:r>
    </w:p>
    <w:p>
      <w:r>
        <w:rPr>
          <w:b w:val="0"/>
          <w:color w:val="BF5700"/>
          <w:sz w:val="22"/>
        </w:rPr>
        <w:t>Les actions doivent suivre un rythme annuel permettant de réviser les résultats des nouvelles évaluations et ainsi</w:t>
      </w:r>
    </w:p>
    <w:p>
      <w:r>
        <w:rPr>
          <w:b w:val="0"/>
          <w:color w:val="BF5700"/>
          <w:sz w:val="22"/>
        </w:rPr>
        <w:t>d'anticiper plus efficacement les dispositions à prendre. Par ailleurs l'employeur à l'obligation d'informer les salariés sur</w:t>
      </w:r>
    </w:p>
    <w:p>
      <w:r>
        <w:rPr>
          <w:b w:val="0"/>
          <w:color w:val="BF5700"/>
          <w:sz w:val="22"/>
        </w:rPr>
        <w:t>les risques spécifiques attachés à leurs conditions de travail et aux mesures de prévention qu'il met en ouvre. Dans les</w:t>
      </w:r>
    </w:p>
    <w:p>
      <w:r>
        <w:rPr>
          <w:b w:val="0"/>
          <w:color w:val="BF5700"/>
          <w:sz w:val="22"/>
        </w:rPr>
        <w:t>entreprises de plus 50 salariés, un programme de prévention des risques professionnels doit être obligatoirement établi.</w:t>
      </w:r>
    </w:p>
    <w:p>
      <w:r>
        <w:rPr>
          <w:b w:val="0"/>
          <w:color w:val="000000"/>
          <w:sz w:val="22"/>
        </w:rPr>
        <w:t>Il détaille le programme des actions poursuivies en matière de formation, d'organisation du travail ou en encore en</w:t>
      </w:r>
    </w:p>
    <w:p>
      <w:r>
        <w:rPr>
          <w:b w:val="0"/>
          <w:color w:val="000000"/>
          <w:sz w:val="22"/>
        </w:rPr>
        <w:t>matière d'équipement. Le programme est à destination de tous les acteurs internes de l'entreprise et plus directement</w:t>
      </w:r>
    </w:p>
    <w:p>
      <w:r>
        <w:rPr>
          <w:b w:val="0"/>
          <w:color w:val="000000"/>
          <w:sz w:val="22"/>
        </w:rPr>
        <w:t>des salariés.</w:t>
      </w:r>
    </w:p>
    <w:p>
      <w:r>
        <w:rPr>
          <w:b w:val="0"/>
          <w:color w:val="000000"/>
          <w:sz w:val="22"/>
        </w:rPr>
        <w:t>L'établissement d'une fiche individuelle de prévention des expositions. Pour les salariés concernés, l'employeur est tenu</w:t>
      </w:r>
    </w:p>
    <w:p>
      <w:r>
        <w:rPr>
          <w:b w:val="0"/>
          <w:color w:val="000000"/>
          <w:sz w:val="22"/>
        </w:rPr>
        <w:t>d'établir une fiche individuelle précisant les risques d'exposition du salarié, les circonstances dans lesquelles ces</w:t>
      </w:r>
    </w:p>
    <w:p>
      <w:r>
        <w:rPr>
          <w:b w:val="0"/>
          <w:color w:val="000000"/>
          <w:sz w:val="22"/>
        </w:rPr>
        <w:t>expositions sont survenues ainsi que les mesures de préventions mises en ouvre par l'employeur. L'absence de fiche ou</w:t>
      </w:r>
    </w:p>
    <w:p>
      <w:r>
        <w:rPr>
          <w:b w:val="0"/>
          <w:color w:val="000000"/>
          <w:sz w:val="22"/>
        </w:rPr>
        <w:t>de son actualisation est réprimée par une contravention de 5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classe.</w:t>
      </w:r>
    </w:p>
    <w:p>
      <w:r>
        <w:rPr>
          <w:b w:val="0"/>
          <w:color w:val="000000"/>
          <w:sz w:val="22"/>
        </w:rPr>
        <w:t>90</w:t>
      </w:r>
    </w:p>
    <w:p>
      <w:r>
        <w:rPr>
          <w:b w:val="0"/>
          <w:color w:val="000000"/>
          <w:sz w:val="22"/>
        </w:rPr>
        <w:t>éditions Corroy à 4 rue de Villars, 42000 Saint-etienne à 04 77 79 92 46 à infos@editions-corroy.fr</w:t>
      </w:r>
    </w:p>
    <w:p>
      <w:r>
        <w:rPr>
          <w:b w:val="0"/>
          <w:color w:val="000000"/>
          <w:sz w:val="22"/>
        </w:rPr>
        <w:t>COLLECTION DCG UE 3 à Droit social - Fiches de cours</w:t>
      </w:r>
    </w:p>
    <w:p>
      <w:pPr>
        <w:pStyle w:val="Heading2"/>
      </w:pPr>
      <w:r>
        <w:rPr>
          <w:b/>
          <w:color w:val="2F5496"/>
          <w:sz w:val="24"/>
        </w:rPr>
        <w:t>DCGUE3F.qxp_DCGUE3F 24/07/2025 10:26 Page 90</w:t>
      </w:r>
    </w:p>
    <w:p>
      <w:pPr>
        <w:pStyle w:val="Heading2"/>
      </w:pPr>
      <w:r>
        <w:rPr>
          <w:b/>
          <w:color w:val="2F5496"/>
          <w:sz w:val="24"/>
        </w:rPr>
        <w:t>LE COMPTE PROFESSIONNEL DE PRÉVENTION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entreprises dont les salariés sont exposés à l'un des risques visés dans le décret du 10 octobre 2014 complète par décret</w:t>
      </w:r>
    </w:p>
    <w:p>
      <w:r>
        <w:rPr>
          <w:b w:val="0"/>
          <w:color w:val="BF5700"/>
          <w:sz w:val="22"/>
        </w:rPr>
        <w:t>en 2015, 2016 et 2017 et dépassant les seuils prévus par le même texte doivent en faire la déclaration auprès de l'organisme</w:t>
      </w:r>
    </w:p>
    <w:p>
      <w:r>
        <w:rPr>
          <w:b w:val="0"/>
          <w:color w:val="000000"/>
          <w:sz w:val="22"/>
        </w:rPr>
        <w:t>gestionnaire du compte de prévention de la pénibilité. Ce compte, intégré depuis le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janvier 2017 au compte personnel</w:t>
      </w:r>
    </w:p>
    <w:p>
      <w:r>
        <w:rPr>
          <w:b w:val="0"/>
          <w:color w:val="000000"/>
          <w:sz w:val="22"/>
        </w:rPr>
        <w:t>d'activité, permet aux salariés concernés de cumuler des points qui pourront ensuite être utilisés au titre de la formation</w:t>
      </w:r>
    </w:p>
    <w:p>
      <w:r>
        <w:rPr>
          <w:b w:val="0"/>
          <w:color w:val="000000"/>
          <w:sz w:val="22"/>
        </w:rPr>
        <w:t>professionnelle, du passage à temps partiel sans diminution de salaire ou encore pour un départ à la retraite anticipé.</w:t>
      </w:r>
    </w:p>
    <w:p>
      <w:pPr>
        <w:pStyle w:val="Heading2"/>
      </w:pPr>
      <w:r>
        <w:rPr>
          <w:b/>
          <w:color w:val="2F5496"/>
          <w:sz w:val="24"/>
        </w:rPr>
        <w:t>LE DROIT à LA DÉCONNEXION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Dans le cadre de la prise en compte des outils numériques par le droit du travail, la loi du 8 août 2016 met en place un</w:t>
      </w:r>
    </w:p>
    <w:p>
      <w:r>
        <w:rPr>
          <w:b w:val="0"/>
          <w:color w:val="BF5700"/>
          <w:sz w:val="22"/>
        </w:rPr>
        <w:t>droit à la déconnexion. Le dispositif est institué soit par accord collectif, soit, à défaut par l'employeur qui doit établir</w:t>
      </w:r>
    </w:p>
    <w:p>
      <w:r>
        <w:rPr>
          <w:b w:val="0"/>
          <w:color w:val="BF5700"/>
          <w:sz w:val="22"/>
        </w:rPr>
        <w:t>une charte d'entreprise visant à réguler l'usage des outils numériques. L'exercice de ce droit doit assurer au salarié le</w:t>
      </w:r>
    </w:p>
    <w:p>
      <w:r>
        <w:rPr>
          <w:b w:val="0"/>
          <w:color w:val="000000"/>
          <w:sz w:val="22"/>
        </w:rPr>
        <w:t>respect des temps de repos et de congo ainsi que de la vie personnelle et familiale.</w:t>
      </w:r>
    </w:p>
    <w:p>
      <w:pPr>
        <w:pStyle w:val="Heading2"/>
      </w:pPr>
      <w:r>
        <w:rPr>
          <w:b/>
          <w:color w:val="2F5496"/>
          <w:sz w:val="24"/>
        </w:rPr>
        <w:t>FORMATION DES SALARIÉS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L'employeur doit assurer la formation pratique et appropriée des salariés à la sécurité, que ce soit à l'embauche ou en cas</w:t>
      </w:r>
    </w:p>
    <w:p>
      <w:r>
        <w:rPr>
          <w:b w:val="0"/>
          <w:color w:val="000000"/>
          <w:sz w:val="22"/>
        </w:rPr>
        <w:t>de changement de poste de travail.</w:t>
      </w:r>
    </w:p>
    <w:p>
      <w:pPr>
        <w:pStyle w:val="Heading2"/>
      </w:pPr>
      <w:r>
        <w:rPr>
          <w:b/>
          <w:color w:val="2F5496"/>
          <w:sz w:val="24"/>
        </w:rPr>
        <w:t>LA DÉSIGNATION D'UN SALARIÉ CHARGE DES ACTIVITÉS DE PRÉVENTION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Dans des conditions fixées par décret, l'employeur est tenu de désigner un ou plusieurs salariés ayant les compétences</w:t>
      </w:r>
    </w:p>
    <w:p>
      <w:r>
        <w:rPr>
          <w:b w:val="0"/>
          <w:color w:val="000000"/>
          <w:sz w:val="22"/>
        </w:rPr>
        <w:t>suffisantes pour s'occuper des activités de protection et de prévention des risques professionnels de l'entreprise. Si ces</w:t>
      </w:r>
    </w:p>
    <w:p>
      <w:r>
        <w:rPr>
          <w:b w:val="0"/>
          <w:color w:val="000000"/>
          <w:sz w:val="22"/>
        </w:rPr>
        <w:t>compétences ne se trouvent pas dans l'entreprise, l'employeur pourra faire appel à des institutions extérieures (par</w:t>
      </w:r>
    </w:p>
    <w:p>
      <w:r>
        <w:rPr>
          <w:b w:val="0"/>
          <w:color w:val="000000"/>
          <w:sz w:val="22"/>
        </w:rPr>
        <w:t>exemple les services de prévention des caisses de sécurité sociale).</w:t>
      </w:r>
    </w:p>
    <w:p>
      <w:pPr>
        <w:pStyle w:val="Heading2"/>
      </w:pPr>
      <w:r>
        <w:rPr>
          <w:b/>
          <w:color w:val="2F5496"/>
          <w:sz w:val="24"/>
        </w:rPr>
        <w:t>LE CAS PARTICULIER DU HARCÈLEMENT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La dignité humaine doit être assurée contre tout type de harcèlement, qu'il soit moral ou sexuel, qu'il provienne de l'em-</w:t>
      </w:r>
    </w:p>
    <w:p>
      <w:r>
        <w:rPr>
          <w:b w:val="0"/>
          <w:color w:val="BF5700"/>
          <w:sz w:val="22"/>
        </w:rPr>
        <w:t>ployeur ou d'un autre salarié. Dans les deux cas, il pose sur l'employeur une obligation de sécurité de résultat atténuée</w:t>
      </w:r>
    </w:p>
    <w:p>
      <w:r>
        <w:rPr>
          <w:b w:val="0"/>
          <w:color w:val="000000"/>
          <w:sz w:val="22"/>
        </w:rPr>
        <w:t>par revirement de jurisprudence du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juin 2016. à noter que depuis la loi du 27 mai 2008, le harcèlement est assimilé à</w:t>
      </w:r>
    </w:p>
    <w:p>
      <w:r>
        <w:rPr>
          <w:b w:val="0"/>
          <w:color w:val="000000"/>
          <w:sz w:val="22"/>
        </w:rPr>
        <w:t>une discrimination et réprimé pénalement (art. 1155-1 et 1155-2 C. trav, art 222-33-C. pen.). Ces dispositions ont été</w:t>
      </w:r>
    </w:p>
    <w:p>
      <w:r>
        <w:rPr>
          <w:b w:val="0"/>
          <w:color w:val="000000"/>
          <w:sz w:val="22"/>
        </w:rPr>
        <w:t>renforcées par la loi du 3 août 2018 relative à la lutte contre les violences sexuelles et sexistes et la loi du 5 septembre</w:t>
      </w:r>
    </w:p>
    <w:p>
      <w:r>
        <w:rPr>
          <w:b w:val="0"/>
          <w:color w:val="BF5700"/>
          <w:sz w:val="22"/>
        </w:rPr>
        <w:t>2018. Cette dernière prévoit notamment l'obligation de désigner un référent en matière de lutte contre le</w:t>
      </w:r>
    </w:p>
    <w:p>
      <w:r>
        <w:rPr>
          <w:b w:val="0"/>
          <w:color w:val="000000"/>
          <w:sz w:val="22"/>
        </w:rPr>
        <w:t>harcèlement sexuel et d'agissements sexistes dans les entreprises d'au moins 250 salariés et l'affichage des voies de</w:t>
      </w:r>
    </w:p>
    <w:p>
      <w:r>
        <w:rPr>
          <w:b w:val="0"/>
          <w:color w:val="000000"/>
          <w:sz w:val="22"/>
        </w:rPr>
        <w:t>recours en matières civile et pénale dans les lieux de travail ou locaux ou se fait l'embauche.</w:t>
      </w:r>
    </w:p>
    <w:p>
      <w:r>
        <w:rPr>
          <w:b w:val="0"/>
          <w:color w:val="BF5700"/>
          <w:sz w:val="22"/>
        </w:rPr>
        <w:t>Le juge saisi d'une telle demande doit apprécier l'ensemble des éléments qui lui sont fournis tant par le salarié que par</w:t>
      </w:r>
    </w:p>
    <w:p>
      <w:r>
        <w:rPr>
          <w:b w:val="0"/>
          <w:color w:val="BF5700"/>
          <w:sz w:val="22"/>
        </w:rPr>
        <w:t>l'employeur (Cass. soc. 2 mai 2024) et ce dernier ne peut s'exonérer du manquement à son obligation de prévention au</w:t>
      </w:r>
    </w:p>
    <w:p>
      <w:r>
        <w:rPr>
          <w:b w:val="0"/>
          <w:color w:val="000000"/>
          <w:sz w:val="22"/>
        </w:rPr>
        <w:t>motif que les faits se sont déroulés en dehors du travail ou que le salarié était en arrêt de travail au moment de la</w:t>
      </w:r>
    </w:p>
    <w:p>
      <w:r>
        <w:rPr>
          <w:b w:val="0"/>
          <w:color w:val="000000"/>
          <w:sz w:val="22"/>
        </w:rPr>
        <w:t>dénonciation des faits (Cass. soc. 2 mai 2024).</w:t>
      </w:r>
    </w:p>
    <w:p>
      <w:r>
        <w:rPr>
          <w:b w:val="0"/>
          <w:color w:val="000000"/>
          <w:sz w:val="22"/>
        </w:rPr>
        <w:t>Le harcèlement sexuel (Art. L1153-1 Code trav.)</w:t>
      </w:r>
    </w:p>
    <w:p>
      <w:r>
        <w:rPr>
          <w:b w:val="0"/>
          <w:color w:val="000000"/>
          <w:sz w:val="22"/>
        </w:rPr>
        <w:t>Les faits de harcèlement sexuel sont caractérisés :</w:t>
      </w:r>
    </w:p>
    <w:p>
      <w:pPr>
        <w:pStyle w:val="ListBullet"/>
      </w:pPr>
      <w:r>
        <w:rPr>
          <w:b w:val="0"/>
          <w:color w:val="000000"/>
          <w:sz w:val="22"/>
        </w:rPr>
        <w:t>soit par des propos ou comportements à connotation sexuelle ou sexiste réputés qui soit portent atteinte à sa dignité en</w:t>
      </w:r>
    </w:p>
    <w:p>
      <w:r>
        <w:rPr>
          <w:b w:val="0"/>
          <w:color w:val="00703C"/>
          <w:sz w:val="22"/>
        </w:rPr>
        <w:t>raison de leur caractère dégradant ou humiliant, soit créent à son encontre une situation intimidante, hostile ou offensante ;</w:t>
      </w:r>
    </w:p>
    <w:p>
      <w:pPr>
        <w:pStyle w:val="ListBullet"/>
      </w:pPr>
      <w:r>
        <w:rPr>
          <w:b w:val="0"/>
          <w:color w:val="000000"/>
          <w:sz w:val="22"/>
        </w:rPr>
        <w:t>soit par toute forme de pression grave, même non réputée, exercée dans le but réel ou apparent d'obtenir un acte de</w:t>
      </w:r>
    </w:p>
    <w:p>
      <w:r>
        <w:rPr>
          <w:b w:val="0"/>
          <w:color w:val="000000"/>
          <w:sz w:val="22"/>
        </w:rPr>
        <w:t>nature sexuelle, que celui-ci soit recherche au profit de l'auteur des faits ou au profit d'un tiers.</w:t>
      </w:r>
    </w:p>
    <w:p>
      <w:r>
        <w:rPr>
          <w:b w:val="0"/>
          <w:color w:val="000000"/>
          <w:sz w:val="22"/>
        </w:rPr>
        <w:t>Le harcèlement moral (Art. L 1152-1 Code trav.)</w:t>
      </w:r>
    </w:p>
    <w:p>
      <w:r>
        <w:rPr>
          <w:b w:val="0"/>
          <w:color w:val="000000"/>
          <w:sz w:val="22"/>
        </w:rPr>
        <w:t>Intégré par la loi du 17 janvier 2002 dans le code du travail, le harcèlement moral peut être défini comme des agissements</w:t>
      </w:r>
    </w:p>
    <w:p>
      <w:r>
        <w:rPr>
          <w:b w:val="0"/>
          <w:color w:val="BF5700"/>
          <w:sz w:val="22"/>
        </w:rPr>
        <w:t>réputés qui ont pour objet ou pour effet une dégradation des conditions de travail susceptible de porter atteinte aux</w:t>
      </w:r>
    </w:p>
    <w:p>
      <w:r>
        <w:rPr>
          <w:b w:val="0"/>
          <w:color w:val="000000"/>
          <w:sz w:val="22"/>
        </w:rPr>
        <w:t>droits du salarié, à sa dignité, d'altérer sa santé physique ou mentale ou de compromettre son avenir professionnel.</w:t>
      </w:r>
    </w:p>
    <w:p>
      <w:r>
        <w:rPr>
          <w:b w:val="0"/>
          <w:color w:val="000000"/>
          <w:sz w:val="22"/>
        </w:rPr>
        <w:t>Il peut émaner de l'employeur, d'un supérieur hiérarchique ou simplement d'un collègue.</w:t>
      </w:r>
    </w:p>
    <w:p>
      <w:r>
        <w:rPr>
          <w:b w:val="0"/>
          <w:color w:val="BF5700"/>
          <w:sz w:val="22"/>
        </w:rPr>
        <w:t>Notons enfin qu'il n'est pas indispensable de constater une dégradation des conditions de travail (un résultat n'est pas</w:t>
      </w:r>
    </w:p>
    <w:p>
      <w:r>
        <w:rPr>
          <w:b w:val="0"/>
          <w:color w:val="BF5700"/>
          <w:sz w:val="22"/>
        </w:rPr>
        <w:t>nécessaire). Le simple fait qu'elle puisse en découler suffit à qualifier le comportement.</w:t>
      </w:r>
    </w:p>
    <w:p>
      <w:pPr>
        <w:pStyle w:val="Heading2"/>
      </w:pPr>
      <w:r>
        <w:rPr>
          <w:b/>
          <w:color w:val="BF5700"/>
          <w:sz w:val="24"/>
        </w:rPr>
        <w:t>B • DROITS ET OBLIGATIONS DES SALARIÉS EN MATIÈRE D'HYGIÈNE ET DE SÉCURITÉ</w:t>
      </w:r>
    </w:p>
    <w:p>
      <w:pPr>
        <w:pStyle w:val="Heading2"/>
      </w:pPr>
      <w:r>
        <w:rPr>
          <w:b/>
          <w:color w:val="BF5700"/>
          <w:sz w:val="24"/>
        </w:rPr>
        <w:t>OBLIGATIONS DES SALARIÉS</w:t>
      </w:r>
    </w:p>
    <w:p>
      <w:r>
        <w:rPr>
          <w:b w:val="0"/>
          <w:color w:val="BF5700"/>
          <w:sz w:val="22"/>
        </w:rPr>
        <w:t>?</w:t>
      </w:r>
    </w:p>
    <w:p>
      <w:r>
        <w:rPr>
          <w:b w:val="0"/>
          <w:color w:val="BF5700"/>
          <w:sz w:val="22"/>
        </w:rPr>
        <w:t>L'exigence de sécurité dans l'entreprise est une nécessité à laquelle le salarié est associé. En effet, à conformément aux</w:t>
      </w:r>
    </w:p>
    <w:p>
      <w:r>
        <w:rPr>
          <w:b w:val="0"/>
          <w:color w:val="BF5700"/>
          <w:sz w:val="22"/>
        </w:rPr>
        <w:t>instructions qui lui sont données par l'employeur ou le chef d'établissementé il incombe à chaque travailleur de prendre</w:t>
      </w:r>
    </w:p>
    <w:p>
      <w:r>
        <w:rPr>
          <w:b w:val="0"/>
          <w:color w:val="BF5700"/>
          <w:sz w:val="22"/>
        </w:rPr>
        <w:t>soin, en fonction de sa formation et selon ses possibilités, de sa sécurité et de sa santé ainsi que de celles des autres</w:t>
      </w:r>
    </w:p>
    <w:p>
      <w:r>
        <w:rPr>
          <w:b w:val="0"/>
          <w:color w:val="BF5700"/>
          <w:sz w:val="22"/>
        </w:rPr>
        <w:t>personnes concernées du fait de ses actes ou de ses omissions au travail à (art. L 4122-1 C. trav.). La violation de cette</w:t>
      </w:r>
    </w:p>
    <w:p>
      <w:r>
        <w:rPr>
          <w:b w:val="0"/>
          <w:color w:val="BF5700"/>
          <w:sz w:val="22"/>
        </w:rPr>
        <w:t>obligation peut être sanctionné si le salarié contrevient à l'observation des règles d'hygiène et de sécurité.</w:t>
      </w:r>
    </w:p>
    <w:p>
      <w:pPr>
        <w:pStyle w:val="Heading2"/>
      </w:pPr>
      <w:r>
        <w:rPr>
          <w:b/>
          <w:color w:val="2F5496"/>
          <w:sz w:val="24"/>
        </w:rPr>
        <w:t>LE DROIT DE RETRAIT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Corollaire de cette obligation, le salarié dispose d'un droit de retrait. L'article L 4131-1 du code du travail autorise le</w:t>
      </w:r>
    </w:p>
    <w:p>
      <w:r>
        <w:rPr>
          <w:b w:val="0"/>
          <w:color w:val="000000"/>
          <w:sz w:val="22"/>
        </w:rPr>
        <w:t>salarié à se retirer de sa situation de travail s'il a un motif raisonnable de penser qu'elle présente un danger grave et</w:t>
      </w:r>
    </w:p>
    <w:p>
      <w:r>
        <w:rPr>
          <w:b w:val="0"/>
          <w:color w:val="BF5700"/>
          <w:sz w:val="22"/>
        </w:rPr>
        <w:t>imminent pour sa vie ou sa santé. Le juge doit ainsi apprécier si la situation de travail présentait un danger grave et</w:t>
      </w:r>
    </w:p>
    <w:p>
      <w:r>
        <w:rPr>
          <w:b w:val="0"/>
          <w:color w:val="000000"/>
          <w:sz w:val="22"/>
        </w:rPr>
        <w:t>imminent pour la vie ou la santé du salarié, indépendamment de l'existence d'un tel danger (Cass. soc. 27 mars 2023).</w:t>
      </w:r>
    </w:p>
    <w:p>
      <w:r>
        <w:rPr>
          <w:b w:val="0"/>
          <w:color w:val="000000"/>
          <w:sz w:val="22"/>
        </w:rPr>
        <w:t>Ce droit ne peut être subordonné à aucune autorisation préalable de l'employeur et résulte d'une appréciation</w:t>
      </w:r>
    </w:p>
    <w:p>
      <w:r>
        <w:rPr>
          <w:b w:val="0"/>
          <w:color w:val="000000"/>
          <w:sz w:val="22"/>
        </w:rPr>
        <w:t>subjective du salarié. Il suffit en effet qu'il ait pu croire raisonnablement à un risque imminent pour sa vie ou sa santé</w:t>
      </w:r>
    </w:p>
    <w:p>
      <w:r>
        <w:rPr>
          <w:b w:val="0"/>
          <w:color w:val="000000"/>
          <w:sz w:val="22"/>
        </w:rPr>
        <w:t>pour que le droit de retrait puisse s'exercer.</w:t>
      </w:r>
    </w:p>
    <w:p>
      <w:r>
        <w:rPr>
          <w:b w:val="0"/>
          <w:color w:val="000000"/>
          <w:sz w:val="22"/>
        </w:rPr>
        <w:t>Le texte ne dispense cependant pas le salarié d'informer immédiatement l'employeur de la situation rencontrée.</w:t>
      </w:r>
    </w:p>
    <w:p>
      <w:r>
        <w:rPr>
          <w:b w:val="0"/>
          <w:color w:val="BF5700"/>
          <w:sz w:val="22"/>
        </w:rPr>
        <w:t>Il en est de même pour le CSE, qui, informé par le salarié, doit immédiatement saisir l'employeur.</w:t>
      </w:r>
    </w:p>
    <w:p>
      <w:r>
        <w:rPr>
          <w:b w:val="0"/>
          <w:color w:val="000000"/>
          <w:sz w:val="22"/>
        </w:rPr>
        <w:t>91</w:t>
      </w:r>
    </w:p>
    <w:p>
      <w:r>
        <w:rPr>
          <w:b w:val="0"/>
          <w:color w:val="000000"/>
          <w:sz w:val="22"/>
        </w:rPr>
        <w:t>éditions Corroy à 4 rue de Villars, 42000 Saint-etienne à 04 77 79 92 46 à infos@editions-corroy.fr</w:t>
      </w:r>
    </w:p>
    <w:p>
      <w:r>
        <w:rPr>
          <w:b w:val="0"/>
          <w:color w:val="000000"/>
          <w:sz w:val="22"/>
        </w:rPr>
        <w:t>UE 3 à Fiche 21</w:t>
      </w:r>
    </w:p>
    <w:p>
      <w:pPr>
        <w:pStyle w:val="Heading2"/>
      </w:pPr>
      <w:r>
        <w:rPr>
          <w:b/>
          <w:color w:val="2F5496"/>
          <w:sz w:val="24"/>
        </w:rPr>
        <w:t>DCGUE3F.qxp_DCGUE3F 24/07/2025 15:57 Page 91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