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23 : LES SYNDICATS</w:t>
      </w:r>
    </w:p>
    <w:p/>
    <w:p>
      <w:pPr>
        <w:pStyle w:val="Heading2"/>
      </w:pPr>
      <w:r>
        <w:rPr>
          <w:b/>
          <w:color w:val="2F5496"/>
          <w:sz w:val="24"/>
        </w:rPr>
        <w:t>I • I- LA LIBERTÉ SYNDICALE</w:t>
      </w:r>
    </w:p>
    <w:p>
      <w:pPr>
        <w:pStyle w:val="Heading2"/>
      </w:pPr>
      <w:r>
        <w:rPr>
          <w:b/>
          <w:color w:val="2F5496"/>
          <w:sz w:val="24"/>
        </w:rPr>
        <w:t>A • LA LIBERTÉ DE CONSTITUTION</w:t>
      </w:r>
    </w:p>
    <w:p>
      <w:r>
        <w:rPr>
          <w:b w:val="0"/>
          <w:color w:val="BF5700"/>
          <w:sz w:val="22"/>
        </w:rPr>
        <w:t>Un syndicat peut être librement constitue sous les conditions de fond et de forme prescrites aux articles L2131-1 à L2131-</w:t>
      </w:r>
    </w:p>
    <w:p>
      <w:r>
        <w:rPr>
          <w:b w:val="0"/>
          <w:color w:val="000000"/>
          <w:sz w:val="22"/>
        </w:rPr>
        <w:t>6 du code du travail. Pour l'essentiel il convient :</w:t>
      </w:r>
    </w:p>
    <w:p>
      <w:pPr>
        <w:pStyle w:val="ListBullet"/>
      </w:pPr>
      <w:r>
        <w:rPr>
          <w:b w:val="0"/>
          <w:color w:val="000000"/>
          <w:sz w:val="22"/>
        </w:rPr>
        <w:t>de rédiger les statuts ;</w:t>
      </w:r>
    </w:p>
    <w:p>
      <w:pPr>
        <w:pStyle w:val="ListBullet"/>
      </w:pPr>
      <w:r>
        <w:rPr>
          <w:b w:val="0"/>
          <w:color w:val="00703C"/>
          <w:sz w:val="22"/>
        </w:rPr>
        <w:t>que l'association ait pour objet exclusivement à l'étude et la défense des droits ainsi que des intérêts matériels et</w:t>
      </w:r>
    </w:p>
    <w:p>
      <w:r>
        <w:rPr>
          <w:b w:val="0"/>
          <w:color w:val="000000"/>
          <w:sz w:val="22"/>
        </w:rPr>
        <w:t>moraux, tant collectifs qu'individuels, des personnes visées par leurs statuts à ;</w:t>
      </w:r>
    </w:p>
    <w:p>
      <w:pPr>
        <w:pStyle w:val="ListBullet"/>
      </w:pPr>
      <w:r>
        <w:rPr>
          <w:b w:val="0"/>
          <w:color w:val="000000"/>
          <w:sz w:val="22"/>
        </w:rPr>
        <w:t>de déposer lesdits documents à la mairie dans la localité de laquelle le syndicat est établi ;</w:t>
      </w:r>
    </w:p>
    <w:p>
      <w:pPr>
        <w:pStyle w:val="ListBullet"/>
      </w:pPr>
      <w:r>
        <w:rPr>
          <w:b w:val="0"/>
          <w:color w:val="BF5700"/>
          <w:sz w:val="22"/>
        </w:rPr>
        <w:t>le maire doit ensuite en donner communication au procureur de la république (rrt. R 2131-1 C. trav.).</w:t>
      </w:r>
    </w:p>
    <w:p>
      <w:r>
        <w:rPr>
          <w:b w:val="0"/>
          <w:color w:val="BF5700"/>
          <w:sz w:val="22"/>
        </w:rPr>
        <w:t>Cette simplicité de constitution participe au principe de liberté gouvernant à l'adhésion et à la formation d'un syndicat.</w:t>
      </w:r>
    </w:p>
    <w:p>
      <w:r>
        <w:rPr>
          <w:b w:val="0"/>
          <w:color w:val="00703C"/>
          <w:sz w:val="22"/>
        </w:rPr>
        <w:t>Cette liberté fondamentale n'est pas remise en cause lorsqu'il s'agit pour une mairie de refuser qu'un syndicat établisse</w:t>
      </w:r>
    </w:p>
    <w:p>
      <w:r>
        <w:rPr>
          <w:b w:val="0"/>
          <w:color w:val="000000"/>
          <w:sz w:val="22"/>
        </w:rPr>
        <w:t>son siège dans ses locaux administratifs. Le Conseil d'état par une décision en date du 28 mars 2006, après un rappel</w:t>
      </w:r>
    </w:p>
    <w:p>
      <w:r>
        <w:rPr>
          <w:b w:val="0"/>
          <w:color w:val="BF5700"/>
          <w:sz w:val="22"/>
        </w:rPr>
        <w:t>sans ombre du principe de la liberté syndicale, énonce qu'il n'y a pas à d'atteinte grave et manifestement illégale à à cette</w:t>
      </w:r>
    </w:p>
    <w:p>
      <w:r>
        <w:rPr>
          <w:b w:val="0"/>
          <w:color w:val="000000"/>
          <w:sz w:val="22"/>
        </w:rPr>
        <w:t>liberté lorsqu'une commune refuse la décision unilatérale d'un syndicat de fixer son siège dans les locaux de la mairie.</w:t>
      </w:r>
    </w:p>
    <w:p>
      <w:pPr>
        <w:pStyle w:val="Heading2"/>
      </w:pPr>
      <w:r>
        <w:rPr>
          <w:b/>
          <w:color w:val="2F5496"/>
          <w:sz w:val="24"/>
        </w:rPr>
        <w:t>B • L'ACQUISITION DE LA PERSONNALITÉ JURIDIQUE</w:t>
      </w:r>
    </w:p>
    <w:p>
      <w:r>
        <w:rPr>
          <w:b w:val="0"/>
          <w:color w:val="000000"/>
          <w:sz w:val="22"/>
        </w:rPr>
        <w:t>Bien que le procureur de la république soit informé de la constitution du syndicat cela n'a pas pour effet de suspendre</w:t>
      </w:r>
    </w:p>
    <w:p>
      <w:r>
        <w:rPr>
          <w:b w:val="0"/>
          <w:color w:val="000000"/>
          <w:sz w:val="22"/>
        </w:rPr>
        <w:t>l'acquisition de la personnalité morale par le syndicat.</w:t>
      </w:r>
    </w:p>
    <w:p>
      <w:r>
        <w:rPr>
          <w:b w:val="0"/>
          <w:color w:val="000000"/>
          <w:sz w:val="22"/>
        </w:rPr>
        <w:t>En effet, à compter du dépôt des documents visés à la mairie, le syndicat jouit de la capacité civile. à ce titre il peut ester</w:t>
      </w:r>
    </w:p>
    <w:p>
      <w:r>
        <w:rPr>
          <w:b w:val="0"/>
          <w:color w:val="000000"/>
          <w:sz w:val="22"/>
        </w:rPr>
        <w:t>en justice, acquérir des biens meubles ou immeubles, passer des contrats ou conventions avec tous autres syndicats,</w:t>
      </w:r>
    </w:p>
    <w:p>
      <w:r>
        <w:rPr>
          <w:b w:val="0"/>
          <w:color w:val="000000"/>
          <w:sz w:val="22"/>
        </w:rPr>
        <w:t>sociétés ou entreprisesé</w:t>
      </w:r>
    </w:p>
    <w:p>
      <w:pPr>
        <w:pStyle w:val="Heading2"/>
      </w:pPr>
      <w:r>
        <w:rPr>
          <w:b/>
          <w:color w:val="2F5496"/>
          <w:sz w:val="24"/>
        </w:rPr>
        <w:t>C • LA LIBERTÉ D'ADHÉSION</w:t>
      </w:r>
    </w:p>
    <w:p>
      <w:r>
        <w:rPr>
          <w:b w:val="0"/>
          <w:color w:val="000000"/>
          <w:sz w:val="22"/>
        </w:rPr>
        <w:t>Si la liberté préside à la constitution du syndicat, elle est, avec la même force, reconnue comme l'expression d'une liberté</w:t>
      </w:r>
    </w:p>
    <w:p>
      <w:r>
        <w:rPr>
          <w:b w:val="0"/>
          <w:color w:val="00703C"/>
          <w:sz w:val="22"/>
        </w:rPr>
        <w:t>individuelle lorsqu'il s'agit d'y adhérer ou non.</w:t>
      </w:r>
    </w:p>
    <w:p>
      <w:r>
        <w:rPr>
          <w:b w:val="0"/>
          <w:color w:val="BF5700"/>
          <w:sz w:val="22"/>
        </w:rPr>
        <w:t>Ce principe est rappelé dans différentes dispositions du code du travail. Rappelons notamment que tout salarié, quels</w:t>
      </w:r>
    </w:p>
    <w:p>
      <w:r>
        <w:rPr>
          <w:b w:val="0"/>
          <w:color w:val="000000"/>
          <w:sz w:val="22"/>
        </w:rPr>
        <w:t>que soient son sexe, son âge, sa nationalité, peut librement adhérer au syndicat professionnel de son choix (L 2141-1 C.</w:t>
      </w:r>
    </w:p>
    <w:p>
      <w:r>
        <w:rPr>
          <w:b w:val="0"/>
          <w:color w:val="000000"/>
          <w:sz w:val="22"/>
        </w:rPr>
        <w:t>trav.).</w:t>
      </w:r>
    </w:p>
    <w:p>
      <w:r>
        <w:rPr>
          <w:b w:val="0"/>
          <w:color w:val="000000"/>
          <w:sz w:val="22"/>
        </w:rPr>
        <w:t>De même que toute discrimination envers un salarié en raison de ses activités syndicales est nulle (L1132-1 C. trav) : à</w:t>
      </w:r>
    </w:p>
    <w:p>
      <w:r>
        <w:rPr>
          <w:b w:val="0"/>
          <w:color w:val="BF5700"/>
          <w:sz w:val="22"/>
        </w:rPr>
        <w:t>aucune personne ne peut être écartée d'une procédure de recrutement ou de l'accès à un stage ou à une période de</w:t>
      </w:r>
    </w:p>
    <w:p>
      <w:r>
        <w:rPr>
          <w:b w:val="0"/>
          <w:color w:val="00703C"/>
          <w:sz w:val="22"/>
        </w:rPr>
        <w:t>formation en entreprise, aucun salarié ne peut être sanctionné, licencié ou faire l'objet d'une mesure discriminatoire,</w:t>
      </w:r>
    </w:p>
    <w:p>
      <w:r>
        <w:rPr>
          <w:b w:val="0"/>
          <w:color w:val="000000"/>
          <w:sz w:val="22"/>
        </w:rPr>
        <w:t>directe ou indirecte, notamment en matière de rémunération, au sens de l'article L. 3221-3, de mesures d'intéressement</w:t>
      </w:r>
    </w:p>
    <w:p>
      <w:r>
        <w:rPr>
          <w:b w:val="0"/>
          <w:color w:val="000000"/>
          <w:sz w:val="22"/>
        </w:rPr>
        <w:t>ou de distribution d'actions, de formation, de reclassement, d'affectation, de qualification, de classification, de</w:t>
      </w:r>
    </w:p>
    <w:p>
      <w:r>
        <w:rPr>
          <w:b w:val="0"/>
          <w:color w:val="000000"/>
          <w:sz w:val="22"/>
        </w:rPr>
        <w:t>promotion professionnelle, de mutation ou de renouvellement de contrat en raison à. de ses activités syndicales ou</w:t>
      </w:r>
    </w:p>
    <w:p>
      <w:r>
        <w:rPr>
          <w:b w:val="0"/>
          <w:color w:val="000000"/>
          <w:sz w:val="22"/>
        </w:rPr>
        <w:t>mutualistes... à. En cas de discrimination (par exemple priver un salarié de formation au motif que son mandat occupe</w:t>
      </w:r>
    </w:p>
    <w:p>
      <w:r>
        <w:rPr>
          <w:b w:val="0"/>
          <w:color w:val="000000"/>
          <w:sz w:val="22"/>
        </w:rPr>
        <w:t>tout son temps Cass. 23 mars 2016 ou encore tenir compte des activités syndicales dans l'entretien d'évaluation</w:t>
      </w:r>
    </w:p>
    <w:p>
      <w:r>
        <w:rPr>
          <w:b w:val="0"/>
          <w:color w:val="000000"/>
          <w:sz w:val="22"/>
        </w:rPr>
        <w:t>professionnelle Cass.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février 2017), il incombe au salarié d'apporter la preuve des faits la laissant supposer (Cass.</w:t>
      </w:r>
    </w:p>
    <w:p>
      <w:r>
        <w:rPr>
          <w:b w:val="0"/>
          <w:color w:val="000000"/>
          <w:sz w:val="22"/>
        </w:rPr>
        <w:t>14 septembre 2010). De surcroît, l'adhésion à un syndicat relève de la vie privée. Des lors, le syndicat n'est pas</w:t>
      </w:r>
    </w:p>
    <w:p>
      <w:r>
        <w:rPr>
          <w:b w:val="0"/>
          <w:color w:val="000000"/>
          <w:sz w:val="22"/>
        </w:rPr>
        <w:t>autorisé à fournir une liste nominative de ses adhérents dans une entreprise sans leur consentement (Cass.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décembre 2010).</w:t>
      </w:r>
    </w:p>
    <w:p>
      <w:pPr>
        <w:pStyle w:val="Heading2"/>
      </w:pPr>
      <w:r>
        <w:rPr>
          <w:b/>
          <w:color w:val="2F5496"/>
          <w:sz w:val="24"/>
        </w:rPr>
        <w:t>II • LA REPRÉSENTATIVITÉ SYNDICALE</w:t>
      </w:r>
    </w:p>
    <w:p>
      <w:pPr>
        <w:pStyle w:val="Heading2"/>
      </w:pPr>
      <w:r>
        <w:rPr>
          <w:b/>
          <w:color w:val="2F5496"/>
          <w:sz w:val="24"/>
        </w:rPr>
        <w:t>A • CRITÈRES GÉNÉRAUX DE REPRÉSENTATIVITÉ</w:t>
      </w:r>
    </w:p>
    <w:p>
      <w:r>
        <w:rPr>
          <w:b w:val="0"/>
          <w:color w:val="000000"/>
          <w:sz w:val="22"/>
        </w:rPr>
        <w:t>La représentativité générale des organisations syndicales est déterminée d'après les critères cumulatifs suivants (C.</w:t>
      </w:r>
    </w:p>
    <w:p>
      <w:r>
        <w:rPr>
          <w:b w:val="0"/>
          <w:color w:val="000000"/>
          <w:sz w:val="22"/>
        </w:rPr>
        <w:t>trav. L 2121-1) :</w:t>
      </w:r>
    </w:p>
    <w:p>
      <w:pPr>
        <w:pStyle w:val="ListBullet"/>
      </w:pPr>
      <w:r>
        <w:rPr>
          <w:b w:val="0"/>
          <w:color w:val="000000"/>
          <w:sz w:val="22"/>
        </w:rPr>
        <w:t>le respect des valeurs républicaines ;</w:t>
      </w:r>
    </w:p>
    <w:p>
      <w:pPr>
        <w:pStyle w:val="ListBullet"/>
      </w:pPr>
      <w:r>
        <w:rPr>
          <w:b w:val="0"/>
          <w:color w:val="000000"/>
          <w:sz w:val="22"/>
        </w:rPr>
        <w:t>l'indépendance ;</w:t>
      </w:r>
    </w:p>
    <w:p>
      <w:pPr>
        <w:pStyle w:val="ListBullet"/>
      </w:pPr>
      <w:r>
        <w:rPr>
          <w:b w:val="0"/>
          <w:color w:val="000000"/>
          <w:sz w:val="22"/>
        </w:rPr>
        <w:t>la transparence financière ;</w:t>
      </w:r>
    </w:p>
    <w:p>
      <w:pPr>
        <w:pStyle w:val="ListBullet"/>
      </w:pPr>
      <w:r>
        <w:rPr>
          <w:b w:val="0"/>
          <w:color w:val="000000"/>
          <w:sz w:val="22"/>
        </w:rPr>
        <w:t>une ancienneté minimale de deux ans dans le champ professionnel et géographique couvrant le niveau de</w:t>
      </w:r>
    </w:p>
    <w:p>
      <w:r>
        <w:rPr>
          <w:b w:val="0"/>
          <w:color w:val="000000"/>
          <w:sz w:val="22"/>
        </w:rPr>
        <w:t>négociation. Cette ancienneté s'apprécie à compter de la date de dépôt légal des statuts ;</w:t>
      </w:r>
    </w:p>
    <w:p>
      <w:pPr>
        <w:pStyle w:val="ListBullet"/>
      </w:pPr>
      <w:r>
        <w:rPr>
          <w:b w:val="0"/>
          <w:color w:val="000000"/>
          <w:sz w:val="22"/>
        </w:rPr>
        <w:t>l'audience établie selon les niveaux de négociation ;</w:t>
      </w:r>
    </w:p>
    <w:p>
      <w:pPr>
        <w:pStyle w:val="ListBullet"/>
      </w:pPr>
      <w:r>
        <w:rPr>
          <w:b w:val="0"/>
          <w:color w:val="000000"/>
          <w:sz w:val="22"/>
        </w:rPr>
        <w:t>l'influence, prioritairement caractérisée par l'activité et l'expérience ;</w:t>
      </w:r>
    </w:p>
    <w:p>
      <w:pPr>
        <w:pStyle w:val="ListBullet"/>
      </w:pPr>
      <w:r>
        <w:rPr>
          <w:b w:val="0"/>
          <w:color w:val="000000"/>
          <w:sz w:val="22"/>
        </w:rPr>
        <w:t>les effectifs d'adhérents et les cotisations.</w:t>
      </w:r>
    </w:p>
    <w:p>
      <w:pPr>
        <w:pStyle w:val="Heading2"/>
      </w:pPr>
      <w:r>
        <w:rPr>
          <w:b/>
          <w:color w:val="2F5496"/>
          <w:sz w:val="24"/>
        </w:rPr>
        <w:t>B • NIVEAU D'APPRÉCIATION DE LA REPRÉSENTATIVITÉ AU REGARD DU CRITÈRE DE L'AUDIENCE</w:t>
      </w:r>
    </w:p>
    <w:p>
      <w:pPr>
        <w:pStyle w:val="Heading2"/>
      </w:pPr>
      <w:r>
        <w:rPr>
          <w:b/>
          <w:color w:val="2F5496"/>
          <w:sz w:val="24"/>
        </w:rPr>
        <w:t>NIVEAU DE L'ENTREPRISE OU DE L'ÉTABLISSEMENT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Représentativité dans les entreprises de 11 salariés et plus</w:t>
      </w:r>
    </w:p>
    <w:p>
      <w:r>
        <w:rPr>
          <w:b w:val="0"/>
          <w:color w:val="000000"/>
          <w:sz w:val="22"/>
        </w:rPr>
        <w:t>Dans l'entreprise ou l'établissement, sont représentatives les organisations syndicales qui satisfont aux précédents</w:t>
      </w:r>
    </w:p>
    <w:p>
      <w:r>
        <w:rPr>
          <w:b w:val="0"/>
          <w:color w:val="000000"/>
          <w:sz w:val="22"/>
        </w:rPr>
        <w:t>critères et qui ont recueilli au moins 10% des suffrages exprimés au premier tour des dernières élections des titulaires au</w:t>
      </w:r>
    </w:p>
    <w:p>
      <w:r>
        <w:rPr>
          <w:b w:val="0"/>
          <w:color w:val="000000"/>
          <w:sz w:val="22"/>
        </w:rPr>
        <w:t>comité d'entreprise ou de la délégation unique du personnel ou, à défaut, des délégués du personnel, quel que soit le</w:t>
      </w:r>
    </w:p>
    <w:p>
      <w:r>
        <w:rPr>
          <w:b w:val="0"/>
          <w:color w:val="000000"/>
          <w:sz w:val="22"/>
        </w:rPr>
        <w:t>nombre de votants.</w:t>
      </w:r>
    </w:p>
    <w:p>
      <w:r>
        <w:rPr>
          <w:b w:val="0"/>
          <w:color w:val="000000"/>
          <w:sz w:val="22"/>
        </w:rPr>
        <w:t>98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98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