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27 : L'ASSOCIATION DES SALARIÉS</w:t>
      </w:r>
    </w:p>
    <w:p/>
    <w:p>
      <w:pPr>
        <w:pStyle w:val="Heading2"/>
      </w:pPr>
      <w:r>
        <w:rPr>
          <w:b/>
          <w:color w:val="2F5496"/>
          <w:sz w:val="24"/>
        </w:rPr>
        <w:t>I • LA PARTICIPATION</w:t>
      </w:r>
    </w:p>
    <w:p>
      <w:r>
        <w:rPr>
          <w:b w:val="0"/>
          <w:color w:val="00703C"/>
          <w:sz w:val="22"/>
        </w:rPr>
        <w:t>La participation a pour objet de repartir entre les salariés une fraction des bénéfices annuels réalisés par l'entreprise. Le</w:t>
      </w:r>
    </w:p>
    <w:p>
      <w:r>
        <w:rPr>
          <w:b w:val="0"/>
          <w:color w:val="000000"/>
          <w:sz w:val="22"/>
        </w:rPr>
        <w:t>montant à distribuer est fixe dans la réserve spéciale de participation. à l'embauche et lorsque le mécanisme existe,</w:t>
      </w:r>
    </w:p>
    <w:p>
      <w:r>
        <w:rPr>
          <w:b w:val="0"/>
          <w:color w:val="000000"/>
          <w:sz w:val="22"/>
        </w:rPr>
        <w:t>l'employeur remet au salarié un livret d'épargne salariale contenant toute précision sur le mécanisme et les droits dont</w:t>
      </w:r>
    </w:p>
    <w:p>
      <w:r>
        <w:rPr>
          <w:b w:val="0"/>
          <w:color w:val="000000"/>
          <w:sz w:val="22"/>
        </w:rPr>
        <w:t>il peut bénéficier.</w:t>
      </w:r>
    </w:p>
    <w:p>
      <w:pPr>
        <w:pStyle w:val="Heading2"/>
      </w:pPr>
      <w:r>
        <w:rPr>
          <w:b/>
          <w:color w:val="2F5496"/>
          <w:sz w:val="24"/>
        </w:rPr>
        <w:t>A • CHAMP D'APPLICATION DE LA PARTICIPATION</w:t>
      </w:r>
    </w:p>
    <w:p>
      <w:pPr>
        <w:pStyle w:val="Heading2"/>
      </w:pPr>
      <w:r>
        <w:rPr>
          <w:b/>
          <w:color w:val="BF5700"/>
          <w:sz w:val="24"/>
        </w:rPr>
        <w:t>OBLIGATION DE MISE EN PLACE à RAISON DE L'EFFECTIF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Doivent obligatoirement conclure un accord de participation les entreprises de droit privé dont l'effectif de 50 salariés a</w:t>
      </w:r>
    </w:p>
    <w:p>
      <w:r>
        <w:rPr>
          <w:b w:val="0"/>
          <w:color w:val="BF5700"/>
          <w:sz w:val="22"/>
        </w:rPr>
        <w:t>été atteint pendant 5 années consécutives. Par ailleurs, pour permettre une réserve de participation, il faut que l'entre-</w:t>
      </w:r>
    </w:p>
    <w:p>
      <w:r>
        <w:rPr>
          <w:b w:val="0"/>
          <w:color w:val="BF5700"/>
          <w:sz w:val="22"/>
        </w:rPr>
        <w:t>prise réalise un bénéfice supérieur à 5% des capitaux propres.</w:t>
      </w:r>
    </w:p>
    <w:p>
      <w:pPr>
        <w:pStyle w:val="Heading2"/>
      </w:pPr>
      <w:r>
        <w:rPr>
          <w:b/>
          <w:color w:val="BF5700"/>
          <w:sz w:val="24"/>
        </w:rPr>
        <w:t>OBLIGATION ÉTENDUE AUX UNITÉS ÉCONOMIQUES ET SOCIALES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Cette disposition peut être étendue aux unités économiques et sociales dont l'effectif atteint le même nombre de</w:t>
      </w:r>
    </w:p>
    <w:p>
      <w:r>
        <w:rPr>
          <w:b w:val="0"/>
          <w:color w:val="BF5700"/>
          <w:sz w:val="22"/>
        </w:rPr>
        <w:t>salariés.</w:t>
      </w:r>
    </w:p>
    <w:p>
      <w:r>
        <w:rPr>
          <w:b w:val="0"/>
          <w:color w:val="BF5700"/>
          <w:sz w:val="22"/>
        </w:rPr>
        <w:t>Le critère de l'unité économique est constitue lorsqu'il y a unité de direction et identité ou complémentarité d'activité.</w:t>
      </w:r>
    </w:p>
    <w:p>
      <w:r>
        <w:rPr>
          <w:b w:val="0"/>
          <w:color w:val="BF5700"/>
          <w:sz w:val="22"/>
        </w:rPr>
        <w:t>Exercice</w:t>
      </w:r>
    </w:p>
    <w:p>
      <w:r>
        <w:rPr>
          <w:b w:val="0"/>
          <w:color w:val="BF5700"/>
          <w:sz w:val="22"/>
        </w:rPr>
        <w:t>correspondant</w:t>
      </w:r>
    </w:p>
    <w:p>
      <w:r>
        <w:rPr>
          <w:b w:val="0"/>
          <w:color w:val="BF5700"/>
          <w:sz w:val="22"/>
        </w:rPr>
        <w:t>LE LINGOT DE PLOMB : L'association des salariés aux performances de l'entreprise : participation, mise en place,</w:t>
      </w:r>
    </w:p>
    <w:p>
      <w:r>
        <w:rPr>
          <w:b w:val="0"/>
          <w:color w:val="BF5700"/>
          <w:sz w:val="22"/>
        </w:rPr>
        <w:t>fonctionnement, intéressement, principes et mise en place, PERCO.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10:42 Page 119</w:t>
      </w:r>
    </w:p>
    <w:p>
      <w:r>
        <w:rPr>
          <w:b w:val="0"/>
          <w:color w:val="000000"/>
          <w:sz w:val="22"/>
        </w:rPr>
        <w:t>Le critère de l'unité sociale relève d'indices variés, tels qu'une gestion commune du personnel, un statut juridique</w:t>
      </w:r>
    </w:p>
    <w:p>
      <w:r>
        <w:rPr>
          <w:b w:val="0"/>
          <w:color w:val="000000"/>
          <w:sz w:val="22"/>
        </w:rPr>
        <w:t>commun, une convention collective identiqueé</w:t>
      </w:r>
    </w:p>
    <w:p>
      <w:r>
        <w:rPr>
          <w:b w:val="0"/>
          <w:color w:val="000000"/>
          <w:sz w:val="22"/>
        </w:rPr>
        <w:t>Plusieurs entreprises juridiquement distinctes peuvent donc constituer une unité économique et sociale, mais pour en</w:t>
      </w:r>
    </w:p>
    <w:p>
      <w:r>
        <w:rPr>
          <w:b w:val="0"/>
          <w:color w:val="BF5700"/>
          <w:sz w:val="22"/>
        </w:rPr>
        <w:t>produire les effets elle doit être reconnue par convention collective ou décision de justice.</w:t>
      </w:r>
    </w:p>
    <w:p>
      <w:pPr>
        <w:pStyle w:val="Heading2"/>
      </w:pPr>
      <w:r>
        <w:rPr>
          <w:b/>
          <w:color w:val="2F5496"/>
          <w:sz w:val="24"/>
        </w:rPr>
        <w:t>B • MISE EN PLACE DE LA PARTICIPATION</w:t>
      </w:r>
    </w:p>
    <w:p>
      <w:pPr>
        <w:pStyle w:val="Heading2"/>
      </w:pPr>
      <w:r>
        <w:rPr>
          <w:b/>
          <w:color w:val="2F5496"/>
          <w:sz w:val="24"/>
        </w:rPr>
        <w:t>L'ACCORD DE PARTICIPATION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participation suppose un accord de participation (art. L 3322-6 C. trav.). Il peut être conclu soit :</w:t>
      </w:r>
    </w:p>
    <w:p>
      <w:pPr>
        <w:pStyle w:val="ListBullet"/>
      </w:pPr>
      <w:r>
        <w:rPr>
          <w:b w:val="0"/>
          <w:color w:val="000000"/>
          <w:sz w:val="22"/>
        </w:rPr>
        <w:t>dans le cadre d'une convention ou d'un accord : de branche, professionnel ou d'entreprise ;</w:t>
      </w:r>
    </w:p>
    <w:p>
      <w:pPr>
        <w:pStyle w:val="ListBullet"/>
      </w:pPr>
      <w:r>
        <w:rPr>
          <w:b w:val="0"/>
          <w:color w:val="000000"/>
          <w:sz w:val="22"/>
        </w:rPr>
        <w:t>au sein du comité social et économique ;</w:t>
      </w:r>
    </w:p>
    <w:p>
      <w:pPr>
        <w:pStyle w:val="ListBullet"/>
      </w:pPr>
      <w:r>
        <w:rPr>
          <w:b w:val="0"/>
          <w:color w:val="000000"/>
          <w:sz w:val="22"/>
        </w:rPr>
        <w:t>entre l'employeur et ses représentants syndicaux ;</w:t>
      </w:r>
    </w:p>
    <w:p>
      <w:pPr>
        <w:pStyle w:val="ListBullet"/>
      </w:pPr>
      <w:r>
        <w:rPr>
          <w:b w:val="0"/>
          <w:color w:val="000000"/>
          <w:sz w:val="22"/>
        </w:rPr>
        <w:t>à la suite d'une consultation du personnel ayant valide le projet à la majorité des 2/3.</w:t>
      </w:r>
    </w:p>
    <w:p>
      <w:r>
        <w:rPr>
          <w:b w:val="0"/>
          <w:color w:val="BF5700"/>
          <w:sz w:val="22"/>
        </w:rPr>
        <w:t>Une fois adopté, l'accord de participation doit être déposé auprès de la DDETS qui en vérifie les conditions de forme</w:t>
      </w:r>
    </w:p>
    <w:p>
      <w:r>
        <w:rPr>
          <w:b w:val="0"/>
          <w:color w:val="000000"/>
          <w:sz w:val="22"/>
        </w:rPr>
        <w:t>auprès de l'organisme de recouvrement des cotisations sociales qui s'assure de la régularité de ses dispositions.</w:t>
      </w:r>
    </w:p>
    <w:p>
      <w:pPr>
        <w:pStyle w:val="Heading2"/>
      </w:pPr>
      <w:r>
        <w:rPr>
          <w:b/>
          <w:color w:val="2F5496"/>
          <w:sz w:val="24"/>
        </w:rPr>
        <w:t>EN L'ABSENCE D'ACCORD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En l'absence d'accord collectif et si les conditions d'assujettissement sont réunies, le régime légal s'applique</w:t>
      </w:r>
    </w:p>
    <w:p>
      <w:r>
        <w:rPr>
          <w:b w:val="0"/>
          <w:color w:val="000000"/>
          <w:sz w:val="22"/>
        </w:rPr>
        <w:t>automatiquement. Tous les salariés peuvent en bénéficier et la participation est calculée proportionnellement aux salaires.</w:t>
      </w:r>
    </w:p>
    <w:p>
      <w:pPr>
        <w:pStyle w:val="Heading2"/>
      </w:pPr>
      <w:r>
        <w:rPr>
          <w:b/>
          <w:color w:val="2F5496"/>
          <w:sz w:val="24"/>
        </w:rPr>
        <w:t>C • LA DISPONIBILITÉ DES FONDS</w:t>
      </w:r>
    </w:p>
    <w:p>
      <w:pPr>
        <w:pStyle w:val="Heading2"/>
      </w:pPr>
      <w:r>
        <w:rPr>
          <w:b/>
          <w:color w:val="2F5496"/>
          <w:sz w:val="24"/>
        </w:rPr>
        <w:t>VERSEMENT IMMÉDIAT DES SOMMES (ARTICLE R3324-21-1 C.TRAV.)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C00000"/>
          <w:sz w:val="22"/>
        </w:rPr>
        <w:t>Des que le salarié est informé des sommes qui lui ont été attribuées au titre de la participation, il peut, sous 15 jours (sauf</w:t>
      </w:r>
    </w:p>
    <w:p>
      <w:r>
        <w:rPr>
          <w:b w:val="0"/>
          <w:color w:val="000000"/>
          <w:sz w:val="22"/>
        </w:rPr>
        <w:t>accord différent) en demander le versement immédiat. Les sommes sont alors imposables à l'impôt sur le revenu, ce qui</w:t>
      </w:r>
    </w:p>
    <w:p>
      <w:r>
        <w:rPr>
          <w:b w:val="0"/>
          <w:color w:val="000000"/>
          <w:sz w:val="22"/>
        </w:rPr>
        <w:t>n'est pas le cas en cas de blocage des fonds.</w:t>
      </w:r>
    </w:p>
    <w:p>
      <w:pPr>
        <w:pStyle w:val="Heading2"/>
      </w:pPr>
      <w:r>
        <w:rPr>
          <w:b/>
          <w:color w:val="2F5496"/>
          <w:sz w:val="24"/>
        </w:rPr>
        <w:t>LE BLOCAGE DES FONDS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sommes déposées, si elles ne sont pas retirées immédiatement, sont indisponibles pendant une durée de 5 ans ou 8</w:t>
      </w:r>
    </w:p>
    <w:p>
      <w:r>
        <w:rPr>
          <w:b w:val="0"/>
          <w:color w:val="000000"/>
          <w:sz w:val="22"/>
        </w:rPr>
        <w:t>ans en l'absence d'accord collectif dans les délais requis. Les sommes acquises sont affectées soit sur un compte épargne</w:t>
      </w:r>
    </w:p>
    <w:p>
      <w:r>
        <w:rPr>
          <w:b w:val="0"/>
          <w:color w:val="000000"/>
          <w:sz w:val="22"/>
        </w:rPr>
        <w:t>(PEE, PEI, PER) soit sur un compte que l'entreprise affecte à des investissements (pour les accords postérieurs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2007)</w:t>
      </w:r>
    </w:p>
    <w:p>
      <w:r>
        <w:rPr>
          <w:b w:val="0"/>
          <w:color w:val="000000"/>
          <w:sz w:val="22"/>
        </w:rPr>
        <w:t>Au terme de l'échéance, le salarié peut choisir :</w:t>
      </w:r>
    </w:p>
    <w:p>
      <w:pPr>
        <w:pStyle w:val="ListBullet"/>
      </w:pPr>
      <w:r>
        <w:rPr>
          <w:b w:val="0"/>
          <w:color w:val="000000"/>
          <w:sz w:val="22"/>
        </w:rPr>
        <w:t>de retirer les droits acquis ;</w:t>
      </w:r>
    </w:p>
    <w:p>
      <w:pPr>
        <w:pStyle w:val="ListBullet"/>
      </w:pPr>
      <w:r>
        <w:rPr>
          <w:b w:val="0"/>
          <w:color w:val="000000"/>
          <w:sz w:val="22"/>
        </w:rPr>
        <w:t>de verser les sommes sur un compte épargne entreprise ;</w:t>
      </w:r>
    </w:p>
    <w:p>
      <w:pPr>
        <w:pStyle w:val="ListBullet"/>
      </w:pPr>
      <w:r>
        <w:rPr>
          <w:b w:val="0"/>
          <w:color w:val="00703C"/>
          <w:sz w:val="22"/>
        </w:rPr>
        <w:t>de maintenir la situation en l'état pour bénéficier des exonérations dont la participation fait l'objet.</w:t>
      </w:r>
    </w:p>
    <w:p>
      <w:pPr>
        <w:pStyle w:val="Heading2"/>
      </w:pPr>
      <w:r>
        <w:rPr>
          <w:b/>
          <w:color w:val="2F5496"/>
          <w:sz w:val="24"/>
        </w:rPr>
        <w:t>LE DÉBLOCAGE ANTICIPÉ DES FONDS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à titre dérogatoire, il est possible de demander le déblocage anticipé dans le cas d'événements définis à l'article R 3324-</w:t>
      </w:r>
    </w:p>
    <w:p>
      <w:r>
        <w:rPr>
          <w:b w:val="0"/>
          <w:color w:val="000000"/>
          <w:sz w:val="22"/>
        </w:rPr>
        <w:t>22 du code du travail.</w:t>
      </w:r>
    </w:p>
    <w:p>
      <w:r>
        <w:rPr>
          <w:b w:val="0"/>
          <w:color w:val="000000"/>
          <w:sz w:val="22"/>
        </w:rPr>
        <w:t>Sont concernés par exemple : Le mariage ou la conclusion d'un pacte civil de solidarité par l'intéresse (en sont exclus les</w:t>
      </w:r>
    </w:p>
    <w:p>
      <w:r>
        <w:rPr>
          <w:b w:val="0"/>
          <w:color w:val="000000"/>
          <w:sz w:val="22"/>
        </w:rPr>
        <w:t>concubins), la naissance ou l'arrivée au foyer d'un enfant en vue de son adoption, des lors que le foyer compte déjà au</w:t>
      </w:r>
    </w:p>
    <w:p>
      <w:r>
        <w:rPr>
          <w:b w:val="0"/>
          <w:color w:val="000000"/>
          <w:sz w:val="22"/>
        </w:rPr>
        <w:t>moins deux enfants à sa charge, la rupture du contrat de travail, l'affectation des sommes épargnées à l'acquisition ou</w:t>
      </w:r>
    </w:p>
    <w:p>
      <w:r>
        <w:rPr>
          <w:b w:val="0"/>
          <w:color w:val="000000"/>
          <w:sz w:val="22"/>
        </w:rPr>
        <w:t>agrandissement de la résidence principale emportant création de surface habitable.</w:t>
      </w:r>
    </w:p>
    <w:p>
      <w:pPr>
        <w:pStyle w:val="Heading2"/>
      </w:pPr>
      <w:r>
        <w:rPr>
          <w:b/>
          <w:color w:val="2F5496"/>
          <w:sz w:val="24"/>
        </w:rPr>
        <w:t>II • L'INTÉRESSEMENT</w:t>
      </w:r>
    </w:p>
    <w:p>
      <w:pPr>
        <w:pStyle w:val="Heading2"/>
      </w:pPr>
      <w:r>
        <w:rPr>
          <w:b/>
          <w:color w:val="BF5700"/>
          <w:sz w:val="24"/>
        </w:rPr>
        <w:t>A • CONDITIONS DE MISE EN PLACE</w:t>
      </w:r>
    </w:p>
    <w:p>
      <w:pPr>
        <w:pStyle w:val="Heading2"/>
      </w:pPr>
      <w:r>
        <w:rPr>
          <w:b/>
          <w:color w:val="2F5496"/>
          <w:sz w:val="24"/>
        </w:rPr>
        <w:t>CHAMP D'APPLICATION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Toute entreprise est justifiée à conclure un accord d'intéressement, quelle que soit son activité, sa forme juridique ou sa</w:t>
      </w:r>
    </w:p>
    <w:p>
      <w:r>
        <w:rPr>
          <w:b w:val="0"/>
          <w:color w:val="000000"/>
          <w:sz w:val="22"/>
        </w:rPr>
        <w:t>taille. L'accord, facultatif, est conclu au profit de toute personne ayant un contrat de travail avec l'entreprise. En outre les</w:t>
      </w:r>
    </w:p>
    <w:p>
      <w:r>
        <w:rPr>
          <w:b w:val="0"/>
          <w:color w:val="000000"/>
          <w:sz w:val="22"/>
        </w:rPr>
        <w:t>chefs d'entreprise dont la structure compte au moins 1 salarié et au plus 100 salariés sont admis au bénéfice de</w:t>
      </w:r>
    </w:p>
    <w:p>
      <w:r>
        <w:rPr>
          <w:b w:val="0"/>
          <w:color w:val="000000"/>
          <w:sz w:val="22"/>
        </w:rPr>
        <w:t>l'intéressement.</w:t>
      </w:r>
    </w:p>
    <w:p>
      <w:pPr>
        <w:pStyle w:val="Heading2"/>
      </w:pPr>
      <w:r>
        <w:rPr>
          <w:b/>
          <w:color w:val="2F5496"/>
          <w:sz w:val="24"/>
        </w:rPr>
        <w:t>CONCLUSION DE L'ACCORD D'INTÉRESSEMENT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L'accord peut être conclu aux mêmes conditions que l'accord de participation pour une durée de 3 ans (Dans le cadre</w:t>
      </w:r>
    </w:p>
    <w:p>
      <w:r>
        <w:rPr>
          <w:b w:val="0"/>
          <w:color w:val="000000"/>
          <w:sz w:val="22"/>
        </w:rPr>
        <w:t>d'une convention ou d'un accord de branche, professionnel ou d'entreprise, au sein du comité social et économique,</w:t>
      </w:r>
    </w:p>
    <w:p>
      <w:r>
        <w:rPr>
          <w:b w:val="0"/>
          <w:color w:val="000000"/>
          <w:sz w:val="22"/>
        </w:rPr>
        <w:t>entre l'employeur et ses représentants syndicaux, à la suite d'une consultation du personnel ayant valide le projet à la</w:t>
      </w:r>
    </w:p>
    <w:p>
      <w:r>
        <w:rPr>
          <w:b w:val="0"/>
          <w:color w:val="BF5700"/>
          <w:sz w:val="22"/>
        </w:rPr>
        <w:t>majorité des 2/3). Préalablement à sa conclusion, il doit être transmis pour avis au CSE et à défaut aux délégués du</w:t>
      </w:r>
    </w:p>
    <w:p>
      <w:r>
        <w:rPr>
          <w:b w:val="0"/>
          <w:color w:val="000000"/>
          <w:sz w:val="22"/>
        </w:rPr>
        <w:t>personnel sur requête des parties.</w:t>
      </w:r>
    </w:p>
    <w:p>
      <w:r>
        <w:rPr>
          <w:b w:val="0"/>
          <w:color w:val="000000"/>
          <w:sz w:val="22"/>
        </w:rPr>
        <w:t>Une fois établi, il est déposé dans les 15 jours de sa conclusion aux services de la DREETS.</w:t>
      </w:r>
    </w:p>
    <w:p>
      <w:r>
        <w:rPr>
          <w:b w:val="0"/>
          <w:color w:val="BF5700"/>
          <w:sz w:val="22"/>
        </w:rPr>
        <w:t>L'intéressement prévu par l'accord doit impérativement :</w:t>
      </w:r>
    </w:p>
    <w:p>
      <w:pPr>
        <w:pStyle w:val="ListBullet"/>
      </w:pPr>
      <w:r>
        <w:rPr>
          <w:b w:val="0"/>
          <w:color w:val="000000"/>
          <w:sz w:val="22"/>
        </w:rPr>
        <w:t>être collectif ;</w:t>
      </w:r>
    </w:p>
    <w:p>
      <w:pPr>
        <w:pStyle w:val="ListBullet"/>
      </w:pPr>
      <w:r>
        <w:rPr>
          <w:b w:val="0"/>
          <w:color w:val="00703C"/>
          <w:sz w:val="22"/>
        </w:rPr>
        <w:t>présenter un caractère aléatoire ;</w:t>
      </w:r>
    </w:p>
    <w:p>
      <w:r>
        <w:rPr>
          <w:b w:val="0"/>
          <w:color w:val="000000"/>
          <w:sz w:val="22"/>
        </w:rPr>
        <w:t>résulter d'un calcul lié aux résultats de l'entreprise</w:t>
      </w:r>
    </w:p>
    <w:p/>
    <w:p>
      <w:pPr>
        <w:pStyle w:val="Heading2"/>
      </w:pPr>
      <w:r>
        <w:rPr>
          <w:b/>
          <w:color w:val="2F5496"/>
          <w:sz w:val="24"/>
        </w:rPr>
        <w:t>B • FONCTIONNEMENT</w:t>
      </w:r>
    </w:p>
    <w:p>
      <w:pPr>
        <w:pStyle w:val="Heading2"/>
      </w:pPr>
      <w:r>
        <w:rPr>
          <w:b/>
          <w:color w:val="2F5496"/>
          <w:sz w:val="24"/>
        </w:rPr>
        <w:t>CALCUL ET RÉPARTITION DE L'INTÉRESSEMENT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calcul est fonction des critères retenus par l'accord. Ce peut être un intéressement à l'accroissement de l'activité, un</w:t>
      </w:r>
    </w:p>
    <w:p>
      <w:r>
        <w:rPr>
          <w:b w:val="0"/>
          <w:color w:val="000000"/>
          <w:sz w:val="22"/>
        </w:rPr>
        <w:t>intéressement aux résultats ou tout autre formule associant les salariés à la performance de l'entreprise.</w:t>
      </w:r>
    </w:p>
    <w:p>
      <w:r>
        <w:rPr>
          <w:b w:val="0"/>
          <w:color w:val="000000"/>
          <w:sz w:val="22"/>
        </w:rPr>
        <w:t>Le montant global est ensuite reparti entre les salariés selon des combinaisons identiques à la participation</w:t>
      </w:r>
    </w:p>
    <w:p>
      <w:r>
        <w:rPr>
          <w:b w:val="0"/>
          <w:color w:val="000000"/>
          <w:sz w:val="22"/>
        </w:rPr>
        <w:t>(proportionnellement aux salaires, selon le temps de présence du salarié ou combinaison des deux possibilités) sans</w:t>
      </w:r>
    </w:p>
    <w:p>
      <w:r>
        <w:rPr>
          <w:b w:val="0"/>
          <w:color w:val="000000"/>
          <w:sz w:val="22"/>
        </w:rPr>
        <w:t>pouvoir dépasser un double plafond : la moitié du plafond annuel de sécurité sociale et au maximum 20% du total</w:t>
      </w:r>
    </w:p>
    <w:p>
      <w:r>
        <w:rPr>
          <w:b w:val="0"/>
          <w:color w:val="000000"/>
          <w:sz w:val="22"/>
        </w:rPr>
        <w:t>des salaires bruts versés au personnel.</w:t>
      </w:r>
    </w:p>
    <w:p>
      <w:pPr>
        <w:pStyle w:val="Heading2"/>
      </w:pPr>
      <w:r>
        <w:rPr>
          <w:b/>
          <w:color w:val="2F5496"/>
          <w:sz w:val="24"/>
        </w:rPr>
        <w:t>UTILISATION DES SOMMES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C00000"/>
          <w:sz w:val="22"/>
        </w:rPr>
        <w:t>Les sommes (non soumises à cotisations à l'exception de la CSG et CRDS) doivent être versées avant la fin du 5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mois</w:t>
      </w:r>
    </w:p>
    <w:p>
      <w:r>
        <w:rPr>
          <w:b w:val="0"/>
          <w:color w:val="000000"/>
          <w:sz w:val="22"/>
        </w:rPr>
        <w:t>suivant la clôture de l'exercice soit :</w:t>
      </w:r>
    </w:p>
    <w:p>
      <w:pPr>
        <w:pStyle w:val="ListBullet"/>
      </w:pPr>
      <w:r>
        <w:rPr>
          <w:b w:val="0"/>
          <w:color w:val="000000"/>
          <w:sz w:val="22"/>
        </w:rPr>
        <w:t>directement au salarié ;</w:t>
      </w:r>
    </w:p>
    <w:p>
      <w:pPr>
        <w:pStyle w:val="ListBullet"/>
      </w:pPr>
      <w:r>
        <w:rPr>
          <w:b w:val="0"/>
          <w:color w:val="000000"/>
          <w:sz w:val="22"/>
        </w:rPr>
        <w:t>dans un plan d'épargne entreprise (PEE, PEI, PER).</w:t>
      </w:r>
    </w:p>
    <w:p>
      <w:pPr>
        <w:pStyle w:val="Heading2"/>
      </w:pPr>
      <w:r>
        <w:rPr>
          <w:b/>
          <w:color w:val="2F5496"/>
          <w:sz w:val="24"/>
        </w:rPr>
        <w:t>III • LES PLANS D'ÉPARGNE</w:t>
      </w:r>
    </w:p>
    <w:p>
      <w:pPr>
        <w:pStyle w:val="Heading2"/>
      </w:pPr>
      <w:r>
        <w:rPr>
          <w:b/>
          <w:color w:val="2F5496"/>
          <w:sz w:val="24"/>
        </w:rPr>
        <w:t>A • LE PLAN D'ÉPARGNE ENTREPRISE (PEE)</w:t>
      </w:r>
    </w:p>
    <w:p>
      <w:r>
        <w:rPr>
          <w:b w:val="0"/>
          <w:color w:val="000000"/>
          <w:sz w:val="22"/>
        </w:rPr>
        <w:t>Il constitue la possibilité pour les salariés de se constituer une épargne sous forme de valeurs mobilières avec l'aide de l'entreprise.</w:t>
      </w:r>
    </w:p>
    <w:p>
      <w:pPr>
        <w:pStyle w:val="Heading2"/>
      </w:pPr>
      <w:r>
        <w:rPr>
          <w:b/>
          <w:color w:val="2F5496"/>
          <w:sz w:val="24"/>
        </w:rPr>
        <w:t>MISE EN PLACE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Toute entreprise sans condition d'activité, de forme juridique ou d'effectif peut instituer un plan d'épargne. Facultatif, il</w:t>
      </w:r>
    </w:p>
    <w:p>
      <w:r>
        <w:rPr>
          <w:b w:val="0"/>
          <w:color w:val="000000"/>
          <w:sz w:val="22"/>
        </w:rPr>
        <w:t>peut résulter soit d'une décision de l'employeur soit d'un accord conclu avec le personnel. Il bénéficie à l'ensemble des</w:t>
      </w:r>
    </w:p>
    <w:p>
      <w:r>
        <w:rPr>
          <w:b w:val="0"/>
          <w:color w:val="BF5700"/>
          <w:sz w:val="22"/>
        </w:rPr>
        <w:t>salariés dont la condition d'ancienneté, si elle existe, ne peut être supérieure à 3 mois.</w:t>
      </w:r>
    </w:p>
    <w:p>
      <w:r>
        <w:rPr>
          <w:b w:val="0"/>
          <w:color w:val="00703C"/>
          <w:sz w:val="22"/>
        </w:rPr>
        <w:t>Une fois défini, le dispositif fait l'objet d'un contrôle de fond et de forme par la DDETS et l'organisme de recouvrements</w:t>
      </w:r>
    </w:p>
    <w:p>
      <w:r>
        <w:rPr>
          <w:b w:val="0"/>
          <w:color w:val="000000"/>
          <w:sz w:val="22"/>
        </w:rPr>
        <w:t>des cotisations sociales dont dépend l'entreprise.</w:t>
      </w:r>
    </w:p>
    <w:p>
      <w:pPr>
        <w:pStyle w:val="Heading2"/>
      </w:pPr>
      <w:r>
        <w:rPr>
          <w:b/>
          <w:color w:val="2F5496"/>
          <w:sz w:val="24"/>
        </w:rPr>
        <w:t>ALIMENTATION DU COMPTE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compte est alimenté à la fois par les salariés et par l'entreprise.</w:t>
      </w:r>
    </w:p>
    <w:p>
      <w:pPr>
        <w:pStyle w:val="ListBullet"/>
      </w:pPr>
      <w:r>
        <w:rPr>
          <w:b w:val="0"/>
          <w:color w:val="000000"/>
          <w:sz w:val="22"/>
        </w:rPr>
        <w:t>les salariés peuvent librement effectuer des versements sur le compte dans la limite du à de leur rémunération</w:t>
      </w:r>
    </w:p>
    <w:p>
      <w:r>
        <w:rPr>
          <w:b w:val="0"/>
          <w:color w:val="000000"/>
          <w:sz w:val="22"/>
        </w:rPr>
        <w:t>annuelle. Les sommes perçues au titre de la participation ou de l'intéressement peuvent aussi alimenter le plan ;</w:t>
      </w:r>
    </w:p>
    <w:p>
      <w:pPr>
        <w:pStyle w:val="ListBullet"/>
      </w:pPr>
      <w:r>
        <w:rPr>
          <w:b w:val="0"/>
          <w:color w:val="000000"/>
          <w:sz w:val="22"/>
        </w:rPr>
        <w:t>l'entreprise peut aussi participer à la constitution de l'épargne par le versement d'un abondement dans la limite d'un</w:t>
      </w:r>
    </w:p>
    <w:p>
      <w:r>
        <w:rPr>
          <w:b w:val="0"/>
          <w:color w:val="000000"/>
          <w:sz w:val="22"/>
        </w:rPr>
        <w:t>plafond par salarié et par an. Il peut être déroge à ce maximum si le plan sert au développement de l'actionnariat</w:t>
      </w:r>
    </w:p>
    <w:p>
      <w:r>
        <w:rPr>
          <w:b w:val="0"/>
          <w:color w:val="000000"/>
          <w:sz w:val="22"/>
        </w:rPr>
        <w:t>salarié.</w:t>
      </w:r>
    </w:p>
    <w:p>
      <w:r>
        <w:rPr>
          <w:b w:val="0"/>
          <w:color w:val="000000"/>
          <w:sz w:val="22"/>
        </w:rPr>
        <w:t>Les sommes versées permettent la constitution d'un portefeuille de valeurs mobilières (SICAV, FCPE, actionnariat</w:t>
      </w:r>
    </w:p>
    <w:p>
      <w:r>
        <w:rPr>
          <w:b w:val="0"/>
          <w:color w:val="000000"/>
          <w:sz w:val="22"/>
        </w:rPr>
        <w:t>salarié).</w:t>
      </w:r>
    </w:p>
    <w:p>
      <w:pPr>
        <w:pStyle w:val="Heading2"/>
      </w:pPr>
      <w:r>
        <w:rPr>
          <w:b/>
          <w:color w:val="2F5496"/>
          <w:sz w:val="24"/>
        </w:rPr>
        <w:t>UTILISATION DU COMPTE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sommes versées (hors intérêts) sont indisponibles pendant 5 ans. Un déblocage anticipé reste néanmoins possible</w:t>
      </w:r>
    </w:p>
    <w:p>
      <w:r>
        <w:rPr>
          <w:b w:val="0"/>
          <w:color w:val="000000"/>
          <w:sz w:val="22"/>
        </w:rPr>
        <w:t>en cas d'événement familial (naissance, mariage, divorce, décésé) de rupture du contrat de travail, ou encore de</w:t>
      </w:r>
    </w:p>
    <w:p>
      <w:r>
        <w:rPr>
          <w:b w:val="0"/>
          <w:color w:val="000000"/>
          <w:sz w:val="22"/>
        </w:rPr>
        <w:t>surendettement (liste non exhaustive).</w:t>
      </w:r>
    </w:p>
    <w:p>
      <w:r>
        <w:rPr>
          <w:b w:val="0"/>
          <w:color w:val="000000"/>
          <w:sz w:val="22"/>
        </w:rPr>
        <w:t>Enfin, si le salarié le demande, les sommes détenues peuvent être transférées sur un nouveau support (PEE, PEI ou PER)</w:t>
      </w:r>
    </w:p>
    <w:p>
      <w:r>
        <w:rPr>
          <w:b w:val="0"/>
          <w:color w:val="BF5700"/>
          <w:sz w:val="22"/>
        </w:rPr>
        <w:t>dont la durée de blocage acquise s'impute sur celle du nouveau support (principe).</w:t>
      </w:r>
    </w:p>
    <w:p>
      <w:pPr>
        <w:pStyle w:val="Heading2"/>
      </w:pPr>
      <w:r>
        <w:rPr>
          <w:b/>
          <w:color w:val="2F5496"/>
          <w:sz w:val="24"/>
        </w:rPr>
        <w:t>B • LE PLAN D'ÉPARGNE INTER-ENTREPRISE (PEI)</w:t>
      </w:r>
    </w:p>
    <w:p>
      <w:r>
        <w:rPr>
          <w:b w:val="0"/>
          <w:color w:val="000000"/>
          <w:sz w:val="22"/>
        </w:rPr>
        <w:t>Le Plan d'épargne inter-entreprise est identique au PEE dans ses modalités de fonctionnement. Il permet en réalité aux</w:t>
      </w:r>
    </w:p>
    <w:p>
      <w:r>
        <w:rPr>
          <w:b w:val="0"/>
          <w:color w:val="000000"/>
          <w:sz w:val="22"/>
        </w:rPr>
        <w:t>petites et moyennes entreprises d'instituer un système d'épargne commun, identique au PEE, tout en réduisant son</w:t>
      </w:r>
    </w:p>
    <w:p>
      <w:r>
        <w:rPr>
          <w:b w:val="0"/>
          <w:color w:val="000000"/>
          <w:sz w:val="22"/>
        </w:rPr>
        <w:t>coût de mise en place et de fonctionnement.</w:t>
      </w:r>
    </w:p>
    <w:p>
      <w:r>
        <w:rPr>
          <w:b w:val="0"/>
          <w:color w:val="000000"/>
          <w:sz w:val="22"/>
        </w:rPr>
        <w:t>L'accord peut être conclu dans une branche professionnelle, au niveau local ou entre plusieurs entreprises.</w:t>
      </w:r>
    </w:p>
    <w:p>
      <w:r>
        <w:rPr>
          <w:b w:val="0"/>
          <w:color w:val="000000"/>
          <w:sz w:val="22"/>
        </w:rPr>
        <w:t>Il peut également résulter d'un accord au sein du CSE, ou de la ratification du projet par le personnel de chaque entre-</w:t>
      </w:r>
    </w:p>
    <w:p>
      <w:r>
        <w:rPr>
          <w:b w:val="0"/>
          <w:color w:val="000000"/>
          <w:sz w:val="22"/>
        </w:rPr>
        <w:t>prise à la majorité des 2/3.</w:t>
      </w:r>
    </w:p>
    <w:p>
      <w:pPr>
        <w:pStyle w:val="Heading2"/>
      </w:pPr>
      <w:r>
        <w:rPr>
          <w:b/>
          <w:color w:val="2F5496"/>
          <w:sz w:val="24"/>
        </w:rPr>
        <w:t>C • LE PLAN D'ÉPARGNE ENTREPRISE COLLECTIF (ANCIEN PERCO)</w:t>
      </w:r>
    </w:p>
    <w:p>
      <w:r>
        <w:rPr>
          <w:b w:val="0"/>
          <w:color w:val="000000"/>
          <w:sz w:val="22"/>
        </w:rPr>
        <w:t>Le PER permet au salarié de se constituer une épargne en vue de la retraite, qu'il pourra percevoir sous forme de capital</w:t>
      </w:r>
    </w:p>
    <w:p>
      <w:r>
        <w:rPr>
          <w:b w:val="0"/>
          <w:color w:val="000000"/>
          <w:sz w:val="22"/>
        </w:rPr>
        <w:t>ou de rente.</w:t>
      </w:r>
    </w:p>
    <w:p>
      <w:pPr>
        <w:pStyle w:val="Heading2"/>
      </w:pPr>
      <w:r>
        <w:rPr>
          <w:b/>
          <w:color w:val="2F5496"/>
          <w:sz w:val="24"/>
        </w:rPr>
        <w:t>MISE EN PLACE DU PLAN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Il peut être mis en place dans toute entreprise sans conditions d'effectif, d'activité ou de forme juridique. Il peut être</w:t>
      </w:r>
    </w:p>
    <w:p>
      <w:r>
        <w:rPr>
          <w:b w:val="0"/>
          <w:color w:val="000000"/>
          <w:sz w:val="22"/>
        </w:rPr>
        <w:t>institué par voie d'accord collectif ou par décision unilatérale de l'employeur. Cette dernière option exige au préalable</w:t>
      </w:r>
    </w:p>
    <w:p>
      <w:r>
        <w:rPr>
          <w:b w:val="0"/>
          <w:color w:val="000000"/>
          <w:sz w:val="22"/>
        </w:rPr>
        <w:t>d'engager une négociation avec les délégués syndicaux ou à défaut le CSE.</w:t>
      </w:r>
    </w:p>
    <w:p>
      <w:r>
        <w:rPr>
          <w:b w:val="0"/>
          <w:color w:val="BF5700"/>
          <w:sz w:val="22"/>
        </w:rPr>
        <w:t>à l'embauche de chaque salarié, un livret d'épargne salariale doit lui être remis ainsi qu'un règlement précisant les</w:t>
      </w:r>
    </w:p>
    <w:p>
      <w:r>
        <w:rPr>
          <w:b w:val="0"/>
          <w:color w:val="000000"/>
          <w:sz w:val="22"/>
        </w:rPr>
        <w:t>modalités d'épargne et de fonctionnement du PER.</w:t>
      </w:r>
    </w:p>
    <w:p>
      <w:r>
        <w:rPr>
          <w:b w:val="0"/>
          <w:color w:val="000000"/>
          <w:sz w:val="22"/>
        </w:rPr>
        <w:t>Les bénéficiaires sont identiques à ceux du PEE.</w:t>
      </w:r>
    </w:p>
    <w:p>
      <w:r>
        <w:rPr>
          <w:b w:val="0"/>
          <w:color w:val="000000"/>
          <w:sz w:val="22"/>
        </w:rPr>
        <w:t>121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UE 3 à Fiche 27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121</w:t>
      </w:r>
    </w:p>
    <w:p>
      <w:pPr>
        <w:pStyle w:val="Heading2"/>
      </w:pPr>
      <w:r>
        <w:rPr>
          <w:b/>
          <w:color w:val="2F5496"/>
          <w:sz w:val="24"/>
        </w:rPr>
        <w:t>ALIMENTATION DU PER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plan est alimenté par les versements :</w:t>
      </w:r>
    </w:p>
    <w:p>
      <w:pPr>
        <w:pStyle w:val="ListBullet"/>
      </w:pPr>
      <w:r>
        <w:rPr>
          <w:b w:val="0"/>
          <w:color w:val="000000"/>
          <w:sz w:val="22"/>
        </w:rPr>
        <w:t>du salarié, par son épargne personnelle, par les sommes issues de l'intéressement ou de la participation ou par le</w:t>
      </w:r>
    </w:p>
    <w:p>
      <w:r>
        <w:rPr>
          <w:b w:val="0"/>
          <w:color w:val="000000"/>
          <w:sz w:val="22"/>
        </w:rPr>
        <w:t>transfert des droits issus d'un Compte épargne temps ;</w:t>
      </w:r>
    </w:p>
    <w:p>
      <w:pPr>
        <w:pStyle w:val="ListBullet"/>
      </w:pPr>
      <w:r>
        <w:rPr>
          <w:b w:val="0"/>
          <w:color w:val="000000"/>
          <w:sz w:val="22"/>
        </w:rPr>
        <w:t>de l'entreprise. Elle peut verser un abondement dans la limite de 16% du plafond annuel de la sécurité sociale.</w:t>
      </w:r>
    </w:p>
    <w:p>
      <w:r>
        <w:rPr>
          <w:b w:val="0"/>
          <w:color w:val="00703C"/>
          <w:sz w:val="22"/>
        </w:rPr>
        <w:t>Les sommes versées font l'objet d'une gestion pilotée, c'est-à-dire que les placements réalisés sont de moins en moins</w:t>
      </w:r>
    </w:p>
    <w:p>
      <w:r>
        <w:rPr>
          <w:b w:val="0"/>
          <w:color w:val="000000"/>
          <w:sz w:val="22"/>
        </w:rPr>
        <w:t>risques au fur et à mesure que le salarié approche de l'âge légal de départ à la retraite.</w:t>
      </w:r>
    </w:p>
    <w:p>
      <w:pPr>
        <w:pStyle w:val="Heading2"/>
      </w:pPr>
      <w:r>
        <w:rPr>
          <w:b/>
          <w:color w:val="2F5496"/>
          <w:sz w:val="24"/>
        </w:rPr>
        <w:t>UTILISATION DU PER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sommes affectées au plan servent à la constitution d'un portefeuille de valeurs mobilières. Elles sont bloquées</w:t>
      </w:r>
    </w:p>
    <w:p>
      <w:r>
        <w:rPr>
          <w:b w:val="0"/>
          <w:color w:val="000000"/>
          <w:sz w:val="22"/>
        </w:rPr>
        <w:t>jusqu'au départ en retraite du salarié. Néanmoins un déblocage anticipé reste possible dans certaines situations</w:t>
      </w:r>
    </w:p>
    <w:p>
      <w:r>
        <w:rPr>
          <w:b w:val="0"/>
          <w:color w:val="000000"/>
          <w:sz w:val="22"/>
        </w:rPr>
        <w:t>(invalidité, décès, surendettementé)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