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9F" w:rsidRDefault="00151EDE" w:rsidP="00151EDE">
      <w:pPr>
        <w:jc w:val="center"/>
      </w:pPr>
      <w:r>
        <w:t>Основные принципы системы</w:t>
      </w:r>
    </w:p>
    <w:p w:rsidR="00151EDE" w:rsidRDefault="00151EDE" w:rsidP="00151EDE">
      <w:pPr>
        <w:jc w:val="center"/>
      </w:pP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Одно окно. Потребитель обращается к оператору и получает решение «под ключ»</w:t>
      </w:r>
      <w:r w:rsidR="002C6F0C">
        <w:t xml:space="preserve">, не требующее дополнительного приобретения лицензий </w:t>
      </w:r>
      <w:proofErr w:type="gramStart"/>
      <w:r w:rsidR="002C6F0C">
        <w:t>на</w:t>
      </w:r>
      <w:proofErr w:type="gramEnd"/>
      <w:r w:rsidR="002C6F0C">
        <w:t xml:space="preserve"> ПО.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Повышение отказоустойчивости. При перегрузке каналов связи перенаправление на альтернативный хост.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 xml:space="preserve">Выгода. За счёт увеличения суммарного объёма </w:t>
      </w:r>
      <w:proofErr w:type="spellStart"/>
      <w:r>
        <w:t>процессируемых</w:t>
      </w:r>
      <w:proofErr w:type="spellEnd"/>
      <w:r>
        <w:t xml:space="preserve"> операций, конечные пользователи получают более выгодные условия обслуживания.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 xml:space="preserve">Универсальность. Все подключаемые устройства работают по единому протоколу. В случае смены </w:t>
      </w:r>
      <w:proofErr w:type="gramStart"/>
      <w:r>
        <w:t>конечного</w:t>
      </w:r>
      <w:proofErr w:type="gramEnd"/>
      <w:r>
        <w:t xml:space="preserve"> </w:t>
      </w:r>
      <w:proofErr w:type="spellStart"/>
      <w:r>
        <w:t>эквайера</w:t>
      </w:r>
      <w:proofErr w:type="spellEnd"/>
      <w:r>
        <w:t>, стоимость доработки минимальна.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Организация систем б</w:t>
      </w:r>
      <w:r w:rsidR="00872266">
        <w:t>онусов. Без привязки к виду/</w:t>
      </w:r>
      <w:r>
        <w:t>типу карточки</w:t>
      </w:r>
      <w:r w:rsidR="00872266">
        <w:t xml:space="preserve"> и эмитенту</w:t>
      </w:r>
      <w:r>
        <w:t>.</w:t>
      </w:r>
    </w:p>
    <w:p w:rsidR="00151EDE" w:rsidRDefault="000E7B0D" w:rsidP="00151EDE">
      <w:pPr>
        <w:pStyle w:val="a3"/>
        <w:numPr>
          <w:ilvl w:val="0"/>
          <w:numId w:val="1"/>
        </w:numPr>
        <w:jc w:val="both"/>
      </w:pPr>
      <w:r>
        <w:t>Определение предпочтений клиента.</w:t>
      </w:r>
    </w:p>
    <w:p w:rsidR="000E7B0D" w:rsidRDefault="000E7B0D" w:rsidP="00151EDE">
      <w:pPr>
        <w:pStyle w:val="a3"/>
        <w:numPr>
          <w:ilvl w:val="0"/>
          <w:numId w:val="1"/>
        </w:numPr>
        <w:jc w:val="both"/>
      </w:pPr>
      <w:r>
        <w:t>Единая система документооборота и отчётности</w:t>
      </w:r>
      <w:r w:rsidR="00872266">
        <w:t>, для участников</w:t>
      </w:r>
      <w:r>
        <w:t>.</w:t>
      </w:r>
    </w:p>
    <w:p w:rsidR="000E7B0D" w:rsidRDefault="00CD7408" w:rsidP="00151EDE">
      <w:pPr>
        <w:pStyle w:val="a3"/>
        <w:numPr>
          <w:ilvl w:val="0"/>
          <w:numId w:val="1"/>
        </w:numPr>
        <w:jc w:val="both"/>
      </w:pPr>
      <w:r>
        <w:t xml:space="preserve">Создание </w:t>
      </w:r>
      <w:r w:rsidR="00872266">
        <w:t>консолидированных</w:t>
      </w:r>
      <w:r>
        <w:t xml:space="preserve"> продуктов (например, интернет-банк и </w:t>
      </w:r>
      <w:proofErr w:type="gramStart"/>
      <w:r>
        <w:t>мобильный-банк</w:t>
      </w:r>
      <w:proofErr w:type="gramEnd"/>
      <w:r>
        <w:t>) для всех карточек вне зависимости от эмитента.</w:t>
      </w:r>
    </w:p>
    <w:p w:rsidR="00CD7408" w:rsidRDefault="00734E2F" w:rsidP="00151EDE">
      <w:pPr>
        <w:pStyle w:val="a3"/>
        <w:numPr>
          <w:ilvl w:val="0"/>
          <w:numId w:val="1"/>
        </w:numPr>
        <w:jc w:val="both"/>
      </w:pPr>
      <w:r>
        <w:t>Упрощённая форма приёма платежей по зарегистрированной карте.</w:t>
      </w:r>
    </w:p>
    <w:p w:rsidR="00734E2F" w:rsidRDefault="00B81F8F" w:rsidP="00151EDE">
      <w:pPr>
        <w:pStyle w:val="a3"/>
        <w:numPr>
          <w:ilvl w:val="0"/>
          <w:numId w:val="1"/>
        </w:numPr>
        <w:jc w:val="both"/>
      </w:pPr>
      <w:r>
        <w:t>Административный интерфейс для конфигурирования направления платежей.</w:t>
      </w:r>
    </w:p>
    <w:p w:rsidR="00B81F8F" w:rsidRDefault="0016393E" w:rsidP="00151EDE">
      <w:pPr>
        <w:pStyle w:val="a3"/>
        <w:numPr>
          <w:ilvl w:val="0"/>
          <w:numId w:val="1"/>
        </w:numPr>
        <w:jc w:val="both"/>
      </w:pPr>
      <w:r>
        <w:t>Поддержка миграции эмитента с одного процессингового центра на другой.</w:t>
      </w:r>
    </w:p>
    <w:p w:rsidR="0016393E" w:rsidRPr="00151EDE" w:rsidRDefault="0016393E" w:rsidP="00151EDE">
      <w:pPr>
        <w:pStyle w:val="a3"/>
        <w:numPr>
          <w:ilvl w:val="0"/>
          <w:numId w:val="1"/>
        </w:numPr>
        <w:jc w:val="both"/>
      </w:pPr>
      <w:bookmarkStart w:id="0" w:name="_GoBack"/>
      <w:bookmarkEnd w:id="0"/>
    </w:p>
    <w:sectPr w:rsidR="0016393E" w:rsidRPr="001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6684"/>
    <w:multiLevelType w:val="hybridMultilevel"/>
    <w:tmpl w:val="54BAE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97"/>
    <w:rsid w:val="000E7B0D"/>
    <w:rsid w:val="00151EDE"/>
    <w:rsid w:val="0016393E"/>
    <w:rsid w:val="002C6F0C"/>
    <w:rsid w:val="00461D97"/>
    <w:rsid w:val="00734E2F"/>
    <w:rsid w:val="00872266"/>
    <w:rsid w:val="00B81F8F"/>
    <w:rsid w:val="00B82E9F"/>
    <w:rsid w:val="00C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2015-09-18T20:08:00Z</dcterms:created>
  <dcterms:modified xsi:type="dcterms:W3CDTF">2015-09-19T08:35:00Z</dcterms:modified>
</cp:coreProperties>
</file>