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2015년 6월 ~ 2026년 7월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80" w:after="80"/>
      </w:pPr>
      <w:r>
        <w:rPr>
          <w:b/>
          <w:sz w:val="20"/>
        </w:rPr>
        <w:t>부록 1.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(YTD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equity_yt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스타일 배분 (캡 25%, 26년 7월말 기준)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64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erc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6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 — 계속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119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erc_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1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