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26일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인덱스퀀트운용본부 문인규 수석 / 글로벌멀티에셋본부 김병걸 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학술 연구 등을 근거로 하는 종목 단위 Point-in-Time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매 시점 최근 48개월(롤링 윈도우) 데이터만으로 팩터 선정과 비중을 결정하여 시장 레짐 변화에 적응. (팩터 선정과 비중은 매월 리밸런싱)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측정된 수익률의 t-stat(수익률의 통계적 유의성)을 기준으로 상위 50개 팩터를 최종 선정.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선정된 50개 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80% 감축 후 비중 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BM에 적용하여 Model Portfolio(MP) 구성(TE 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Optimizer(Bloomberg)를 이용하여 MP와 괴리가 최소화(약 15 bps)되도록 Actual Portfolio(AP)의 리밸런싱 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최종 AP 의 BM 대비 Ex-ante TE 확인(65 bps 내외).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 예시 (2026.07.31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(Equity Turnover) 3.8%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매출/자기자본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to Sales) 3.0%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매출 대비 운전자본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(Sales to Invested Capital) 2.7%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투하자본 대비 매출 회전율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(14개 팩터) 25.0%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 1Y Chg in Asset Adjusted FCF) 3.8%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대비 잉여현금흐름의 1년 변화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(1Y Chg in Operating Cash Flow to Price) 3.7%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(3Y Chg in Operating Cash Flow to Price) 2.7%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3년 변화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(9개 팩터) 22.9%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(Normalized EP) 4.0%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정규화된 이익수익률 (E/P의 60개월 평균)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(Free Cash Flow to EV) 3.6%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잉여현금흐름/기업가치 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(Cash to EV Ratio) 3.5%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현금/기업가치 비율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(8개 팩터) 14.4%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(Standardized Unexpected Earnings) 3.7%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표준화된 이익 서프라이즈 (예상치 대비 실적)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Inverse PEG) 2.6%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이익 성장률 대비 이익수익률 (조정치)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(Earnings Surprise) 2.3%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컨센서스 대비 주당순이익 서프라이즈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(4개 팩터) 8.1%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(1Y Chg in Stock Buybacks) 5.4%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자사주 매입 규모의 1년 변화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(Receivables Turnover Ratio) 1.6%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매출채권 회전율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(Return on Assets) 0.6%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총자산이익률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Volatility (Book Leverage) 2.5%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장부 레버리지 (자산/자기자본)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1.5%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규모 (로그)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0.6%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거래량 대비 공매도 잔고 비율 (낮을수록 좋음)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 전망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65 bps 수준에서 운용하고 있습니다. 실제 적용 규모(롱 +20% / 숏 -20% 노출)와 실측 거래비용(증권 수수료 10 bps 및 국가별 증권거래세)을 반영한 백테스트(OOS 2018년 6월 ~ 2026년 7월, 98개월) 기준 Information Ratio(IR)는 0.71(실현 TE 1.03%) 수준이며,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아래 별첨은 모두 동일한 팩터 순서(최근 48개월 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별첨01_MXWO_Factor_Return_Info_2026-07-31.xlsx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별첨02_MXWO_Sector_Quintile_Return_Book_2026-07-31.pdf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회색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별첨03_MXWO_Quintile_Return_Book_2026-07-31.pdf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별첨04_MXWO_LongShort_Port_Return_Book_2026-07-31.pdf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2015년 6월 ~ 2026년 7월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>
      <w:r>
        <w:br w:type="page"/>
      </w: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부록. 모델 모니터링 대시보드 발췌 (2026.07.31 기준)</w:t>
      </w:r>
    </w:p>
    <w:p>
      <w:pPr>
        <w:spacing w:after="200"/>
      </w:pPr>
      <w:r>
        <w:rPr>
          <w:sz w:val="18"/>
        </w:rPr>
        <w:t>내부 모델 모니터링 대시보드의 주요 차트 발췌입니다. 백테스트 수치는 모두 실제 적용 규모(롱 +20% / 숏 -20%)와 실측 거래비용(수수료 10 bps 및 국가별 증권거래세)을 반영한 배포 기준이며, OOS 기간은 2018년 6월 ~ 2026년 7월(98개월)입니다.</w:t>
      </w:r>
    </w:p>
    <w:p>
      <w:pPr>
        <w:keepNext/>
        <w:spacing w:before="280" w:after="80"/>
      </w:pPr>
      <w:r>
        <w:rPr>
          <w:b/>
          <w:sz w:val="20"/>
        </w:rPr>
        <w:t>부록 1. 백테스트 성과 요약 (KPI)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5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k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2. 누적 수익 곡선 (전략 vs BM, 월별 상대성과 음영)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91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qu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3. 월별 수익률 히트맵 (연×월)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39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39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4. 월별 수익률 분포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5. 낙폭(Drawdown)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15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awd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1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6. 낙폭 구간 분석 (0.5% 이상 episode)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967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d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7. 스타일 비중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160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yle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1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8. 현재 포트 — 스타일 배분 (캡 25%)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69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yle_allo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6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9. 현재 포트 — 섹터별 순비중 (스타일 분해)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773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tor_n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773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10. 현재 포트 — 종목별 순비중 상위 롱/숏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7449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longs_sh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449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11. 팩터 리더보드 (t-stat vs CAGR, 크기=비중)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919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leader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sz w:val="20"/>
        </w:rPr>
        <w:t>부록 12. ERC 비중 순위 (스타일 캡 적용 후 내림차순)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9461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rc_rank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9461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