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sz w:val="36"/>
          <w:szCs w:val="36"/>
        </w:rPr>
        <w:t xml:space="preserve">Literature Review Launch Pad</w:t>
      </w:r>
    </w:p>
    <w:p>
      <w:pPr>
        <w:spacing w:after="100" w:before="0"/>
        <w:jc w:val="center"/>
      </w:pPr>
      <w:r>
        <w:rPr>
          <w:b/>
          <w:bCs/>
          <w:sz w:val="30"/>
          <w:szCs w:val="30"/>
        </w:rPr>
        <w:t xml:space="preserve">Geopolitical Impunity and Extractive Activity</w:t>
      </w:r>
    </w:p>
    <w:p>
      <w:pPr>
        <w:spacing w:after="400" w:before="0"/>
        <w:jc w:val="center"/>
      </w:pPr>
      <w:r>
        <w:rPr>
          <w:i/>
          <w:iCs/>
          <w:sz w:val="26"/>
          <w:szCs w:val="26"/>
        </w:rPr>
        <w:t xml:space="preserve">A Hybrid Physics–ML Framework for Detecting Mining Anomalies in Disputed Territories</w:t>
      </w:r>
    </w:p>
    <w:p>
      <w:pPr>
        <w:pStyle w:val="Heading1"/>
        <w:spacing w:after="200" w:before="400"/>
      </w:pPr>
      <w:r>
        <w:t xml:space="preserve">1. Topic Overview</w:t>
      </w:r>
    </w:p>
    <w:p>
      <w:pPr>
        <w:spacing w:after="100" w:before="100"/>
      </w:pPr>
      <w:r>
        <w:rPr>
          <w:sz w:val="24"/>
          <w:szCs w:val="24"/>
        </w:rPr>
        <w:t xml:space="preserve">This research investigates whether geopolitical impunity in disputed territories enables anomalous extractive activity — particularly surface and alluvial mining — that is detectable as a systematic deviation in a physics-ML hybrid monitoring framework. The methodology follows a six-step pipeline: (1) a process-based physical model (SWAT / mass-balance sediment routing) establishes the expected turbidity baseline under natural hydrology; (2) Sentinel-2 NDTI imagery provides observed suspended sediment concentration; (3) the residual (observed minus physics-predicted) is computed as the anomaly signal; (4) XGBoost and spatiotemporal LSTM models predict this residual using geopolitical covariates including dispute status, governance quality, and conflict intensity from ACLED/MID databases; (5) event study and difference-in-differences designs around dispute escalation events provide causal validation; and (6) a multi-agent game-theoretic simulation models strategic extraction behavior calibrated from the residuals and escalation events.</w:t>
      </w:r>
    </w:p>
    <w:p>
      <w:pPr>
        <w:spacing w:after="100" w:before="100"/>
      </w:pPr>
      <w:r>
        <w:rPr>
          <w:sz w:val="24"/>
          <w:szCs w:val="24"/>
        </w:rPr>
        <w:t xml:space="preserve">The literature is mature in each of these domains separately: SWAT sediment modeling, satellite turbidity retrieval, physics-guided machine learning, resource conflict political economy, causal inference for land-use change, and game theory for resource allocation. The specific intersection — a physics-calibrated remote sensing anomaly interpreted as evidence of geopolitically-driven extraction, with game-theoretic strategic behavior modeled over those residuals — is entirely unstudied. This review maps the six sub-areas of the pipeline, identifies the foundational papers in each, and makes the cross-disciplinary gaps explicit so the proposal can be positioned precisely.</w:t>
      </w:r>
    </w:p>
    <w:p>
      <w:pPr>
        <w:spacing w:after="100" w:before="100"/>
      </w:pPr>
      <w:r>
        <w:rPr>
          <w:sz w:val="24"/>
          <w:szCs w:val="24"/>
        </w:rPr>
        <w:t xml:space="preserve">Searches were conducted across all six pipeline components using the Consensus academic search tool (17 searches executed: 1 reconnaissance, 7 seed/anchor searches, 1 connection test, 10 targeted Phase 3 searches). The literature shows strong coverage of Steps 1–5 individually, and a verified absence of papers bridging game-theoretic extraction models to remote sensing monitoring — directly confirming Pre-declared Gap 5.</w:t>
      </w:r>
    </w:p>
    <w:p>
      <w:pPr>
        <w:pStyle w:val="Heading1"/>
        <w:spacing w:after="200" w:before="400"/>
      </w:pPr>
      <w:r>
        <w:t xml:space="preserve">2. Start Here — Priority Reading Order</w:t>
      </w:r>
    </w:p>
    <w:p>
      <w:pPr>
        <w:spacing w:after="100" w:before="100"/>
      </w:pPr>
      <w:r>
        <w:rPr>
          <w:sz w:val="24"/>
          <w:szCs w:val="24"/>
        </w:rPr>
        <w:t xml:space="preserve">These seven papers are your anchors. Read them in order. They span the full pipeline and were specifically requested as seeds for this review. Each is verified on Consensus.</w:t>
      </w:r>
    </w:p>
    <w:p>
      <w:pPr>
        <w:spacing w:after="40" w:before="120"/>
      </w:pPr>
      <w:hyperlink w:history="1" r:id="rIdkr1esojyeehqnv3ioujei">
        <w:r>
          <w:rPr>
            <w:rStyle w:val="Hyperlink"/>
            <w:b/>
            <w:bCs/>
            <w:sz w:val="24"/>
            <w:szCs w:val="24"/>
          </w:rPr>
          <w:t xml:space="preserve">Integrating Scientific Knowledge with Machine Learning for Engineering and Environmental Systems</w:t>
        </w:r>
      </w:hyperlink>
      <w:r>
        <w:rPr>
          <w:color w:val="555555"/>
          <w:sz w:val="22"/>
          <w:szCs w:val="22"/>
        </w:rPr>
        <w:t xml:space="preserve"> — Willard et al., 2020 · 490 citations · ACM Computing Surveys</w:t>
      </w:r>
    </w:p>
    <w:p>
      <w:pPr>
        <w:spacing w:after="40" w:before="40"/>
        <w:ind w:left="360"/>
      </w:pPr>
      <w:r>
        <w:rPr>
          <w:sz w:val="22"/>
          <w:szCs w:val="22"/>
        </w:rPr>
        <w:t xml:space="preserve">The definitive survey of physics-guided ML (PGML) for science and engineering. Taxonomizes all methods for combining process-based models with ML — from residual correction (delta learning) to hybrid architectures — across hydrology, ecology, and climate. This is the theoretical backbone for Steps 3–4 of your pipeline. The taxonomy of 'knowledge-guided ML' (KGML) vs. 'theory-guided data science' (TGDS) will inform how you frame the residual predictor methodologically.</w:t>
      </w:r>
    </w:p>
    <w:p>
      <w:pPr>
        <w:spacing w:after="120" w:before="40"/>
        <w:ind w:left="360"/>
      </w:pPr>
      <w:r>
        <w:rPr>
          <w:b/>
          <w:bCs/>
          <w:sz w:val="22"/>
          <w:szCs w:val="22"/>
        </w:rPr>
        <w:t xml:space="preserve">Read for: </w:t>
      </w:r>
      <w:r>
        <w:rPr>
          <w:i/>
          <w:iCs/>
          <w:sz w:val="22"/>
          <w:szCs w:val="22"/>
        </w:rPr>
        <w:t xml:space="preserve">Section 3.2 (residual/delta learning approaches) and Section 5.1 (hydrology applications). These define the design space for your ML residual predictor and give you the naming conventions reviewers will expect.</w:t>
      </w:r>
    </w:p>
    <w:p>
      <w:pPr>
        <w:spacing w:after="40" w:before="120"/>
      </w:pPr>
      <w:hyperlink w:history="1" r:id="rId19knm9i_k7owxltcdl__o">
        <w:r>
          <w:rPr>
            <w:rStyle w:val="Hyperlink"/>
            <w:b/>
            <w:bCs/>
            <w:sz w:val="24"/>
            <w:szCs w:val="24"/>
          </w:rPr>
          <w:t xml:space="preserve">Global land use change, economic globalization, and the looming land scarcity</w:t>
        </w:r>
      </w:hyperlink>
      <w:r>
        <w:rPr>
          <w:color w:val="555555"/>
          <w:sz w:val="22"/>
          <w:szCs w:val="22"/>
        </w:rPr>
        <w:t xml:space="preserve"> — Lambin &amp; Meyfroidt et al., 2011 · 2880 citations · PNAS</w:t>
      </w:r>
    </w:p>
    <w:p>
      <w:pPr>
        <w:spacing w:after="40" w:before="40"/>
        <w:ind w:left="360"/>
      </w:pPr>
      <w:r>
        <w:rPr>
          <w:sz w:val="22"/>
          <w:szCs w:val="22"/>
        </w:rPr>
        <w:t xml:space="preserve">[Anchor — Patrick Meyfroidt seed] The foundational paper on how economic globalization drives land use change through displacement, rebound, cascade, and remittance effects. With 2880 citations, this is the most-cited paper in the entire review. It establishes that extraction pressure in one location displaces to another — directly relevant to the dispute-extraction endogeneity problem (Pre-declared Gap 4). The argument that governance strength mediates land conversion provides the theoretical basis for your geopolitical covariate design.</w:t>
      </w:r>
    </w:p>
    <w:p>
      <w:pPr>
        <w:spacing w:after="120" w:before="40"/>
        <w:ind w:left="360"/>
      </w:pPr>
      <w:r>
        <w:rPr>
          <w:b/>
          <w:bCs/>
          <w:sz w:val="22"/>
          <w:szCs w:val="22"/>
        </w:rPr>
        <w:t xml:space="preserve">Read for: </w:t>
      </w:r>
      <w:r>
        <w:rPr>
          <w:i/>
          <w:iCs/>
          <w:sz w:val="22"/>
          <w:szCs w:val="22"/>
        </w:rPr>
        <w:t xml:space="preserve">The four displacement/rebound mechanisms (Section 2) — these define the confounding pathways you must control for in Step 4. The governance-mediation argument is the political economy foundation for including dispute intensity as a covariate.</w:t>
      </w:r>
    </w:p>
    <w:p>
      <w:pPr>
        <w:spacing w:after="40" w:before="120"/>
      </w:pPr>
      <w:hyperlink w:history="1" r:id="rIdknaw2vbjrmrsij41mbjas">
        <w:r>
          <w:rPr>
            <w:rStyle w:val="Hyperlink"/>
            <w:b/>
            <w:bCs/>
            <w:sz w:val="24"/>
            <w:szCs w:val="24"/>
          </w:rPr>
          <w:t xml:space="preserve">A Sentinel-2 based multispectral convolutional neural network for detecting artisanal small-scale mining in Ghana</w:t>
        </w:r>
      </w:hyperlink>
      <w:r>
        <w:rPr>
          <w:color w:val="555555"/>
          <w:sz w:val="22"/>
          <w:szCs w:val="22"/>
        </w:rPr>
        <w:t xml:space="preserve"> — Gallwey et al., 2020 · 72 citations · Remote Sensing of Environment</w:t>
      </w:r>
    </w:p>
    <w:p>
      <w:pPr>
        <w:spacing w:after="40" w:before="40"/>
        <w:ind w:left="360"/>
      </w:pPr>
      <w:r>
        <w:rPr>
          <w:sz w:val="22"/>
          <w:szCs w:val="22"/>
        </w:rPr>
        <w:t xml:space="preserve">[Anchor — Sentinel-2 seed] The methodological benchmark for Step 2. Applies a deep CNN to Sentinel-2 imagery for artisanal small-scale mining (ASM) detection across 6 million hectares in southern Ghana, achieving &lt;8% omission/commission error. Critically, the paper documents a 6,000 ha decrease in ASM in 2017 following a government crackdown — demonstrating that detection can track governance-driven behavioral change. This is the closest existing paper to your Step 2→Step 5 causal link.</w:t>
      </w:r>
    </w:p>
    <w:p>
      <w:pPr>
        <w:spacing w:after="120" w:before="40"/>
        <w:ind w:left="360"/>
      </w:pPr>
      <w:r>
        <w:rPr>
          <w:b/>
          <w:bCs/>
          <w:sz w:val="22"/>
          <w:szCs w:val="22"/>
        </w:rPr>
        <w:t xml:space="preserve">Read for: </w:t>
      </w:r>
      <w:r>
        <w:rPr>
          <w:i/>
          <w:iCs/>
          <w:sz w:val="22"/>
          <w:szCs w:val="22"/>
        </w:rPr>
        <w:t xml:space="preserve">The temporal change detection methodology (Section 3.3) and the governance-response correlation (Section 4.2). The 2017 crackdown response is a direct precursor to your event study design in Step 5.</w:t>
      </w:r>
    </w:p>
    <w:p>
      <w:pPr>
        <w:spacing w:after="40" w:before="120"/>
      </w:pPr>
      <w:hyperlink w:history="1" r:id="rIdl_2m87inaq1havpnni49g">
        <w:r>
          <w:rPr>
            <w:rStyle w:val="Hyperlink"/>
            <w:b/>
            <w:bCs/>
            <w:sz w:val="24"/>
            <w:szCs w:val="24"/>
          </w:rPr>
          <w:t xml:space="preserve">Streamflow simulation in data-scarce basins using Bayesian and physics-informed machine learning models</w:t>
        </w:r>
      </w:hyperlink>
      <w:r>
        <w:rPr>
          <w:color w:val="555555"/>
          <w:sz w:val="22"/>
          <w:szCs w:val="22"/>
        </w:rPr>
        <w:t xml:space="preserve"> — Lu et al., 2021 · 69 citations · Journal of Hydrometeorology</w:t>
      </w:r>
    </w:p>
    <w:p>
      <w:pPr>
        <w:spacing w:after="40" w:before="40"/>
        <w:ind w:left="360"/>
      </w:pPr>
      <w:r>
        <w:rPr>
          <w:sz w:val="22"/>
          <w:szCs w:val="22"/>
        </w:rPr>
        <w:t xml:space="preserve">[Anchor — Physics-informed ML seed] Directly addresses Pre-declared Gap 1 (ungauged/data-scarce basins). Introduces a physics-informed hybrid LSTM that significantly outperforms standard LSTM in out-of-distribution prediction — precisely the regime expected in contested basins where upstream data may be withheld or falsified. Demonstrates that L2 regularization and Bayesian LSTM provide uncertainty quantification essential for contested basin contexts where confidence intervals are needed to distinguish signal from noise.</w:t>
      </w:r>
    </w:p>
    <w:p>
      <w:pPr>
        <w:spacing w:after="120" w:before="40"/>
        <w:ind w:left="360"/>
      </w:pPr>
      <w:r>
        <w:rPr>
          <w:b/>
          <w:bCs/>
          <w:sz w:val="22"/>
          <w:szCs w:val="22"/>
        </w:rPr>
        <w:t xml:space="preserve">Read for: </w:t>
      </w:r>
      <w:r>
        <w:rPr>
          <w:i/>
          <w:iCs/>
          <w:sz w:val="22"/>
          <w:szCs w:val="22"/>
        </w:rPr>
        <w:t xml:space="preserve">The hybrid physics-LSTM architecture (Section 3.3) and the out-of-distribution performance comparison (Table 3). This is your methodological template for Step 1 when calibration data is restricted.</w:t>
      </w:r>
    </w:p>
    <w:p>
      <w:pPr>
        <w:spacing w:after="40" w:before="120"/>
      </w:pPr>
      <w:hyperlink w:history="1" r:id="rId8i2xc3w2az6pt5xffis8u">
        <w:r>
          <w:rPr>
            <w:rStyle w:val="Hyperlink"/>
            <w:b/>
            <w:bCs/>
            <w:sz w:val="24"/>
            <w:szCs w:val="24"/>
          </w:rPr>
          <w:t xml:space="preserve">Mining and Tailings Dam Detection in Satellite Imagery Using Deep Learning</w:t>
        </w:r>
      </w:hyperlink>
      <w:r>
        <w:rPr>
          <w:color w:val="555555"/>
          <w:sz w:val="22"/>
          <w:szCs w:val="22"/>
        </w:rPr>
        <w:t xml:space="preserve"> — Balaniuk et al., 2020 · 57 citations · Sensors</w:t>
      </w:r>
    </w:p>
    <w:p>
      <w:pPr>
        <w:spacing w:after="40" w:before="40"/>
        <w:ind w:left="360"/>
      </w:pPr>
      <w:r>
        <w:rPr>
          <w:sz w:val="22"/>
          <w:szCs w:val="22"/>
        </w:rPr>
        <w:t xml:space="preserve">[Anchor — Sentinel-2 seed] Demonstrates country-wide detection of 263 unregistered mines in Brazil using Sentinel-2 + fully convolutional neural networks on Google Earth Engine. The discovery of unregistered (illegal) mines is structurally identical to your task — detecting extraction that has no legal footprint in disputed zones. The Brazil/Amazon context overlaps with regions where indigenous sovereignty disputes create de facto extraction impunity.</w:t>
      </w:r>
    </w:p>
    <w:p>
      <w:pPr>
        <w:spacing w:after="120" w:before="40"/>
        <w:ind w:left="360"/>
      </w:pPr>
      <w:r>
        <w:rPr>
          <w:b/>
          <w:bCs/>
          <w:sz w:val="22"/>
          <w:szCs w:val="22"/>
        </w:rPr>
        <w:t xml:space="preserve">Read for: </w:t>
      </w:r>
      <w:r>
        <w:rPr>
          <w:i/>
          <w:iCs/>
          <w:sz w:val="22"/>
          <w:szCs w:val="22"/>
        </w:rPr>
        <w:t xml:space="preserve">The unregistered mine discovery methodology (Section 3.4) and the social impact framing (Section 5). The GEE pipeline is directly reusable for your Step 2 implementation.</w:t>
      </w:r>
    </w:p>
    <w:p>
      <w:pPr>
        <w:spacing w:after="40" w:before="120"/>
      </w:pPr>
      <w:hyperlink w:history="1" r:id="rIdz-xrkqpvino3i6qmcachy">
        <w:r>
          <w:rPr>
            <w:rStyle w:val="Hyperlink"/>
            <w:b/>
            <w:bCs/>
            <w:sz w:val="24"/>
            <w:szCs w:val="24"/>
          </w:rPr>
          <w:t xml:space="preserve">Geographic Opportunity and Neomalthusian Willingness: Boundaries, Shared Rivers, and Conflict</w:t>
        </w:r>
      </w:hyperlink>
      <w:r>
        <w:rPr>
          <w:color w:val="555555"/>
          <w:sz w:val="22"/>
          <w:szCs w:val="22"/>
        </w:rPr>
        <w:t xml:space="preserve"> — Furlong &amp; Gleditsch et al., 2006 · 91 citations · International Interactions</w:t>
      </w:r>
    </w:p>
    <w:p>
      <w:pPr>
        <w:spacing w:after="40" w:before="40"/>
        <w:ind w:left="360"/>
      </w:pPr>
      <w:r>
        <w:rPr>
          <w:sz w:val="22"/>
          <w:szCs w:val="22"/>
        </w:rPr>
        <w:t xml:space="preserve">[Anchor — Nils Petter Gleditsch seed] Establishes that shared rivers and water scarcity are significant predictors of international conflict — the empirical foundation for treating river basins as conflict-prone zones relevant to your geopolitical covariate specification. Tests the neomalthusian hypothesis over a 110-year period. The finding that resource scarcity variables (willingness) outperform geographic proximity variables (opportunity) directly informs which geopolitical variables will have predictive power in your Step 4 ML model.</w:t>
      </w:r>
    </w:p>
    <w:p>
      <w:pPr>
        <w:spacing w:after="120" w:before="40"/>
        <w:ind w:left="360"/>
      </w:pPr>
      <w:r>
        <w:rPr>
          <w:b/>
          <w:bCs/>
          <w:sz w:val="22"/>
          <w:szCs w:val="22"/>
        </w:rPr>
        <w:t xml:space="preserve">Read for: </w:t>
      </w:r>
      <w:r>
        <w:rPr>
          <w:i/>
          <w:iCs/>
          <w:sz w:val="22"/>
          <w:szCs w:val="22"/>
        </w:rPr>
        <w:t xml:space="preserve">The willingness vs. opportunity decomposition (Section 4) and the shared-river conflict correlation (Table 3). These empirical results justify including dispute intensity and resource scarcity as covariates in Step 4.</w:t>
      </w:r>
    </w:p>
    <w:p>
      <w:pPr>
        <w:spacing w:after="40" w:before="120"/>
      </w:pPr>
      <w:hyperlink w:history="1" r:id="rIdkeal4lvxlmq10h86watlm">
        <w:r>
          <w:rPr>
            <w:rStyle w:val="Hyperlink"/>
            <w:b/>
            <w:bCs/>
            <w:sz w:val="24"/>
            <w:szCs w:val="24"/>
          </w:rPr>
          <w:t xml:space="preserve">Forecasting Political Events: The Future of Hong Kong</w:t>
        </w:r>
      </w:hyperlink>
      <w:r>
        <w:rPr>
          <w:color w:val="555555"/>
          <w:sz w:val="22"/>
          <w:szCs w:val="22"/>
        </w:rPr>
        <w:t xml:space="preserve"> — Bueno de Mesquita et al., 1985 · 61 citations</w:t>
      </w:r>
    </w:p>
    <w:p>
      <w:pPr>
        <w:spacing w:after="40" w:before="40"/>
        <w:ind w:left="360"/>
      </w:pPr>
      <w:r>
        <w:rPr>
          <w:sz w:val="22"/>
          <w:szCs w:val="22"/>
        </w:rPr>
        <w:t xml:space="preserve">[Anchor — Bruce Bueno de Mesquita seed] The foundational application of expected utility game theory to political forecasting. Establishes the expected utility framework for predicting actor behavior under conflicting interests — the intellectual precursor to your Step 6 multi-agent simulation. While this is an early work, it establishes BdM's core methodology: model actors as utility-maximizers with private information and strategic incentives, then calibrate the model to observed outcomes. Your Step 6 follows this tradition by calibrating payoffs from ACLED/MID escalation events.</w:t>
      </w:r>
    </w:p>
    <w:p>
      <w:pPr>
        <w:spacing w:after="120" w:before="40"/>
        <w:ind w:left="360"/>
      </w:pPr>
      <w:r>
        <w:rPr>
          <w:b/>
          <w:bCs/>
          <w:sz w:val="22"/>
          <w:szCs w:val="22"/>
        </w:rPr>
        <w:t xml:space="preserve">Read for: </w:t>
      </w:r>
      <w:r>
        <w:rPr>
          <w:i/>
          <w:iCs/>
          <w:sz w:val="22"/>
          <w:szCs w:val="22"/>
        </w:rPr>
        <w:t xml:space="preserve">The expected utility specification (Chapter 2) and the calibration from observable outcomes (Chapter 4). These are the canonical reference for expected utility IR models your Step 6 reviewers will cite.</w:t>
      </w:r>
    </w:p>
    <w:p>
      <w:pPr>
        <w:pStyle w:val="Heading1"/>
        <w:spacing w:after="200" w:before="400"/>
      </w:pPr>
      <w:r>
        <w:t xml:space="preserve">3. How the Field Got Here</w:t>
      </w:r>
    </w:p>
    <w:p>
      <w:pPr>
        <w:spacing w:after="100" w:before="100"/>
      </w:pPr>
      <w:r>
        <w:rPr>
          <w:sz w:val="24"/>
          <w:szCs w:val="24"/>
        </w:rPr>
        <w:t xml:space="preserve">Four intellectual traditions have developed largely in isolation, and this research sits at their intersection.</w:t>
      </w:r>
    </w:p>
    <w:p>
      <w:pPr>
        <w:spacing w:after="100" w:before="100"/>
      </w:pPr>
      <w:r>
        <w:rPr>
          <w:sz w:val="24"/>
          <w:szCs w:val="24"/>
        </w:rPr>
        <w:t xml:space="preserve">The oldest tradition is physical watershed modeling. The Soil and Water Assessment Tool (SWAT), developed at USDA-ARS in the early 1990s, became the dominant platform for catchment-scale sediment and nutrient transport simulation. By 2011, SWAT had been applied to thousands of basins worldwide. Its known weakness — poor performance in ungauged and data-scarce basins — was partially addressed through parameter regionalization and physical similarity transfer (Bawa et al. 2025). The application to water quality prediction in ungauged sub-basins (Qi et al. 2020) established that satisfactory sediment performance is achievable even without full calibration data, using SWAT-EC's improved process representation. This matters directly for contested basins where upstream states restrict data access.</w:t>
      </w:r>
    </w:p>
    <w:p>
      <w:pPr>
        <w:spacing w:after="100" w:before="100"/>
      </w:pPr>
      <w:r>
        <w:rPr>
          <w:sz w:val="24"/>
          <w:szCs w:val="24"/>
        </w:rPr>
        <w:t xml:space="preserve">Satellite monitoring of water turbidity evolved in parallel. Landsat-era work (Foody 2003) established the feasibility of land cover and water quality monitoring from space in tropical environments. The 2015–2017 launch of Sentinel-2 satellites with 10m resolution transformed inland water quality retrieval: NDTI became a validated turbidity proxy with R² &gt; 0.85 in turbid tropical rivers. By 2020, Google Earth Engine pipelines made large-area, time-series NDTI analysis accessible without high-performance computing. The application to illegal mining detection — using Sentinel-2 CNNs (Gallwey et al. 2020, Balaniuk et al. 2020) — demonstrated that extraction footprints invisible to enforcement are visible from space.</w:t>
      </w:r>
    </w:p>
    <w:p>
      <w:pPr>
        <w:spacing w:after="100" w:before="100"/>
      </w:pPr>
      <w:r>
        <w:rPr>
          <w:sz w:val="24"/>
          <w:szCs w:val="24"/>
        </w:rPr>
        <w:t xml:space="preserve">Physics-guided machine learning for geosciences emerged as a distinct paradigm around 2017–2020, crystallized by Willard et al.'s 2020 ACM survey (490 citations) and Shen et al.'s 2023 Nature Reviews perspective on differentiable modelling (218 citations). The core insight: process-based models provide physical constraints and interpretability; ML captures the residual structure the physical model cannot represent. Applied to hydrology, this produced hybrid LSTM architectures (Lu et al. 2021) that outperform both pure ML and pure physics in data-scarce, out-of-distribution regimes — exactly the conditions in contested basins.</w:t>
      </w:r>
    </w:p>
    <w:p>
      <w:pPr>
        <w:spacing w:after="100" w:before="100"/>
      </w:pPr>
      <w:r>
        <w:rPr>
          <w:sz w:val="24"/>
          <w:szCs w:val="24"/>
        </w:rPr>
        <w:t xml:space="preserve">The political economy of extraction has a separate genealogy. Bebbington et al.'s 2011 New Political Economy paper (235 citations) documented the convergence of neoliberal and post-neoliberal regimes in aggressive extractive expansion across Andean-Amazonian territories — showing that resource conflict is structural, not contingent. Lambin &amp; Meyfroidt (2011, 2880 citations) formalized the displacement logic: governance pressure in one zone displaces extraction to lower-governance zones. Prem et al.'s 2020 World Development paper (104 citations) used DiD with satellite data to show that the end of Colombia's FARC conflict caused a deforestation surge — the methodological template for your Step 5 event study. The causal inference tools (DiD, staggered event studies; Marcus et al. 2020, 142 citations) have matured enough to identify dispute-driven extraction shocks with confidence.</w:t>
      </w:r>
    </w:p>
    <w:p>
      <w:pPr>
        <w:spacing w:after="100" w:before="100"/>
      </w:pPr>
      <w:r>
        <w:rPr>
          <w:sz w:val="24"/>
          <w:szCs w:val="24"/>
        </w:rPr>
        <w:t xml:space="preserve">Game-theoretic models of resource conflict exist primarily in water allocation literature (Khorshidi et al. 2024, Vithya et al. 2025) and international relations (Bueno de Mesquita 1985). None connect a game-theoretic equilibrium to an empirical physical monitoring signal. This is the primary gap.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74B5" w:color="FFFFFF" w:val="clear"/>
          </w:tcPr>
          <w:p>
            <w:pPr>
              <w:spacing w:after="60" w:before="60"/>
            </w:pPr>
            <w:r>
              <w:rPr>
                <w:b/>
                <w:bCs/>
                <w:sz w:val="20"/>
                <w:szCs w:val="20"/>
              </w:rPr>
              <w:t xml:space="preserve">Period</w:t>
            </w:r>
          </w:p>
        </w:tc>
        <w:tc>
          <w:tcPr>
            <w:shd w:fill="2E74B5" w:color="FFFFFF" w:val="clear"/>
          </w:tcPr>
          <w:p>
            <w:pPr>
              <w:spacing w:after="60" w:before="60"/>
            </w:pPr>
            <w:r>
              <w:rPr>
                <w:b/>
                <w:bCs/>
                <w:sz w:val="20"/>
                <w:szCs w:val="20"/>
              </w:rPr>
              <w:t xml:space="preserve">Milestone</w:t>
            </w:r>
          </w:p>
        </w:tc>
        <w:tc>
          <w:tcPr>
            <w:shd w:fill="2E74B5" w:color="FFFFFF" w:val="clear"/>
          </w:tcPr>
          <w:p>
            <w:pPr>
              <w:spacing w:after="60" w:before="60"/>
            </w:pPr>
            <w:r>
              <w:rPr>
                <w:b/>
                <w:bCs/>
                <w:sz w:val="20"/>
                <w:szCs w:val="20"/>
              </w:rPr>
              <w:t xml:space="preserve">Relevance</w:t>
            </w:r>
          </w:p>
        </w:tc>
      </w:tr>
      <w:tr>
        <w:tc>
          <w:p>
            <w:pPr>
              <w:spacing w:after="60" w:before="60"/>
            </w:pPr>
            <w:r>
              <w:rPr>
                <w:sz w:val="20"/>
                <w:szCs w:val="20"/>
              </w:rPr>
              <w:t xml:space="preserve">1990s</w:t>
            </w:r>
          </w:p>
        </w:tc>
        <w:tc>
          <w:p>
            <w:pPr>
              <w:spacing w:after="60" w:before="60"/>
            </w:pPr>
            <w:r>
              <w:rPr>
                <w:sz w:val="20"/>
                <w:szCs w:val="20"/>
              </w:rPr>
              <w:t xml:space="preserve">SWAT model development (USDA-ARS)</w:t>
            </w:r>
          </w:p>
        </w:tc>
        <w:tc>
          <w:p>
            <w:pPr>
              <w:spacing w:after="60" w:before="60"/>
            </w:pPr>
            <w:r>
              <w:rPr>
                <w:sz w:val="20"/>
                <w:szCs w:val="20"/>
              </w:rPr>
              <w:t xml:space="preserve">Step 1 physical backbone</w:t>
            </w:r>
          </w:p>
        </w:tc>
      </w:tr>
      <w:tr>
        <w:tc>
          <w:p>
            <w:pPr>
              <w:spacing w:after="60" w:before="60"/>
            </w:pPr>
            <w:r>
              <w:rPr>
                <w:sz w:val="20"/>
                <w:szCs w:val="20"/>
              </w:rPr>
              <w:t xml:space="preserve">2003</w:t>
            </w:r>
          </w:p>
        </w:tc>
        <w:tc>
          <w:p>
            <w:pPr>
              <w:spacing w:after="60" w:before="60"/>
            </w:pPr>
            <w:r>
              <w:rPr>
                <w:sz w:val="20"/>
                <w:szCs w:val="20"/>
              </w:rPr>
              <w:t xml:space="preserve">Foody: RS for tropical forest monitoring</w:t>
            </w:r>
          </w:p>
        </w:tc>
        <w:tc>
          <w:p>
            <w:pPr>
              <w:spacing w:after="60" w:before="60"/>
            </w:pPr>
            <w:r>
              <w:rPr>
                <w:sz w:val="20"/>
                <w:szCs w:val="20"/>
              </w:rPr>
              <w:t xml:space="preserve">Early remote sensing validation</w:t>
            </w:r>
          </w:p>
        </w:tc>
      </w:tr>
      <w:tr>
        <w:tc>
          <w:p>
            <w:pPr>
              <w:spacing w:after="60" w:before="60"/>
            </w:pPr>
            <w:r>
              <w:rPr>
                <w:sz w:val="20"/>
                <w:szCs w:val="20"/>
              </w:rPr>
              <w:t xml:space="preserve">2006</w:t>
            </w:r>
          </w:p>
        </w:tc>
        <w:tc>
          <w:p>
            <w:pPr>
              <w:spacing w:after="60" w:before="60"/>
            </w:pPr>
            <w:r>
              <w:rPr>
                <w:sz w:val="20"/>
                <w:szCs w:val="20"/>
              </w:rPr>
              <w:t xml:space="preserve">Furlong &amp; Gleditsch: shared rivers and conflict</w:t>
            </w:r>
          </w:p>
        </w:tc>
        <w:tc>
          <w:p>
            <w:pPr>
              <w:spacing w:after="60" w:before="60"/>
            </w:pPr>
            <w:r>
              <w:rPr>
                <w:sz w:val="20"/>
                <w:szCs w:val="20"/>
              </w:rPr>
              <w:t xml:space="preserve">Geopolitical covariate empirics</w:t>
            </w:r>
          </w:p>
        </w:tc>
      </w:tr>
      <w:tr>
        <w:tc>
          <w:p>
            <w:pPr>
              <w:spacing w:after="60" w:before="60"/>
            </w:pPr>
            <w:r>
              <w:rPr>
                <w:sz w:val="20"/>
                <w:szCs w:val="20"/>
              </w:rPr>
              <w:t xml:space="preserve">2011</w:t>
            </w:r>
          </w:p>
        </w:tc>
        <w:tc>
          <w:p>
            <w:pPr>
              <w:spacing w:after="60" w:before="60"/>
            </w:pPr>
            <w:r>
              <w:rPr>
                <w:sz w:val="20"/>
                <w:szCs w:val="20"/>
              </w:rPr>
              <w:t xml:space="preserve">Lambin &amp; Meyfroidt: global land use change (PNAS)</w:t>
            </w:r>
          </w:p>
        </w:tc>
        <w:tc>
          <w:p>
            <w:pPr>
              <w:spacing w:after="60" w:before="60"/>
            </w:pPr>
            <w:r>
              <w:rPr>
                <w:sz w:val="20"/>
                <w:szCs w:val="20"/>
              </w:rPr>
              <w:t xml:space="preserve">Displacement/governance theory</w:t>
            </w:r>
          </w:p>
        </w:tc>
      </w:tr>
      <w:tr>
        <w:tc>
          <w:p>
            <w:pPr>
              <w:spacing w:after="60" w:before="60"/>
            </w:pPr>
            <w:r>
              <w:rPr>
                <w:sz w:val="20"/>
                <w:szCs w:val="20"/>
              </w:rPr>
              <w:t xml:space="preserve">2014</w:t>
            </w:r>
          </w:p>
        </w:tc>
        <w:tc>
          <w:p>
            <w:pPr>
              <w:spacing w:after="60" w:before="60"/>
            </w:pPr>
            <w:r>
              <w:rPr>
                <w:sz w:val="20"/>
                <w:szCs w:val="20"/>
              </w:rPr>
              <w:t xml:space="preserve">Godar et al.: actor-specific deforestation Amazon (PNAS)</w:t>
            </w:r>
          </w:p>
        </w:tc>
        <w:tc>
          <w:p>
            <w:pPr>
              <w:spacing w:after="60" w:before="60"/>
            </w:pPr>
            <w:r>
              <w:rPr>
                <w:sz w:val="20"/>
                <w:szCs w:val="20"/>
              </w:rPr>
              <w:t xml:space="preserve">Remote sensing + actor governance</w:t>
            </w:r>
          </w:p>
        </w:tc>
      </w:tr>
      <w:tr>
        <w:tc>
          <w:p>
            <w:pPr>
              <w:spacing w:after="60" w:before="60"/>
            </w:pPr>
            <w:r>
              <w:rPr>
                <w:sz w:val="20"/>
                <w:szCs w:val="20"/>
              </w:rPr>
              <w:t xml:space="preserve">2015–17</w:t>
            </w:r>
          </w:p>
        </w:tc>
        <w:tc>
          <w:p>
            <w:pPr>
              <w:spacing w:after="60" w:before="60"/>
            </w:pPr>
            <w:r>
              <w:rPr>
                <w:sz w:val="20"/>
                <w:szCs w:val="20"/>
              </w:rPr>
              <w:t xml:space="preserve">Sentinel-2 launched; 10m resolution inland water</w:t>
            </w:r>
          </w:p>
        </w:tc>
        <w:tc>
          <w:p>
            <w:pPr>
              <w:spacing w:after="60" w:before="60"/>
            </w:pPr>
            <w:r>
              <w:rPr>
                <w:sz w:val="20"/>
                <w:szCs w:val="20"/>
              </w:rPr>
              <w:t xml:space="preserve">Step 2 operational layer</w:t>
            </w:r>
          </w:p>
        </w:tc>
      </w:tr>
      <w:tr>
        <w:tc>
          <w:p>
            <w:pPr>
              <w:spacing w:after="60" w:before="60"/>
            </w:pPr>
            <w:r>
              <w:rPr>
                <w:sz w:val="20"/>
                <w:szCs w:val="20"/>
              </w:rPr>
              <w:t xml:space="preserve">2020</w:t>
            </w:r>
          </w:p>
        </w:tc>
        <w:tc>
          <w:p>
            <w:pPr>
              <w:spacing w:after="60" w:before="60"/>
            </w:pPr>
            <w:r>
              <w:rPr>
                <w:sz w:val="20"/>
                <w:szCs w:val="20"/>
              </w:rPr>
              <w:t xml:space="preserve">Willard et al.: physics-guided ML survey (490 cit.)</w:t>
            </w:r>
          </w:p>
        </w:tc>
        <w:tc>
          <w:p>
            <w:pPr>
              <w:spacing w:after="60" w:before="60"/>
            </w:pPr>
            <w:r>
              <w:rPr>
                <w:sz w:val="20"/>
                <w:szCs w:val="20"/>
              </w:rPr>
              <w:t xml:space="preserve">Steps 3–4 framework</w:t>
            </w:r>
          </w:p>
        </w:tc>
      </w:tr>
      <w:tr>
        <w:tc>
          <w:p>
            <w:pPr>
              <w:spacing w:after="60" w:before="60"/>
            </w:pPr>
            <w:r>
              <w:rPr>
                <w:sz w:val="20"/>
                <w:szCs w:val="20"/>
              </w:rPr>
              <w:t xml:space="preserve">2020</w:t>
            </w:r>
          </w:p>
        </w:tc>
        <w:tc>
          <w:p>
            <w:pPr>
              <w:spacing w:after="60" w:before="60"/>
            </w:pPr>
            <w:r>
              <w:rPr>
                <w:sz w:val="20"/>
                <w:szCs w:val="20"/>
              </w:rPr>
              <w:t xml:space="preserve">Gallwey / Balaniuk: Sentinel-2 CNN mining detection</w:t>
            </w:r>
          </w:p>
        </w:tc>
        <w:tc>
          <w:p>
            <w:pPr>
              <w:spacing w:after="60" w:before="60"/>
            </w:pPr>
            <w:r>
              <w:rPr>
                <w:sz w:val="20"/>
                <w:szCs w:val="20"/>
              </w:rPr>
              <w:t xml:space="preserve">Step 2 methodology</w:t>
            </w:r>
          </w:p>
        </w:tc>
      </w:tr>
      <w:tr>
        <w:tc>
          <w:p>
            <w:pPr>
              <w:spacing w:after="60" w:before="60"/>
            </w:pPr>
            <w:r>
              <w:rPr>
                <w:sz w:val="20"/>
                <w:szCs w:val="20"/>
              </w:rPr>
              <w:t xml:space="preserve">2020</w:t>
            </w:r>
          </w:p>
        </w:tc>
        <w:tc>
          <w:p>
            <w:pPr>
              <w:spacing w:after="60" w:before="60"/>
            </w:pPr>
            <w:r>
              <w:rPr>
                <w:sz w:val="20"/>
                <w:szCs w:val="20"/>
              </w:rPr>
              <w:t xml:space="preserve">Prem et al.: conflict-deforestation DiD, Colombia</w:t>
            </w:r>
          </w:p>
        </w:tc>
        <w:tc>
          <w:p>
            <w:pPr>
              <w:spacing w:after="60" w:before="60"/>
            </w:pPr>
            <w:r>
              <w:rPr>
                <w:sz w:val="20"/>
                <w:szCs w:val="20"/>
              </w:rPr>
              <w:t xml:space="preserve">Step 5 causal template</w:t>
            </w:r>
          </w:p>
        </w:tc>
      </w:tr>
      <w:tr>
        <w:tc>
          <w:p>
            <w:pPr>
              <w:spacing w:after="60" w:before="60"/>
            </w:pPr>
            <w:r>
              <w:rPr>
                <w:sz w:val="20"/>
                <w:szCs w:val="20"/>
              </w:rPr>
              <w:t xml:space="preserve">2021</w:t>
            </w:r>
          </w:p>
        </w:tc>
        <w:tc>
          <w:p>
            <w:pPr>
              <w:spacing w:after="60" w:before="60"/>
            </w:pPr>
            <w:r>
              <w:rPr>
                <w:sz w:val="20"/>
                <w:szCs w:val="20"/>
              </w:rPr>
              <w:t xml:space="preserve">Lu et al.: physics-informed LSTM data-scarce basins</w:t>
            </w:r>
          </w:p>
        </w:tc>
        <w:tc>
          <w:p>
            <w:pPr>
              <w:spacing w:after="60" w:before="60"/>
            </w:pPr>
            <w:r>
              <w:rPr>
                <w:sz w:val="20"/>
                <w:szCs w:val="20"/>
              </w:rPr>
              <w:t xml:space="preserve">Step 1–3 hybrid architecture</w:t>
            </w:r>
          </w:p>
        </w:tc>
      </w:tr>
      <w:tr>
        <w:tc>
          <w:p>
            <w:pPr>
              <w:spacing w:after="60" w:before="60"/>
            </w:pPr>
            <w:r>
              <w:rPr>
                <w:sz w:val="20"/>
                <w:szCs w:val="20"/>
              </w:rPr>
              <w:t xml:space="preserve">2023</w:t>
            </w:r>
          </w:p>
        </w:tc>
        <w:tc>
          <w:p>
            <w:pPr>
              <w:spacing w:after="60" w:before="60"/>
            </w:pPr>
            <w:r>
              <w:rPr>
                <w:sz w:val="20"/>
                <w:szCs w:val="20"/>
              </w:rPr>
              <w:t xml:space="preserve">Shen et al.: differentiable modelling (Nature Reviews)</w:t>
            </w:r>
          </w:p>
        </w:tc>
        <w:tc>
          <w:p>
            <w:pPr>
              <w:spacing w:after="60" w:before="60"/>
            </w:pPr>
            <w:r>
              <w:rPr>
                <w:sz w:val="20"/>
                <w:szCs w:val="20"/>
              </w:rPr>
              <w:t xml:space="preserve">Steps 3–4 frontier</w:t>
            </w:r>
          </w:p>
        </w:tc>
      </w:tr>
      <w:tr>
        <w:tc>
          <w:p>
            <w:pPr>
              <w:spacing w:after="60" w:before="60"/>
            </w:pPr>
            <w:r>
              <w:rPr>
                <w:sz w:val="20"/>
                <w:szCs w:val="20"/>
              </w:rPr>
              <w:t xml:space="preserve">2024–25</w:t>
            </w:r>
          </w:p>
        </w:tc>
        <w:tc>
          <w:p>
            <w:pPr>
              <w:spacing w:after="60" w:before="60"/>
            </w:pPr>
            <w:r>
              <w:rPr>
                <w:sz w:val="20"/>
                <w:szCs w:val="20"/>
              </w:rPr>
              <w:t xml:space="preserve">Bawa et al.: ML regionalization for ungauged SWAT</w:t>
            </w:r>
          </w:p>
        </w:tc>
        <w:tc>
          <w:p>
            <w:pPr>
              <w:spacing w:after="60" w:before="60"/>
            </w:pPr>
            <w:r>
              <w:rPr>
                <w:sz w:val="20"/>
                <w:szCs w:val="20"/>
              </w:rPr>
              <w:t xml:space="preserve">Gap 1 addressed</w:t>
            </w:r>
          </w:p>
        </w:tc>
      </w:tr>
    </w:tbl>
    <w:p>
      <w:pPr>
        <w:pStyle w:val="Heading1"/>
        <w:spacing w:after="200" w:before="400"/>
      </w:pPr>
      <w:r>
        <w:t xml:space="preserve">4. Sub-area Guides</w:t>
      </w:r>
    </w:p>
    <w:p>
      <w:pPr>
        <w:pStyle w:val="Heading2"/>
        <w:spacing w:after="150" w:before="300"/>
      </w:pPr>
      <w:r>
        <w:t xml:space="preserve">4.1 Step 1 — Physical Baseline: SWAT Sediment Transport</w:t>
      </w:r>
    </w:p>
    <w:p>
      <w:pPr>
        <w:pStyle w:val="Heading3"/>
        <w:spacing w:after="100" w:before="200"/>
      </w:pPr>
      <w:r>
        <w:t xml:space="preserve">What the Research Shows</w:t>
      </w:r>
    </w:p>
    <w:p>
      <w:pPr>
        <w:spacing w:after="100" w:before="100"/>
      </w:pPr>
      <w:r>
        <w:rPr>
          <w:sz w:val="24"/>
          <w:szCs w:val="24"/>
        </w:rPr>
        <w:t xml:space="preserve">SWAT is the dominant platform for catchment sediment modeling, validated across humid tropics, semi-arid regions, and mountainous watersheds. The chronic challenge of ungauged and data-scarce basins is now partially solved via ML-based parameter regionalization (Bawa et al. 2025) and improved uncalibrated process representation (Qi et al. 2020). Physics-informed deep learning hybrids (Lu et al. 2021) outperform both SWAT alone and standard LSTM in severely data-scarce settings — the expected condition in contested basins where upstream states restrict data sharing. Coupling sediment simulation with satellite-observed turbidity as a validation constraint offers a path forward when in-situ gauges are inaccessible.</w:t>
      </w:r>
    </w:p>
    <w:p>
      <w:pPr>
        <w:pStyle w:val="Heading3"/>
        <w:spacing w:after="100" w:before="200"/>
      </w:pPr>
      <w:r>
        <w:t xml:space="preserve">Key Papers</w:t>
      </w:r>
    </w:p>
    <w:p>
      <w:pPr>
        <w:spacing w:after="40" w:before="120"/>
      </w:pPr>
      <w:hyperlink w:history="1" r:id="rIdgq8p-quqicuaukvxj4y57">
        <w:r>
          <w:rPr>
            <w:rStyle w:val="Hyperlink"/>
            <w:b/>
            <w:bCs/>
            <w:sz w:val="24"/>
            <w:szCs w:val="24"/>
          </w:rPr>
          <w:t xml:space="preserve">SWAT ungauged: Water quality modeling in the Upper Mississippi River Basin</w:t>
        </w:r>
      </w:hyperlink>
      <w:r>
        <w:rPr>
          <w:color w:val="555555"/>
          <w:sz w:val="22"/>
          <w:szCs w:val="22"/>
        </w:rPr>
        <w:t xml:space="preserve"> — Qi et al., 2020 · 48 citations · Journal of Hydrology</w:t>
      </w:r>
    </w:p>
    <w:p>
      <w:pPr>
        <w:spacing w:after="40" w:before="40"/>
        <w:ind w:left="360"/>
      </w:pPr>
      <w:r>
        <w:rPr>
          <w:sz w:val="22"/>
          <w:szCs w:val="22"/>
        </w:rPr>
        <w:t xml:space="preserve">Demonstrates satisfactory SWAT sediment and nutrient simulation without parameter calibration — directly addressing Gap 1. SWAT-EC's improved process representation achieves results comparable to calibrated models on sediment and nitrate.</w:t>
      </w:r>
    </w:p>
    <w:p>
      <w:pPr>
        <w:spacing w:after="120" w:before="40"/>
        <w:ind w:left="360"/>
      </w:pPr>
      <w:r>
        <w:rPr>
          <w:b/>
          <w:bCs/>
          <w:sz w:val="22"/>
          <w:szCs w:val="22"/>
        </w:rPr>
        <w:t xml:space="preserve">Read for: </w:t>
      </w:r>
      <w:r>
        <w:rPr>
          <w:i/>
          <w:iCs/>
          <w:sz w:val="22"/>
          <w:szCs w:val="22"/>
        </w:rPr>
        <w:t xml:space="preserve">Performance metrics for uncalibrated sediment simulation (Table 3) — these are your baseline benchmarks for contested basin applications.</w:t>
      </w:r>
    </w:p>
    <w:p>
      <w:pPr>
        <w:spacing w:after="40" w:before="120"/>
      </w:pPr>
      <w:hyperlink w:history="1" r:id="rIdv0m_fwwvqdtw9bcn_ooa1">
        <w:r>
          <w:rPr>
            <w:rStyle w:val="Hyperlink"/>
            <w:b/>
            <w:bCs/>
            <w:sz w:val="24"/>
            <w:szCs w:val="24"/>
          </w:rPr>
          <w:t xml:space="preserve">Enhancing hydrological modeling of ungauged watersheds through machine learning and physical similarity-based regionalization</w:t>
        </w:r>
      </w:hyperlink>
      <w:r>
        <w:rPr>
          <w:color w:val="555555"/>
          <w:sz w:val="22"/>
          <w:szCs w:val="22"/>
        </w:rPr>
        <w:t xml:space="preserve"> — Bawa et al., 2025 · 4 citations · Environmental Modelling &amp; Software</w:t>
      </w:r>
    </w:p>
    <w:p>
      <w:pPr>
        <w:spacing w:after="40" w:before="40"/>
        <w:ind w:left="360"/>
      </w:pPr>
      <w:r>
        <w:rPr>
          <w:sz w:val="22"/>
          <w:szCs w:val="22"/>
        </w:rPr>
        <w:t xml:space="preserve">Uses random forest + hierarchical clustering to transfer calibrated SWAT parameters from gauged to ungauged watersheds. 88% of projects achieve KGE ≥ 0.5 after parameter transfer. Validated with MODIS ET satellite data — relevant to satellite-constrained calibration in data-restricted basins.</w:t>
      </w:r>
    </w:p>
    <w:p>
      <w:pPr>
        <w:spacing w:after="120" w:before="40"/>
        <w:ind w:left="360"/>
      </w:pPr>
      <w:r>
        <w:rPr>
          <w:b/>
          <w:bCs/>
          <w:sz w:val="22"/>
          <w:szCs w:val="22"/>
        </w:rPr>
        <w:t xml:space="preserve">Read for: </w:t>
      </w:r>
      <w:r>
        <w:rPr>
          <w:i/>
          <w:iCs/>
          <w:sz w:val="22"/>
          <w:szCs w:val="22"/>
        </w:rPr>
        <w:t xml:space="preserve">The ML clustering workflow (Section 2.3) for parameter regionalization — directly applicable when upstream gauge access is denied.</w:t>
      </w:r>
    </w:p>
    <w:p>
      <w:pPr>
        <w:spacing w:after="40" w:before="120"/>
      </w:pPr>
      <w:hyperlink w:history="1" r:id="rIdoiqh5ak6eyvnlkxir4bsq">
        <w:r>
          <w:rPr>
            <w:rStyle w:val="Hyperlink"/>
            <w:b/>
            <w:bCs/>
            <w:sz w:val="24"/>
            <w:szCs w:val="24"/>
          </w:rPr>
          <w:t xml:space="preserve">Application of SWAT for six watersheds of Lake Erie: Model parameterization and performance</w:t>
        </w:r>
      </w:hyperlink>
      <w:r>
        <w:rPr>
          <w:color w:val="555555"/>
          <w:sz w:val="22"/>
          <w:szCs w:val="22"/>
        </w:rPr>
        <w:t xml:space="preserve"> — Bosch et al., 2011 · 77 citations · The Lancet / Water Resources</w:t>
      </w:r>
    </w:p>
    <w:p>
      <w:pPr>
        <w:spacing w:after="40" w:before="40"/>
        <w:ind w:left="360"/>
      </w:pPr>
      <w:r>
        <w:rPr>
          <w:sz w:val="22"/>
          <w:szCs w:val="22"/>
        </w:rPr>
        <w:t xml:space="preserve">Classic multi-site SWAT calibration and validation across watersheds with differing land use — establishes the trade-off between streamflow and sediment calibration that recurs in all SWAT applications.</w:t>
      </w:r>
    </w:p>
    <w:p>
      <w:pPr>
        <w:spacing w:after="120" w:before="40"/>
        <w:ind w:left="360"/>
      </w:pPr>
      <w:r>
        <w:rPr>
          <w:b/>
          <w:bCs/>
          <w:sz w:val="22"/>
          <w:szCs w:val="22"/>
        </w:rPr>
        <w:t xml:space="preserve">Read for: </w:t>
      </w:r>
      <w:r>
        <w:rPr>
          <w:i/>
          <w:iCs/>
          <w:sz w:val="22"/>
          <w:szCs w:val="22"/>
        </w:rPr>
        <w:t xml:space="preserve">The calibration trade-off discussion (Section 4.3) — use this to frame the calibration choices when simultaneous streamflow-sediment optimization is required.</w:t>
      </w:r>
    </w:p>
    <w:p>
      <w:pPr>
        <w:pStyle w:val="Heading3"/>
        <w:spacing w:after="100" w:before="200"/>
      </w:pPr>
      <w:r>
        <w:t xml:space="preserve">Key Search Terms</w:t>
      </w:r>
    </w:p>
    <w:p>
      <w:pPr>
        <w:pStyle w:val="ListParagraph"/>
        <w:numPr>
          <w:ilvl w:val="0"/>
          <w:numId w:val="2"/>
        </w:numPr>
        <w:spacing w:after="60" w:before="60"/>
      </w:pPr>
      <w:r>
        <w:rPr>
          <w:sz w:val="24"/>
          <w:szCs w:val="24"/>
        </w:rPr>
        <w:t xml:space="preserve">SWAT sediment ungauged basin calibration parameter regionalization</w:t>
      </w:r>
    </w:p>
    <w:p>
      <w:pPr>
        <w:pStyle w:val="ListParagraph"/>
        <w:numPr>
          <w:ilvl w:val="0"/>
          <w:numId w:val="2"/>
        </w:numPr>
        <w:spacing w:after="60" w:before="60"/>
      </w:pPr>
      <w:r>
        <w:rPr>
          <w:sz w:val="24"/>
          <w:szCs w:val="24"/>
        </w:rPr>
        <w:t xml:space="preserve">physics-informed LSTM streamflow data-scarce out-of-distribution</w:t>
      </w:r>
    </w:p>
    <w:p>
      <w:pPr>
        <w:pStyle w:val="ListParagraph"/>
        <w:numPr>
          <w:ilvl w:val="0"/>
          <w:numId w:val="2"/>
        </w:numPr>
        <w:spacing w:after="60" w:before="60"/>
      </w:pPr>
      <w:r>
        <w:rPr>
          <w:sz w:val="24"/>
          <w:szCs w:val="24"/>
        </w:rPr>
        <w:t xml:space="preserve">SWAT-CUP SUFI-2 sensitivity analysis contested basin</w:t>
      </w:r>
    </w:p>
    <w:p>
      <w:pPr>
        <w:pStyle w:val="ListParagraph"/>
        <w:numPr>
          <w:ilvl w:val="0"/>
          <w:numId w:val="2"/>
        </w:numPr>
        <w:spacing w:after="60" w:before="60"/>
      </w:pPr>
      <w:r>
        <w:rPr>
          <w:sz w:val="24"/>
          <w:szCs w:val="24"/>
        </w:rPr>
        <w:t xml:space="preserve">suspended sediment yield watershed tropical mining land use</w:t>
      </w:r>
    </w:p>
    <w:p>
      <w:pPr>
        <w:pStyle w:val="ListParagraph"/>
        <w:numPr>
          <w:ilvl w:val="0"/>
          <w:numId w:val="2"/>
        </w:numPr>
        <w:spacing w:after="60" w:before="60"/>
      </w:pPr>
      <w:r>
        <w:rPr>
          <w:sz w:val="24"/>
          <w:szCs w:val="24"/>
        </w:rPr>
        <w:t xml:space="preserve">satellite-constrained SWAT calibration remote sensing evapotranspiration</w:t>
      </w:r>
    </w:p>
    <w:p>
      <w:pPr>
        <w:pStyle w:val="Heading3"/>
        <w:spacing w:after="100" w:before="200"/>
      </w:pPr>
      <w:r>
        <w:t xml:space="preserve">Boolean Search Strings</w:t>
      </w:r>
    </w:p>
    <w:p>
      <w:pPr>
        <w:pStyle w:val="ListParagraph"/>
        <w:numPr>
          <w:ilvl w:val="0"/>
          <w:numId w:val="2"/>
        </w:numPr>
        <w:spacing w:after="60" w:before="60"/>
      </w:pPr>
      <w:r>
        <w:rPr>
          <w:sz w:val="24"/>
          <w:szCs w:val="24"/>
        </w:rPr>
        <w:t xml:space="preserve">("SWAT" OR "Soil and Water Assessment Tool") AND ("ungauged" OR "data-scarce" OR "contested") AND ("sediment" OR "suspended sediment" OR "turbidity")</w:t>
      </w:r>
    </w:p>
    <w:p>
      <w:pPr>
        <w:pStyle w:val="ListParagraph"/>
        <w:numPr>
          <w:ilvl w:val="0"/>
          <w:numId w:val="2"/>
        </w:numPr>
        <w:spacing w:after="60" w:before="60"/>
      </w:pPr>
      <w:r>
        <w:rPr>
          <w:sz w:val="24"/>
          <w:szCs w:val="24"/>
        </w:rPr>
        <w:t xml:space="preserve">("physics-informed" OR "physics-guided") AND ("LSTM" OR "machine learning") AND ("streamflow" OR "sediment") AND ("ungauged" OR "calibration")</w:t>
      </w:r>
    </w:p>
    <w:p>
      <w:pPr>
        <w:pStyle w:val="ListParagraph"/>
        <w:numPr>
          <w:ilvl w:val="0"/>
          <w:numId w:val="2"/>
        </w:numPr>
        <w:spacing w:after="60" w:before="60"/>
      </w:pPr>
      <w:r>
        <w:rPr>
          <w:sz w:val="24"/>
          <w:szCs w:val="24"/>
        </w:rPr>
        <w:t xml:space="preserve">("parameter regionalization" OR "parameter transfer") AND ("SWAT" OR "hydrological model") AND ("machine learning" OR "random forest")</w:t>
      </w:r>
    </w:p>
    <w:p>
      <w:pPr>
        <w:pStyle w:val="Heading2"/>
        <w:spacing w:after="150" w:before="300"/>
      </w:pPr>
      <w:r>
        <w:t xml:space="preserve">4.2 Step 2 — Satellite Observation: Sentinel-2 NDTI Turbidity</w:t>
      </w:r>
    </w:p>
    <w:p>
      <w:pPr>
        <w:pStyle w:val="Heading3"/>
        <w:spacing w:after="100" w:before="200"/>
      </w:pPr>
      <w:r>
        <w:t xml:space="preserve">What the Research Shows</w:t>
      </w:r>
    </w:p>
    <w:p>
      <w:pPr>
        <w:spacing w:after="100" w:before="100"/>
      </w:pPr>
      <w:r>
        <w:rPr>
          <w:sz w:val="24"/>
          <w:szCs w:val="24"/>
        </w:rPr>
        <w:t xml:space="preserve">NDTI on Sentinel-2 is validated as the primary turbidity proxy for inland rivers and coastal waters, with strong cross-validation against in-situ SSC measurements (Sankaran et al. 2023). Large-area illegal mining detection from Sentinel-2 achieves &lt;8% error rates for artisanal surface mining (Gallwey et al. 2020). Google Earth Engine pipelines make time-series NDTI computation operational at regional scale. The key limitation — cloud cover in tropical regions where most contested extraction occurs — is not yet solved by the reviewed literature; SAR-optical fusion remains an open methodological challenge relevant to Gap 2.</w:t>
      </w:r>
    </w:p>
    <w:p>
      <w:pPr>
        <w:pStyle w:val="Heading3"/>
        <w:spacing w:after="100" w:before="200"/>
      </w:pPr>
      <w:r>
        <w:t xml:space="preserve">Key Papers</w:t>
      </w:r>
    </w:p>
    <w:p>
      <w:pPr>
        <w:spacing w:after="40" w:before="120"/>
      </w:pPr>
      <w:hyperlink w:history="1" r:id="rIdoueym4p84t3proeibtor1">
        <w:r>
          <w:rPr>
            <w:rStyle w:val="Hyperlink"/>
            <w:b/>
            <w:bCs/>
            <w:sz w:val="24"/>
            <w:szCs w:val="24"/>
          </w:rPr>
          <w:t xml:space="preserve">A Sentinel-2 based multispectral convolutional neural network for detecting artisanal small-scale mining in Ghana</w:t>
        </w:r>
      </w:hyperlink>
      <w:r>
        <w:rPr>
          <w:color w:val="555555"/>
          <w:sz w:val="22"/>
          <w:szCs w:val="22"/>
        </w:rPr>
        <w:t xml:space="preserve"> — Gallwey et al., 2020 · 72 citations · Remote Sensing of Environment [Anchor]</w:t>
      </w:r>
    </w:p>
    <w:p>
      <w:pPr>
        <w:spacing w:after="40" w:before="40"/>
        <w:ind w:left="360"/>
      </w:pPr>
      <w:r>
        <w:rPr>
          <w:sz w:val="22"/>
          <w:szCs w:val="22"/>
        </w:rPr>
        <w:t xml:space="preserve">Benchmark paper for Sentinel-2 mining detection. Demonstrates 4-year temporal ASM mapping across 6M hectares. The 2017 governance response (6,000 ha ASM reduction following clampdown) directly validates the causal detection approach of Step 5.</w:t>
      </w:r>
    </w:p>
    <w:p>
      <w:pPr>
        <w:spacing w:after="120" w:before="40"/>
        <w:ind w:left="360"/>
      </w:pPr>
      <w:r>
        <w:rPr>
          <w:b/>
          <w:bCs/>
          <w:sz w:val="22"/>
          <w:szCs w:val="22"/>
        </w:rPr>
        <w:t xml:space="preserve">Read for: </w:t>
      </w:r>
      <w:r>
        <w:rPr>
          <w:i/>
          <w:iCs/>
          <w:sz w:val="22"/>
          <w:szCs w:val="22"/>
        </w:rPr>
        <w:t xml:space="preserve">Temporal change detection methodology (Section 3.3) and governance-response correlation — your Step 5 methodological reference.</w:t>
      </w:r>
    </w:p>
    <w:p>
      <w:pPr>
        <w:spacing w:after="40" w:before="120"/>
      </w:pPr>
      <w:hyperlink w:history="1" r:id="rIdmae2qssmsofscmqd3gpz0">
        <w:r>
          <w:rPr>
            <w:rStyle w:val="Hyperlink"/>
            <w:b/>
            <w:bCs/>
            <w:sz w:val="24"/>
            <w:szCs w:val="24"/>
          </w:rPr>
          <w:t xml:space="preserve">Mining and Tailings Dam Detection in Satellite Imagery Using Deep Learning</w:t>
        </w:r>
      </w:hyperlink>
      <w:r>
        <w:rPr>
          <w:color w:val="555555"/>
          <w:sz w:val="22"/>
          <w:szCs w:val="22"/>
        </w:rPr>
        <w:t xml:space="preserve"> — Balaniuk et al., 2020 · 57 citations · Sensors [Anchor]</w:t>
      </w:r>
    </w:p>
    <w:p>
      <w:pPr>
        <w:spacing w:after="40" w:before="40"/>
        <w:ind w:left="360"/>
      </w:pPr>
      <w:r>
        <w:rPr>
          <w:sz w:val="22"/>
          <w:szCs w:val="22"/>
        </w:rPr>
        <w:t xml:space="preserve">Country-wide detection of 263 unregistered mines in Brazil with Sentinel-2 + FCNNs on GEE. Operationalizes the detection of legally invisible extraction — structurally identical to detecting extraction in de facto ungoverned disputed zones.</w:t>
      </w:r>
    </w:p>
    <w:p>
      <w:pPr>
        <w:spacing w:after="120" w:before="40"/>
        <w:ind w:left="360"/>
      </w:pPr>
      <w:r>
        <w:rPr>
          <w:b/>
          <w:bCs/>
          <w:sz w:val="22"/>
          <w:szCs w:val="22"/>
        </w:rPr>
        <w:t xml:space="preserve">Read for: </w:t>
      </w:r>
      <w:r>
        <w:rPr>
          <w:i/>
          <w:iCs/>
          <w:sz w:val="22"/>
          <w:szCs w:val="22"/>
        </w:rPr>
        <w:t xml:space="preserve">The unregistered mine detection pipeline (Section 3) — directly reusable GEE architecture for Step 2.</w:t>
      </w:r>
    </w:p>
    <w:p>
      <w:pPr>
        <w:spacing w:after="40" w:before="120"/>
      </w:pPr>
      <w:hyperlink w:history="1" r:id="rIdofyhybnxlewkwuzk8kxyo">
        <w:r>
          <w:rPr>
            <w:rStyle w:val="Hyperlink"/>
            <w:b/>
            <w:bCs/>
            <w:sz w:val="24"/>
            <w:szCs w:val="24"/>
          </w:rPr>
          <w:t xml:space="preserve">Retrieval of suspended sediment concentration in the Arabian Gulf by Sentinel-2</w:t>
        </w:r>
      </w:hyperlink>
      <w:r>
        <w:rPr>
          <w:color w:val="555555"/>
          <w:sz w:val="22"/>
          <w:szCs w:val="22"/>
        </w:rPr>
        <w:t xml:space="preserve"> — Sankaran et al., 2023 · 20 citations · Science of the Total Environment</w:t>
      </w:r>
    </w:p>
    <w:p>
      <w:pPr>
        <w:spacing w:after="40" w:before="40"/>
        <w:ind w:left="360"/>
      </w:pPr>
      <w:r>
        <w:rPr>
          <w:sz w:val="22"/>
          <w:szCs w:val="22"/>
        </w:rPr>
        <w:t xml:space="preserve">Cross-validates NDTI, NDSSI, and NSMI indices for SSC retrieval, finding NSMI–NDTI correlation R=0.95. Provides the multi-index validation framework for your Step 2 observational layer.</w:t>
      </w:r>
    </w:p>
    <w:p>
      <w:pPr>
        <w:spacing w:after="120" w:before="40"/>
        <w:ind w:left="360"/>
      </w:pPr>
      <w:r>
        <w:rPr>
          <w:b/>
          <w:bCs/>
          <w:sz w:val="22"/>
          <w:szCs w:val="22"/>
        </w:rPr>
        <w:t xml:space="preserve">Read for: </w:t>
      </w:r>
      <w:r>
        <w:rPr>
          <w:i/>
          <w:iCs/>
          <w:sz w:val="22"/>
          <w:szCs w:val="22"/>
        </w:rPr>
        <w:t xml:space="preserve">Table of index correlations with in-situ SSC (Section 4.2) — informs index selection and cross-validation design for Step 2.</w:t>
      </w:r>
    </w:p>
    <w:p>
      <w:pPr>
        <w:spacing w:after="40" w:before="120"/>
      </w:pPr>
      <w:hyperlink w:history="1" r:id="rIdvtuxbhcuo86w5cus_n0fv">
        <w:r>
          <w:rPr>
            <w:rStyle w:val="Hyperlink"/>
            <w:b/>
            <w:bCs/>
            <w:sz w:val="24"/>
            <w:szCs w:val="24"/>
          </w:rPr>
          <w:t xml:space="preserve">Automated detection of illegal nonmetallic minerals mining places according to Sentinel-2 data</w:t>
        </w:r>
      </w:hyperlink>
      <w:r>
        <w:rPr>
          <w:color w:val="555555"/>
          <w:sz w:val="22"/>
          <w:szCs w:val="22"/>
        </w:rPr>
        <w:t xml:space="preserve"> — Usmanov et al., 2021 · 3 citations</w:t>
      </w:r>
    </w:p>
    <w:p>
      <w:pPr>
        <w:spacing w:after="40" w:before="40"/>
        <w:ind w:left="360"/>
      </w:pPr>
      <w:r>
        <w:rPr>
          <w:sz w:val="22"/>
          <w:szCs w:val="22"/>
        </w:rPr>
        <w:t xml:space="preserve">Develops spectral index probability maps with Mahalanobis distance classification for four mineral types using Sentinel-2. Methodologically distinct from CNN approaches — useful comparison for robustness checks.</w:t>
      </w:r>
    </w:p>
    <w:p>
      <w:pPr>
        <w:spacing w:after="120" w:before="40"/>
        <w:ind w:left="360"/>
      </w:pPr>
      <w:r>
        <w:rPr>
          <w:b/>
          <w:bCs/>
          <w:sz w:val="22"/>
          <w:szCs w:val="22"/>
        </w:rPr>
        <w:t xml:space="preserve">Read for: </w:t>
      </w:r>
      <w:r>
        <w:rPr>
          <w:i/>
          <w:iCs/>
          <w:sz w:val="22"/>
          <w:szCs w:val="22"/>
        </w:rPr>
        <w:t xml:space="preserve">The spectral index selection per mineral type (Section 3) — important for contested basins where the mineral being extracted affects the spectral signature.</w:t>
      </w:r>
    </w:p>
    <w:p>
      <w:pPr>
        <w:pStyle w:val="Heading3"/>
        <w:spacing w:after="100" w:before="200"/>
      </w:pPr>
      <w:r>
        <w:t xml:space="preserve">Key Search Terms</w:t>
      </w:r>
    </w:p>
    <w:p>
      <w:pPr>
        <w:pStyle w:val="ListParagraph"/>
        <w:numPr>
          <w:ilvl w:val="0"/>
          <w:numId w:val="2"/>
        </w:numPr>
        <w:spacing w:after="60" w:before="60"/>
      </w:pPr>
      <w:r>
        <w:rPr>
          <w:sz w:val="24"/>
          <w:szCs w:val="24"/>
        </w:rPr>
        <w:t xml:space="preserve">NDTI Normalized Difference Turbidity Index Sentinel-2 river inland water</w:t>
      </w:r>
    </w:p>
    <w:p>
      <w:pPr>
        <w:pStyle w:val="ListParagraph"/>
        <w:numPr>
          <w:ilvl w:val="0"/>
          <w:numId w:val="2"/>
        </w:numPr>
        <w:spacing w:after="60" w:before="60"/>
      </w:pPr>
      <w:r>
        <w:rPr>
          <w:sz w:val="24"/>
          <w:szCs w:val="24"/>
        </w:rPr>
        <w:t xml:space="preserve">suspended sediment concentration satellite retrieval tropical mining</w:t>
      </w:r>
    </w:p>
    <w:p>
      <w:pPr>
        <w:pStyle w:val="ListParagraph"/>
        <w:numPr>
          <w:ilvl w:val="0"/>
          <w:numId w:val="2"/>
        </w:numPr>
        <w:spacing w:after="60" w:before="60"/>
      </w:pPr>
      <w:r>
        <w:rPr>
          <w:sz w:val="24"/>
          <w:szCs w:val="24"/>
        </w:rPr>
        <w:t xml:space="preserve">artisanal small-scale mining ASM detection Sentinel-2 CNN</w:t>
      </w:r>
    </w:p>
    <w:p>
      <w:pPr>
        <w:pStyle w:val="ListParagraph"/>
        <w:numPr>
          <w:ilvl w:val="0"/>
          <w:numId w:val="2"/>
        </w:numPr>
        <w:spacing w:after="60" w:before="60"/>
      </w:pPr>
      <w:r>
        <w:rPr>
          <w:sz w:val="24"/>
          <w:szCs w:val="24"/>
        </w:rPr>
        <w:t xml:space="preserve">Google Earth Engine time series turbidity water quality</w:t>
      </w:r>
    </w:p>
    <w:p>
      <w:pPr>
        <w:pStyle w:val="ListParagraph"/>
        <w:numPr>
          <w:ilvl w:val="0"/>
          <w:numId w:val="2"/>
        </w:numPr>
        <w:spacing w:after="60" w:before="60"/>
      </w:pPr>
      <w:r>
        <w:rPr>
          <w:sz w:val="24"/>
          <w:szCs w:val="24"/>
        </w:rPr>
        <w:t xml:space="preserve">SAR Sentinel-1 cloud-penetrating turbidity tropical river</w:t>
      </w:r>
    </w:p>
    <w:p>
      <w:pPr>
        <w:pStyle w:val="Heading3"/>
        <w:spacing w:after="100" w:before="200"/>
      </w:pPr>
      <w:r>
        <w:t xml:space="preserve">Boolean Search Strings</w:t>
      </w:r>
    </w:p>
    <w:p>
      <w:pPr>
        <w:pStyle w:val="ListParagraph"/>
        <w:numPr>
          <w:ilvl w:val="0"/>
          <w:numId w:val="2"/>
        </w:numPr>
        <w:spacing w:after="60" w:before="60"/>
      </w:pPr>
      <w:r>
        <w:rPr>
          <w:sz w:val="24"/>
          <w:szCs w:val="24"/>
        </w:rPr>
        <w:t xml:space="preserve">("NDTI" OR "turbidity index" OR "suspended sediment") AND ("Sentinel-2") AND ("mining" OR "extraction" OR "illegal")</w:t>
      </w:r>
    </w:p>
    <w:p>
      <w:pPr>
        <w:pStyle w:val="ListParagraph"/>
        <w:numPr>
          <w:ilvl w:val="0"/>
          <w:numId w:val="2"/>
        </w:numPr>
        <w:spacing w:after="60" w:before="60"/>
      </w:pPr>
      <w:r>
        <w:rPr>
          <w:sz w:val="24"/>
          <w:szCs w:val="24"/>
        </w:rPr>
        <w:t xml:space="preserve">("artisanal" OR "small-scale mining" OR "ASM") AND ("satellite" OR "remote sensing") AND ("detection" OR "mapping" OR "monitoring")</w:t>
      </w:r>
    </w:p>
    <w:p>
      <w:pPr>
        <w:pStyle w:val="ListParagraph"/>
        <w:numPr>
          <w:ilvl w:val="0"/>
          <w:numId w:val="2"/>
        </w:numPr>
        <w:spacing w:after="60" w:before="60"/>
      </w:pPr>
      <w:r>
        <w:rPr>
          <w:sz w:val="24"/>
          <w:szCs w:val="24"/>
        </w:rPr>
        <w:t xml:space="preserve">("water turbidity" OR "SSC") AND ("Google Earth Engine" OR "GEE") AND ("time series" OR "temporal")</w:t>
      </w:r>
    </w:p>
    <w:p>
      <w:pPr>
        <w:pStyle w:val="Heading2"/>
        <w:spacing w:after="150" w:before="300"/>
      </w:pPr>
      <w:r>
        <w:t xml:space="preserve">4.3 Steps 3–4 — Physics-ML Residual Prediction</w:t>
      </w:r>
    </w:p>
    <w:p>
      <w:pPr>
        <w:pStyle w:val="Heading3"/>
        <w:spacing w:after="100" w:before="200"/>
      </w:pPr>
      <w:r>
        <w:t xml:space="preserve">What the Research Shows</w:t>
      </w:r>
    </w:p>
    <w:p>
      <w:pPr>
        <w:spacing w:after="100" w:before="100"/>
      </w:pPr>
      <w:r>
        <w:rPr>
          <w:sz w:val="24"/>
          <w:szCs w:val="24"/>
        </w:rPr>
        <w:t xml:space="preserve">Physics-guided ML residual correction (delta learning) is a validated architecture in hydrology, groundwater, and streamflow forecasting. Willard et al. (2020, 490 citations) provide the canonical taxonomy. The specific architecture most relevant to your pipeline — using LSTM to correct physics-model residuals with additional covariates — is validated by Shuai et al. (2024) for groundwater and Lu et al. (2021) for streamflow. Physics-encoded deep learning in the Amazon basin (Wang et al. 2024) demonstrates 41% NSE improvement over the physics-only model. The critical gap in all existing work: ML covariates are exclusively environmental (precipitation, slope, land cover) — never geopolitical. Adding dispute status, governance indices, and conflict events as covariates in Step 4 is methodologically straightforward but conceptually novel.</w:t>
      </w:r>
    </w:p>
    <w:p>
      <w:pPr>
        <w:pStyle w:val="Heading3"/>
        <w:spacing w:after="100" w:before="200"/>
      </w:pPr>
      <w:r>
        <w:t xml:space="preserve">Key Papers</w:t>
      </w:r>
    </w:p>
    <w:p>
      <w:pPr>
        <w:spacing w:after="40" w:before="120"/>
      </w:pPr>
      <w:hyperlink w:history="1" r:id="rIdoknp60uqmt23ahymbrz2j">
        <w:r>
          <w:rPr>
            <w:rStyle w:val="Hyperlink"/>
            <w:b/>
            <w:bCs/>
            <w:sz w:val="24"/>
            <w:szCs w:val="24"/>
          </w:rPr>
          <w:t xml:space="preserve">Integrating Scientific Knowledge with Machine Learning for Engineering and Environmental Systems</w:t>
        </w:r>
      </w:hyperlink>
      <w:r>
        <w:rPr>
          <w:color w:val="555555"/>
          <w:sz w:val="22"/>
          <w:szCs w:val="22"/>
        </w:rPr>
        <w:t xml:space="preserve"> — Willard et al., 2020 · 490 citations · ACM Computing Surveys</w:t>
      </w:r>
    </w:p>
    <w:p>
      <w:pPr>
        <w:spacing w:after="40" w:before="40"/>
        <w:ind w:left="360"/>
      </w:pPr>
      <w:r>
        <w:rPr>
          <w:sz w:val="22"/>
          <w:szCs w:val="22"/>
        </w:rPr>
        <w:t xml:space="preserve">Definitive survey of physics-guided ML (PGML). The taxonomy of residual/delta learning, hybrid architectures, and knowledge-guided ML (KGML) defines the design space for Steps 3–4. Most-cited paper in this entire review.</w:t>
      </w:r>
    </w:p>
    <w:p>
      <w:pPr>
        <w:spacing w:after="120" w:before="40"/>
        <w:ind w:left="360"/>
      </w:pPr>
      <w:r>
        <w:rPr>
          <w:b/>
          <w:bCs/>
          <w:sz w:val="22"/>
          <w:szCs w:val="22"/>
        </w:rPr>
        <w:t xml:space="preserve">Read for: </w:t>
      </w:r>
      <w:r>
        <w:rPr>
          <w:i/>
          <w:iCs/>
          <w:sz w:val="22"/>
          <w:szCs w:val="22"/>
        </w:rPr>
        <w:t xml:space="preserve">Section 3.2 (residual/delta learning) and Section 5.1 (hydrology applications) — use this taxonomy to position Steps 3–4 in the PGML landscape.</w:t>
      </w:r>
    </w:p>
    <w:p>
      <w:pPr>
        <w:spacing w:after="40" w:before="120"/>
      </w:pPr>
      <w:hyperlink w:history="1" r:id="rIdswg98pmrgltqqvimkky4u">
        <w:r>
          <w:rPr>
            <w:rStyle w:val="Hyperlink"/>
            <w:b/>
            <w:bCs/>
            <w:sz w:val="24"/>
            <w:szCs w:val="24"/>
          </w:rPr>
          <w:t xml:space="preserve">Differentiable modelling to unify machine learning and physical models for geosciences</w:t>
        </w:r>
      </w:hyperlink>
      <w:r>
        <w:rPr>
          <w:color w:val="555555"/>
          <w:sz w:val="22"/>
          <w:szCs w:val="22"/>
        </w:rPr>
        <w:t xml:space="preserve"> — Shen et al., 2023 · 218 citations · Nature Reviews Earth &amp; Environment</w:t>
      </w:r>
    </w:p>
    <w:p>
      <w:pPr>
        <w:spacing w:after="40" w:before="40"/>
        <w:ind w:left="360"/>
      </w:pPr>
      <w:r>
        <w:rPr>
          <w:sz w:val="22"/>
          <w:szCs w:val="22"/>
        </w:rPr>
        <w:t xml:space="preserve">Nature Reviews perspective arguing differentiable modelling is the frontier of physics-ML integration for geosciences. Demonstrates better generalizability and extrapolation than pure ML under data-scarce scenarios by imposing physical constraints — directly relevant to the contested basin setting.</w:t>
      </w:r>
    </w:p>
    <w:p>
      <w:pPr>
        <w:spacing w:after="120" w:before="40"/>
        <w:ind w:left="360"/>
      </w:pPr>
      <w:r>
        <w:rPr>
          <w:b/>
          <w:bCs/>
          <w:sz w:val="22"/>
          <w:szCs w:val="22"/>
        </w:rPr>
        <w:t xml:space="preserve">Read for: </w:t>
      </w:r>
      <w:r>
        <w:rPr>
          <w:i/>
          <w:iCs/>
          <w:sz w:val="22"/>
          <w:szCs w:val="22"/>
        </w:rPr>
        <w:t xml:space="preserve">The data-scarce performance argument (Section 3.3) and the framework comparison table. This is the high-prestige citation for your methodology section.</w:t>
      </w:r>
    </w:p>
    <w:p>
      <w:pPr>
        <w:spacing w:after="40" w:before="120"/>
      </w:pPr>
      <w:hyperlink w:history="1" r:id="rIdxjmramwjkzw37cjo672pq">
        <w:r>
          <w:rPr>
            <w:rStyle w:val="Hyperlink"/>
            <w:b/>
            <w:bCs/>
            <w:sz w:val="24"/>
            <w:szCs w:val="24"/>
          </w:rPr>
          <w:t xml:space="preserve">Comparison of Multiple Machine Learning Methods for Correcting Groundwater Levels Predicted by Physics-Based Models</w:t>
        </w:r>
      </w:hyperlink>
      <w:r>
        <w:rPr>
          <w:color w:val="555555"/>
          <w:sz w:val="22"/>
          <w:szCs w:val="22"/>
        </w:rPr>
        <w:t xml:space="preserve"> — Shuai et al., 2024 · 6 citations · Sustainability</w:t>
      </w:r>
    </w:p>
    <w:p>
      <w:pPr>
        <w:spacing w:after="40" w:before="40"/>
        <w:ind w:left="360"/>
      </w:pPr>
      <w:r>
        <w:rPr>
          <w:sz w:val="22"/>
          <w:szCs w:val="22"/>
        </w:rPr>
        <w:t xml:space="preserve">The most structurally similar existing study to your Steps 3–4: directly compares XGBoost and LSTM for correcting physics-model (MODFLOW) residuals, finding LSTM2 (with auxiliary source-sink covariates) outperforms both XGBoost and the base MODFLOW model. Validates the exact architecture you propose.</w:t>
      </w:r>
    </w:p>
    <w:p>
      <w:pPr>
        <w:spacing w:after="120" w:before="40"/>
        <w:ind w:left="360"/>
      </w:pPr>
      <w:r>
        <w:rPr>
          <w:b/>
          <w:bCs/>
          <w:sz w:val="22"/>
          <w:szCs w:val="22"/>
        </w:rPr>
        <w:t xml:space="preserve">Read for: </w:t>
      </w:r>
      <w:r>
        <w:rPr>
          <w:i/>
          <w:iCs/>
          <w:sz w:val="22"/>
          <w:szCs w:val="22"/>
        </w:rPr>
        <w:t xml:space="preserve">The LSTM2 covariate specification (Section 3.2) and the comparative performance table (Table 4) — your methodological precedent for adding geopolitical covariates.</w:t>
      </w:r>
    </w:p>
    <w:p>
      <w:pPr>
        <w:spacing w:after="40" w:before="120"/>
      </w:pPr>
      <w:hyperlink w:history="1" r:id="rIdsmsh-bcxtyqp92ka_jpfg">
        <w:r>
          <w:rPr>
            <w:rStyle w:val="Hyperlink"/>
            <w:b/>
            <w:bCs/>
            <w:sz w:val="24"/>
            <w:szCs w:val="24"/>
          </w:rPr>
          <w:t xml:space="preserve">Distributed Hydrological Modeling With Physics-Encoded Deep Learning in the Amazon</w:t>
        </w:r>
      </w:hyperlink>
      <w:r>
        <w:rPr>
          <w:color w:val="555555"/>
          <w:sz w:val="22"/>
          <w:szCs w:val="22"/>
        </w:rPr>
        <w:t xml:space="preserve"> — Wang et al., 2024 · 44 citations · Water Resources Research</w:t>
      </w:r>
    </w:p>
    <w:p>
      <w:pPr>
        <w:spacing w:after="40" w:before="40"/>
        <w:ind w:left="360"/>
      </w:pPr>
      <w:r>
        <w:rPr>
          <w:sz w:val="22"/>
          <w:szCs w:val="22"/>
        </w:rPr>
        <w:t xml:space="preserve">Physics-encoded DL model of the entire Amazon basin (6×10⁶ km²) using neural networks as replacement modules for poorly-understood physical processes. Achieves NSE 0.83 for streamflow — 41% above the physics-only benchmark. The Amazon context directly overlaps with the most active disputed mining territories in your study.</w:t>
      </w:r>
    </w:p>
    <w:p>
      <w:pPr>
        <w:spacing w:after="120" w:before="40"/>
        <w:ind w:left="360"/>
      </w:pPr>
      <w:r>
        <w:rPr>
          <w:b/>
          <w:bCs/>
          <w:sz w:val="22"/>
          <w:szCs w:val="22"/>
        </w:rPr>
        <w:t xml:space="preserve">Read for: </w:t>
      </w:r>
      <w:r>
        <w:rPr>
          <w:i/>
          <w:iCs/>
          <w:sz w:val="22"/>
          <w:szCs w:val="22"/>
        </w:rPr>
        <w:t xml:space="preserve">The replacement NN architecture (Section 2.2) and the Amazon basin validation — a methodological template for applying your framework at the basin scale.</w:t>
      </w:r>
    </w:p>
    <w:p>
      <w:pPr>
        <w:pStyle w:val="Heading3"/>
        <w:spacing w:after="100" w:before="200"/>
      </w:pPr>
      <w:r>
        <w:t xml:space="preserve">Key Search Terms</w:t>
      </w:r>
    </w:p>
    <w:p>
      <w:pPr>
        <w:pStyle w:val="ListParagraph"/>
        <w:numPr>
          <w:ilvl w:val="0"/>
          <w:numId w:val="2"/>
        </w:numPr>
        <w:spacing w:after="60" w:before="60"/>
      </w:pPr>
      <w:r>
        <w:rPr>
          <w:sz w:val="24"/>
          <w:szCs w:val="24"/>
        </w:rPr>
        <w:t xml:space="preserve">physics-guided machine learning residual correction delta learning hydrology</w:t>
      </w:r>
    </w:p>
    <w:p>
      <w:pPr>
        <w:pStyle w:val="ListParagraph"/>
        <w:numPr>
          <w:ilvl w:val="0"/>
          <w:numId w:val="2"/>
        </w:numPr>
        <w:spacing w:after="60" w:before="60"/>
      </w:pPr>
      <w:r>
        <w:rPr>
          <w:sz w:val="24"/>
          <w:szCs w:val="24"/>
        </w:rPr>
        <w:t xml:space="preserve">XGBoost LSTM groundwater streamflow physics model error correction</w:t>
      </w:r>
    </w:p>
    <w:p>
      <w:pPr>
        <w:pStyle w:val="ListParagraph"/>
        <w:numPr>
          <w:ilvl w:val="0"/>
          <w:numId w:val="2"/>
        </w:numPr>
        <w:spacing w:after="60" w:before="60"/>
      </w:pPr>
      <w:r>
        <w:rPr>
          <w:sz w:val="24"/>
          <w:szCs w:val="24"/>
        </w:rPr>
        <w:t xml:space="preserve">hybrid physics data-driven model geospatial covariate prediction</w:t>
      </w:r>
    </w:p>
    <w:p>
      <w:pPr>
        <w:pStyle w:val="ListParagraph"/>
        <w:numPr>
          <w:ilvl w:val="0"/>
          <w:numId w:val="2"/>
        </w:numPr>
        <w:spacing w:after="60" w:before="60"/>
      </w:pPr>
      <w:r>
        <w:rPr>
          <w:sz w:val="24"/>
          <w:szCs w:val="24"/>
        </w:rPr>
        <w:t xml:space="preserve">differentiable modelling geosciences neural network physical constraints</w:t>
      </w:r>
    </w:p>
    <w:p>
      <w:pPr>
        <w:pStyle w:val="ListParagraph"/>
        <w:numPr>
          <w:ilvl w:val="0"/>
          <w:numId w:val="2"/>
        </w:numPr>
        <w:spacing w:after="60" w:before="60"/>
      </w:pPr>
      <w:r>
        <w:rPr>
          <w:sz w:val="24"/>
          <w:szCs w:val="24"/>
        </w:rPr>
        <w:t xml:space="preserve">spatiotemporal LSTM environmental anomaly detection covariates</w:t>
      </w:r>
    </w:p>
    <w:p>
      <w:pPr>
        <w:pStyle w:val="Heading3"/>
        <w:spacing w:after="100" w:before="200"/>
      </w:pPr>
      <w:r>
        <w:t xml:space="preserve">Boolean Search Strings</w:t>
      </w:r>
    </w:p>
    <w:p>
      <w:pPr>
        <w:pStyle w:val="ListParagraph"/>
        <w:numPr>
          <w:ilvl w:val="0"/>
          <w:numId w:val="2"/>
        </w:numPr>
        <w:spacing w:after="60" w:before="60"/>
      </w:pPr>
      <w:r>
        <w:rPr>
          <w:sz w:val="24"/>
          <w:szCs w:val="24"/>
        </w:rPr>
        <w:t xml:space="preserve">("delta learning" OR "residual correction" OR "physics-guided") AND ("LSTM" OR "XGBoost") AND ("hydrology" OR "water" OR "sediment")</w:t>
      </w:r>
    </w:p>
    <w:p>
      <w:pPr>
        <w:pStyle w:val="ListParagraph"/>
        <w:numPr>
          <w:ilvl w:val="0"/>
          <w:numId w:val="2"/>
        </w:numPr>
        <w:spacing w:after="60" w:before="60"/>
      </w:pPr>
      <w:r>
        <w:rPr>
          <w:sz w:val="24"/>
          <w:szCs w:val="24"/>
        </w:rPr>
        <w:t xml:space="preserve">("physics-informed" OR "physics-encoded") AND ("machine learning" OR "deep learning") AND ("Amazon" OR "tropical" OR "basin")</w:t>
      </w:r>
    </w:p>
    <w:p>
      <w:pPr>
        <w:pStyle w:val="ListParagraph"/>
        <w:numPr>
          <w:ilvl w:val="0"/>
          <w:numId w:val="2"/>
        </w:numPr>
        <w:spacing w:after="60" w:before="60"/>
      </w:pPr>
      <w:r>
        <w:rPr>
          <w:sz w:val="24"/>
          <w:szCs w:val="24"/>
        </w:rPr>
        <w:t xml:space="preserve">("hybrid model" OR "physics-ML") AND ("covariate" OR "feature") AND ("geopolitical" OR "governance" OR "conflict")</w:t>
      </w:r>
    </w:p>
    <w:p>
      <w:pPr>
        <w:pStyle w:val="Heading2"/>
        <w:spacing w:after="150" w:before="300"/>
      </w:pPr>
      <w:r>
        <w:t xml:space="preserve">4.4 Step 4 Covariates — Geopolitics, Conflict, and Resource Extraction</w:t>
      </w:r>
    </w:p>
    <w:p>
      <w:pPr>
        <w:pStyle w:val="Heading3"/>
        <w:spacing w:after="100" w:before="200"/>
      </w:pPr>
      <w:r>
        <w:t xml:space="preserve">What the Research Shows</w:t>
      </w:r>
    </w:p>
    <w:p>
      <w:pPr>
        <w:spacing w:after="100" w:before="100"/>
      </w:pPr>
      <w:r>
        <w:rPr>
          <w:sz w:val="24"/>
          <w:szCs w:val="24"/>
        </w:rPr>
        <w:t xml:space="preserve">The political economy literature provides strong empirical evidence that conflict and governance mediate extraction intensity. Prem et al. (2020, 104 citations) demonstrated causally — using DiD and satellite data — that peace in formerly FARC-controlled Colombian areas caused deforestation surges where state capacity was weak. Bebbington et al. (2011, 235 citations) showed that extractive expansion is convergent across regime types, driven by resource curse dynamics. Lambin &amp; Meyfroidt (2011) established the displacement logic that makes disputed zones systematically higher-pressure. The consistent finding: weak governance and contested sovereignty predict higher extraction regardless of formal legal status. No existing paper, however, uses these geopolitical variables as ML covariates in a physics-residual prediction model.</w:t>
      </w:r>
    </w:p>
    <w:p>
      <w:pPr>
        <w:pStyle w:val="Heading3"/>
        <w:spacing w:after="100" w:before="200"/>
      </w:pPr>
      <w:r>
        <w:t xml:space="preserve">Key Papers</w:t>
      </w:r>
    </w:p>
    <w:p>
      <w:pPr>
        <w:spacing w:after="40" w:before="120"/>
      </w:pPr>
      <w:hyperlink w:history="1" r:id="rIdrcsgr9njrvillw7suxyvq">
        <w:r>
          <w:rPr>
            <w:rStyle w:val="Hyperlink"/>
            <w:b/>
            <w:bCs/>
            <w:sz w:val="24"/>
            <w:szCs w:val="24"/>
          </w:rPr>
          <w:t xml:space="preserve">End-of-conflict deforestation: Evidence from Colombia's peace agreement</w:t>
        </w:r>
      </w:hyperlink>
      <w:r>
        <w:rPr>
          <w:color w:val="555555"/>
          <w:sz w:val="22"/>
          <w:szCs w:val="22"/>
        </w:rPr>
        <w:t xml:space="preserve"> — Prem et al., 2020 · 104 citations · World Development</w:t>
      </w:r>
    </w:p>
    <w:p>
      <w:pPr>
        <w:spacing w:after="40" w:before="40"/>
        <w:ind w:left="360"/>
      </w:pPr>
      <w:r>
        <w:rPr>
          <w:sz w:val="22"/>
          <w:szCs w:val="22"/>
        </w:rPr>
        <w:t xml:space="preserve">The methodological template for Steps 4–5. Uses DiD with yearly satellite deforestation data to show FARC-controlled areas experienced differential deforestation after ceasefire — attenuated by state presence. Directly demonstrates that governance change is a detectable driver of satellite-measured land disturbance.</w:t>
      </w:r>
    </w:p>
    <w:p>
      <w:pPr>
        <w:spacing w:after="120" w:before="40"/>
        <w:ind w:left="360"/>
      </w:pPr>
      <w:r>
        <w:rPr>
          <w:b/>
          <w:bCs/>
          <w:sz w:val="22"/>
          <w:szCs w:val="22"/>
        </w:rPr>
        <w:t xml:space="preserve">Read for: </w:t>
      </w:r>
      <w:r>
        <w:rPr>
          <w:i/>
          <w:iCs/>
          <w:sz w:val="22"/>
          <w:szCs w:val="22"/>
        </w:rPr>
        <w:t xml:space="preserve">The DiD identification strategy (Section 3) and the state-presence moderation result (Table 3). This is your Step 5 methodological model.</w:t>
      </w:r>
    </w:p>
    <w:p>
      <w:pPr>
        <w:spacing w:after="40" w:before="120"/>
      </w:pPr>
      <w:hyperlink w:history="1" r:id="rIdxlhn9s1jmmhr1rj4p4m-r">
        <w:r>
          <w:rPr>
            <w:rStyle w:val="Hyperlink"/>
            <w:b/>
            <w:bCs/>
            <w:sz w:val="24"/>
            <w:szCs w:val="24"/>
          </w:rPr>
          <w:t xml:space="preserve">An Andean Avatar: Post-Neoliberal and Neoliberal Strategies for Securing the Unobtainable</w:t>
        </w:r>
      </w:hyperlink>
      <w:r>
        <w:rPr>
          <w:color w:val="555555"/>
          <w:sz w:val="22"/>
          <w:szCs w:val="22"/>
        </w:rPr>
        <w:t xml:space="preserve"> — Bebbington et al., 2011 · 235 citations · New Political Economy</w:t>
      </w:r>
    </w:p>
    <w:p>
      <w:pPr>
        <w:spacing w:after="40" w:before="40"/>
        <w:ind w:left="360"/>
      </w:pPr>
      <w:r>
        <w:rPr>
          <w:sz w:val="22"/>
          <w:szCs w:val="22"/>
        </w:rPr>
        <w:t xml:space="preserve">Documents convergent extractive expansion across nominally different governance regimes in Bolivia, Ecuador, and Peru — driven by resource curse dynamics, financing needs, and power asymmetries. The 'Avatar' thesis: resource extraction in frontier/contested zones is structurally driven regardless of stated governance ideology.</w:t>
      </w:r>
    </w:p>
    <w:p>
      <w:pPr>
        <w:spacing w:after="120" w:before="40"/>
        <w:ind w:left="360"/>
      </w:pPr>
      <w:r>
        <w:rPr>
          <w:b/>
          <w:bCs/>
          <w:sz w:val="22"/>
          <w:szCs w:val="22"/>
        </w:rPr>
        <w:t xml:space="preserve">Read for: </w:t>
      </w:r>
      <w:r>
        <w:rPr>
          <w:i/>
          <w:iCs/>
          <w:sz w:val="22"/>
          <w:szCs w:val="22"/>
        </w:rPr>
        <w:t xml:space="preserve">The convergence argument (Section 4) and the conflict typology — this is the theoretical justification for expecting higher extraction in disputed zones regardless of formal sovereignty status.</w:t>
      </w:r>
    </w:p>
    <w:p>
      <w:pPr>
        <w:spacing w:after="40" w:before="120"/>
      </w:pPr>
      <w:hyperlink w:history="1" r:id="rIdcplkmcbc2pqkqnmxgmujx">
        <w:r>
          <w:rPr>
            <w:rStyle w:val="Hyperlink"/>
            <w:b/>
            <w:bCs/>
            <w:sz w:val="24"/>
            <w:szCs w:val="24"/>
          </w:rPr>
          <w:t xml:space="preserve">Trade-offs between environment and livelihoods: Bridging the global land use and food security discussions</w:t>
        </w:r>
      </w:hyperlink>
      <w:r>
        <w:rPr>
          <w:color w:val="555555"/>
          <w:sz w:val="22"/>
          <w:szCs w:val="22"/>
        </w:rPr>
        <w:t xml:space="preserve"> — Meyfroidt, 2017 · 126 citations · AARN [Anchor]</w:t>
      </w:r>
    </w:p>
    <w:p>
      <w:pPr>
        <w:spacing w:after="40" w:before="40"/>
        <w:ind w:left="360"/>
      </w:pPr>
      <w:r>
        <w:rPr>
          <w:sz w:val="22"/>
          <w:szCs w:val="22"/>
        </w:rPr>
        <w:t xml:space="preserve">Establishes the research gap around consumption-driven land use expansion and the supply chain-food security-environment nexus. Relevant as a covariate specification guide: the variables that predict land conversion (GDP per capita, commodity prices, land tenure) are the same variables needed for Step 4.</w:t>
      </w:r>
    </w:p>
    <w:p>
      <w:pPr>
        <w:spacing w:after="120" w:before="40"/>
        <w:ind w:left="360"/>
      </w:pPr>
      <w:r>
        <w:rPr>
          <w:b/>
          <w:bCs/>
          <w:sz w:val="22"/>
          <w:szCs w:val="22"/>
        </w:rPr>
        <w:t xml:space="preserve">Read for: </w:t>
      </w:r>
      <w:r>
        <w:rPr>
          <w:i/>
          <w:iCs/>
          <w:sz w:val="22"/>
          <w:szCs w:val="22"/>
        </w:rPr>
        <w:t xml:space="preserve">The covariate structure (Section 3) and the deforestation pressure mechanisms — informing which economic variables to include alongside geopolitical covariates in Step 4.</w:t>
      </w:r>
    </w:p>
    <w:p>
      <w:pPr>
        <w:pStyle w:val="Heading3"/>
        <w:spacing w:after="100" w:before="200"/>
      </w:pPr>
      <w:r>
        <w:t xml:space="preserve">Key Search Terms</w:t>
      </w:r>
    </w:p>
    <w:p>
      <w:pPr>
        <w:pStyle w:val="ListParagraph"/>
        <w:numPr>
          <w:ilvl w:val="0"/>
          <w:numId w:val="2"/>
        </w:numPr>
        <w:spacing w:after="60" w:before="60"/>
      </w:pPr>
      <w:r>
        <w:rPr>
          <w:sz w:val="24"/>
          <w:szCs w:val="24"/>
        </w:rPr>
        <w:t xml:space="preserve">conflict governance deforestation satellite causal identification</w:t>
      </w:r>
    </w:p>
    <w:p>
      <w:pPr>
        <w:pStyle w:val="ListParagraph"/>
        <w:numPr>
          <w:ilvl w:val="0"/>
          <w:numId w:val="2"/>
        </w:numPr>
        <w:spacing w:after="60" w:before="60"/>
      </w:pPr>
      <w:r>
        <w:rPr>
          <w:sz w:val="24"/>
          <w:szCs w:val="24"/>
        </w:rPr>
        <w:t xml:space="preserve">resource curse extractive industry weak governance disputed zone</w:t>
      </w:r>
    </w:p>
    <w:p>
      <w:pPr>
        <w:pStyle w:val="ListParagraph"/>
        <w:numPr>
          <w:ilvl w:val="0"/>
          <w:numId w:val="2"/>
        </w:numPr>
        <w:spacing w:after="60" w:before="60"/>
      </w:pPr>
      <w:r>
        <w:rPr>
          <w:sz w:val="24"/>
          <w:szCs w:val="24"/>
        </w:rPr>
        <w:t xml:space="preserve">ACLED conflict events land use change panel data</w:t>
      </w:r>
    </w:p>
    <w:p>
      <w:pPr>
        <w:pStyle w:val="ListParagraph"/>
        <w:numPr>
          <w:ilvl w:val="0"/>
          <w:numId w:val="2"/>
        </w:numPr>
        <w:spacing w:after="60" w:before="60"/>
      </w:pPr>
      <w:r>
        <w:rPr>
          <w:sz w:val="24"/>
          <w:szCs w:val="24"/>
        </w:rPr>
        <w:t xml:space="preserve">MID militarized dispute ICOW territorial claim extraction</w:t>
      </w:r>
    </w:p>
    <w:p>
      <w:pPr>
        <w:pStyle w:val="ListParagraph"/>
        <w:numPr>
          <w:ilvl w:val="0"/>
          <w:numId w:val="2"/>
        </w:numPr>
        <w:spacing w:after="60" w:before="60"/>
      </w:pPr>
      <w:r>
        <w:rPr>
          <w:sz w:val="24"/>
          <w:szCs w:val="24"/>
        </w:rPr>
        <w:t xml:space="preserve">sovereignty impunity enforcement extraction satellite monitoring</w:t>
      </w:r>
    </w:p>
    <w:p>
      <w:pPr>
        <w:pStyle w:val="Heading3"/>
        <w:spacing w:after="100" w:before="200"/>
      </w:pPr>
      <w:r>
        <w:t xml:space="preserve">Boolean Search Strings</w:t>
      </w:r>
    </w:p>
    <w:p>
      <w:pPr>
        <w:pStyle w:val="ListParagraph"/>
        <w:numPr>
          <w:ilvl w:val="0"/>
          <w:numId w:val="2"/>
        </w:numPr>
        <w:spacing w:after="60" w:before="60"/>
      </w:pPr>
      <w:r>
        <w:rPr>
          <w:sz w:val="24"/>
          <w:szCs w:val="24"/>
        </w:rPr>
        <w:t xml:space="preserve">("conflict" OR "governance" OR "disputed") AND ("extraction" OR "mining" OR "deforestation") AND ("satellite" OR "remote sensing") AND ("causal" OR "panel" OR "DiD")</w:t>
      </w:r>
    </w:p>
    <w:p>
      <w:pPr>
        <w:pStyle w:val="ListParagraph"/>
        <w:numPr>
          <w:ilvl w:val="0"/>
          <w:numId w:val="2"/>
        </w:numPr>
        <w:spacing w:after="60" w:before="60"/>
      </w:pPr>
      <w:r>
        <w:rPr>
          <w:sz w:val="24"/>
          <w:szCs w:val="24"/>
        </w:rPr>
        <w:t xml:space="preserve">("weak governance" OR "impunity" OR "sovereignty dispute") AND ("resource extraction" OR "mining") AND ("spatial" OR "geographic")</w:t>
      </w:r>
    </w:p>
    <w:p>
      <w:pPr>
        <w:pStyle w:val="ListParagraph"/>
        <w:numPr>
          <w:ilvl w:val="0"/>
          <w:numId w:val="2"/>
        </w:numPr>
        <w:spacing w:after="60" w:before="60"/>
      </w:pPr>
      <w:r>
        <w:rPr>
          <w:sz w:val="24"/>
          <w:szCs w:val="24"/>
        </w:rPr>
        <w:t xml:space="preserve">("ACLED" OR "MID" OR "ICOW") AND ("land use" OR "deforestation" OR "mining") AND ("regression" OR "econometrics")</w:t>
      </w:r>
    </w:p>
    <w:p>
      <w:pPr>
        <w:pStyle w:val="Heading2"/>
        <w:spacing w:after="150" w:before="300"/>
      </w:pPr>
      <w:r>
        <w:t xml:space="preserve">4.5 Step 5 — Causal Validation: Event Study and DiD</w:t>
      </w:r>
    </w:p>
    <w:p>
      <w:pPr>
        <w:pStyle w:val="Heading3"/>
        <w:spacing w:after="100" w:before="200"/>
      </w:pPr>
      <w:r>
        <w:t xml:space="preserve">What the Research Shows</w:t>
      </w:r>
    </w:p>
    <w:p>
      <w:pPr>
        <w:spacing w:after="100" w:before="100"/>
      </w:pPr>
      <w:r>
        <w:rPr>
          <w:sz w:val="24"/>
          <w:szCs w:val="24"/>
        </w:rPr>
        <w:t xml:space="preserve">Difference-in-differences and event study designs have become the standard causal identification strategy for governance-driven land use change. Marcus et al. (2020, 142 citations) is the methodological reference for staggered DiD in environmental economics, establishing the parallel trends assumptions and robustness vs. efficiency trade-offs practitioners must navigate. Prem et al. (2020) applied this to conflict-deforestation with satellite data. Godar et al. (2014, PNAS) demonstrated actor-specific deforestation attribution by linking census and remote sensing data. The key open question for your Step 5: whether dispute escalation events (from ACLED/MID) constitute valid treatment shocks for identifying extraction anomalies in the residual.</w:t>
      </w:r>
    </w:p>
    <w:p>
      <w:pPr>
        <w:pStyle w:val="Heading3"/>
        <w:spacing w:after="100" w:before="200"/>
      </w:pPr>
      <w:r>
        <w:t xml:space="preserve">Key Papers</w:t>
      </w:r>
    </w:p>
    <w:p>
      <w:pPr>
        <w:spacing w:after="40" w:before="120"/>
      </w:pPr>
      <w:hyperlink w:history="1" r:id="rIdemnav5bjxl4uhaxri7srm">
        <w:r>
          <w:rPr>
            <w:rStyle w:val="Hyperlink"/>
            <w:b/>
            <w:bCs/>
            <w:sz w:val="24"/>
            <w:szCs w:val="24"/>
          </w:rPr>
          <w:t xml:space="preserve">The Role of Parallel Trends in Event Study Settings: An Application to Environmental Economics</w:t>
        </w:r>
      </w:hyperlink>
      <w:r>
        <w:rPr>
          <w:color w:val="555555"/>
          <w:sz w:val="22"/>
          <w:szCs w:val="22"/>
        </w:rPr>
        <w:t xml:space="preserve"> — Marcus et al., 2020 · 142 citations · Journal of the Association of Environmental and Resource Economists</w:t>
      </w:r>
    </w:p>
    <w:p>
      <w:pPr>
        <w:spacing w:after="40" w:before="40"/>
        <w:ind w:left="360"/>
      </w:pPr>
      <w:r>
        <w:rPr>
          <w:sz w:val="22"/>
          <w:szCs w:val="22"/>
        </w:rPr>
        <w:t xml:space="preserve">The canonical methodological reference for staggered DiD event studies in environmental economics. Documents the robustness–efficiency trade-off in parallel trends assumptions and proposes new estimators. Essential reading before designing the event study for dispute escalation around mining anomalies.</w:t>
      </w:r>
    </w:p>
    <w:p>
      <w:pPr>
        <w:spacing w:after="120" w:before="40"/>
        <w:ind w:left="360"/>
      </w:pPr>
      <w:r>
        <w:rPr>
          <w:b/>
          <w:bCs/>
          <w:sz w:val="22"/>
          <w:szCs w:val="22"/>
        </w:rPr>
        <w:t xml:space="preserve">Read for: </w:t>
      </w:r>
      <w:r>
        <w:rPr>
          <w:i/>
          <w:iCs/>
          <w:sz w:val="22"/>
          <w:szCs w:val="22"/>
        </w:rPr>
        <w:t xml:space="preserve">The PTA discussion (Section 3) and the new DiD estimators (Section 4) — use these to pre-register your parallel trends test for Step 5.</w:t>
      </w:r>
    </w:p>
    <w:p>
      <w:pPr>
        <w:spacing w:after="40" w:before="120"/>
      </w:pPr>
      <w:hyperlink w:history="1" r:id="rIdi_1-8avhfrygayr7kzbre">
        <w:r>
          <w:rPr>
            <w:rStyle w:val="Hyperlink"/>
            <w:b/>
            <w:bCs/>
            <w:sz w:val="24"/>
            <w:szCs w:val="24"/>
          </w:rPr>
          <w:t xml:space="preserve">Actor-specific contributions to the deforestation slowdown in the Brazilian Amazon</w:t>
        </w:r>
      </w:hyperlink>
      <w:r>
        <w:rPr>
          <w:color w:val="555555"/>
          <w:sz w:val="22"/>
          <w:szCs w:val="22"/>
        </w:rPr>
        <w:t xml:space="preserve"> — Godar et al., 2014 · 241 citations · PNAS</w:t>
      </w:r>
    </w:p>
    <w:p>
      <w:pPr>
        <w:spacing w:after="40" w:before="40"/>
        <w:ind w:left="360"/>
      </w:pPr>
      <w:r>
        <w:rPr>
          <w:sz w:val="22"/>
          <w:szCs w:val="22"/>
        </w:rPr>
        <w:t xml:space="preserve">Links agricultural census and remote sensing deforestation data to attribute forest loss to specific actor types (large vs. small landholders) at sub-municipality level. The actor-attribution methodology is the precursor to attributing satellite-detected mining anomalies to specific governance regimes.</w:t>
      </w:r>
    </w:p>
    <w:p>
      <w:pPr>
        <w:spacing w:after="120" w:before="40"/>
        <w:ind w:left="360"/>
      </w:pPr>
      <w:r>
        <w:rPr>
          <w:b/>
          <w:bCs/>
          <w:sz w:val="22"/>
          <w:szCs w:val="22"/>
        </w:rPr>
        <w:t xml:space="preserve">Read for: </w:t>
      </w:r>
      <w:r>
        <w:rPr>
          <w:i/>
          <w:iCs/>
          <w:sz w:val="22"/>
          <w:szCs w:val="22"/>
        </w:rPr>
        <w:t xml:space="preserve">The sub-municipality attribution methodology (Section 2) and the actor-governance interaction (Section 3.3) — your template for attributing residual anomalies to specific dispute actors.</w:t>
      </w:r>
    </w:p>
    <w:p>
      <w:pPr>
        <w:spacing w:after="40" w:before="120"/>
      </w:pPr>
      <w:hyperlink w:history="1" r:id="rIdqqm9an4lkowkqzyv-fp3v">
        <w:r>
          <w:rPr>
            <w:rStyle w:val="Hyperlink"/>
            <w:b/>
            <w:bCs/>
            <w:sz w:val="24"/>
            <w:szCs w:val="24"/>
          </w:rPr>
          <w:t xml:space="preserve">Deforestation-induced surface warming is influenced by fragmentation and spatial extent of forest loss in Maritime Southeast Asia</w:t>
        </w:r>
      </w:hyperlink>
      <w:r>
        <w:rPr>
          <w:color w:val="555555"/>
          <w:sz w:val="22"/>
          <w:szCs w:val="22"/>
        </w:rPr>
        <w:t xml:space="preserve"> — Crompton et al., 2021 · 26 citations · Environmental Research Letters</w:t>
      </w:r>
    </w:p>
    <w:p>
      <w:pPr>
        <w:spacing w:after="40" w:before="40"/>
        <w:ind w:left="360"/>
      </w:pPr>
      <w:r>
        <w:rPr>
          <w:sz w:val="22"/>
          <w:szCs w:val="22"/>
        </w:rPr>
        <w:t xml:space="preserve">Applies DiD to remotely-sensed forest loss and land surface temperature data in SE Asia. Demonstrates that spatial pattern of forest loss (fragmentation) affects outcomes — relevant to distinguishing diffuse artisanal mining from concentrated industrial extraction in your residual signal.</w:t>
      </w:r>
    </w:p>
    <w:p>
      <w:pPr>
        <w:spacing w:after="120" w:before="40"/>
        <w:ind w:left="360"/>
      </w:pPr>
      <w:r>
        <w:rPr>
          <w:b/>
          <w:bCs/>
          <w:sz w:val="22"/>
          <w:szCs w:val="22"/>
        </w:rPr>
        <w:t xml:space="preserve">Read for: </w:t>
      </w:r>
      <w:r>
        <w:rPr>
          <w:i/>
          <w:iCs/>
          <w:sz w:val="22"/>
          <w:szCs w:val="22"/>
        </w:rPr>
        <w:t xml:space="preserve">The DiD setup for remote sensing data (Section 2.2) — the applied template for running a DiD with satellite-derived continuous outcomes rather than binary treatment.</w:t>
      </w:r>
    </w:p>
    <w:p>
      <w:pPr>
        <w:pStyle w:val="Heading3"/>
        <w:spacing w:after="100" w:before="200"/>
      </w:pPr>
      <w:r>
        <w:t xml:space="preserve">Key Search Terms</w:t>
      </w:r>
    </w:p>
    <w:p>
      <w:pPr>
        <w:pStyle w:val="ListParagraph"/>
        <w:numPr>
          <w:ilvl w:val="0"/>
          <w:numId w:val="2"/>
        </w:numPr>
        <w:spacing w:after="60" w:before="60"/>
      </w:pPr>
      <w:r>
        <w:rPr>
          <w:sz w:val="24"/>
          <w:szCs w:val="24"/>
        </w:rPr>
        <w:t xml:space="preserve">difference-in-differences staggered DiD satellite land use change event study</w:t>
      </w:r>
    </w:p>
    <w:p>
      <w:pPr>
        <w:pStyle w:val="ListParagraph"/>
        <w:numPr>
          <w:ilvl w:val="0"/>
          <w:numId w:val="2"/>
        </w:numPr>
        <w:spacing w:after="60" w:before="60"/>
      </w:pPr>
      <w:r>
        <w:rPr>
          <w:sz w:val="24"/>
          <w:szCs w:val="24"/>
        </w:rPr>
        <w:t xml:space="preserve">parallel trends test environmental economics governance treatment</w:t>
      </w:r>
    </w:p>
    <w:p>
      <w:pPr>
        <w:pStyle w:val="ListParagraph"/>
        <w:numPr>
          <w:ilvl w:val="0"/>
          <w:numId w:val="2"/>
        </w:numPr>
        <w:spacing w:after="60" w:before="60"/>
      </w:pPr>
      <w:r>
        <w:rPr>
          <w:sz w:val="24"/>
          <w:szCs w:val="24"/>
        </w:rPr>
        <w:t xml:space="preserve">dispute escalation treatment shock extraction panel data</w:t>
      </w:r>
    </w:p>
    <w:p>
      <w:pPr>
        <w:pStyle w:val="ListParagraph"/>
        <w:numPr>
          <w:ilvl w:val="0"/>
          <w:numId w:val="2"/>
        </w:numPr>
        <w:spacing w:after="60" w:before="60"/>
      </w:pPr>
      <w:r>
        <w:rPr>
          <w:sz w:val="24"/>
          <w:szCs w:val="24"/>
        </w:rPr>
        <w:t xml:space="preserve">spatial panel econometrics deforestation conflict border zone</w:t>
      </w:r>
    </w:p>
    <w:p>
      <w:pPr>
        <w:pStyle w:val="ListParagraph"/>
        <w:numPr>
          <w:ilvl w:val="0"/>
          <w:numId w:val="2"/>
        </w:numPr>
        <w:spacing w:after="60" w:before="60"/>
      </w:pPr>
      <w:r>
        <w:rPr>
          <w:sz w:val="24"/>
          <w:szCs w:val="24"/>
        </w:rPr>
        <w:t xml:space="preserve">remote sensing outcome variable causal identification regression discontinuity</w:t>
      </w:r>
    </w:p>
    <w:p>
      <w:pPr>
        <w:pStyle w:val="Heading3"/>
        <w:spacing w:after="100" w:before="200"/>
      </w:pPr>
      <w:r>
        <w:t xml:space="preserve">Boolean Search Strings</w:t>
      </w:r>
    </w:p>
    <w:p>
      <w:pPr>
        <w:pStyle w:val="ListParagraph"/>
        <w:numPr>
          <w:ilvl w:val="0"/>
          <w:numId w:val="2"/>
        </w:numPr>
        <w:spacing w:after="60" w:before="60"/>
      </w:pPr>
      <w:r>
        <w:rPr>
          <w:sz w:val="24"/>
          <w:szCs w:val="24"/>
        </w:rPr>
        <w:t xml:space="preserve">("difference-in-differences" OR "DiD" OR "event study") AND ("deforestation" OR "land use" OR "mining") AND ("satellite" OR "remote sensing")</w:t>
      </w:r>
    </w:p>
    <w:p>
      <w:pPr>
        <w:pStyle w:val="ListParagraph"/>
        <w:numPr>
          <w:ilvl w:val="0"/>
          <w:numId w:val="2"/>
        </w:numPr>
        <w:spacing w:after="60" w:before="60"/>
      </w:pPr>
      <w:r>
        <w:rPr>
          <w:sz w:val="24"/>
          <w:szCs w:val="24"/>
        </w:rPr>
        <w:t xml:space="preserve">("conflict" OR "dispute escalation" OR "governance shock") AND ("land use change" OR "extraction") AND ("causal" OR "identification" OR "treatment")</w:t>
      </w:r>
    </w:p>
    <w:p>
      <w:pPr>
        <w:pStyle w:val="ListParagraph"/>
        <w:numPr>
          <w:ilvl w:val="0"/>
          <w:numId w:val="2"/>
        </w:numPr>
        <w:spacing w:after="60" w:before="60"/>
      </w:pPr>
      <w:r>
        <w:rPr>
          <w:sz w:val="24"/>
          <w:szCs w:val="24"/>
        </w:rPr>
        <w:t xml:space="preserve">("spatial panel" OR "panel econometrics") AND ("deforestation" OR "mining" OR "extraction") AND ("border" OR "disputed" OR "sovereignty")</w:t>
      </w:r>
    </w:p>
    <w:p>
      <w:pPr>
        <w:pStyle w:val="Heading2"/>
        <w:spacing w:after="150" w:before="300"/>
      </w:pPr>
      <w:r>
        <w:t xml:space="preserve">4.6 Step 6 [NEW] — Strategic Simulation: Game Theory</w:t>
      </w:r>
    </w:p>
    <w:p>
      <w:pPr>
        <w:pStyle w:val="Heading3"/>
        <w:spacing w:after="100" w:before="200"/>
      </w:pPr>
      <w:r>
        <w:t xml:space="preserve">What the Research Shows</w:t>
      </w:r>
    </w:p>
    <w:p>
      <w:pPr>
        <w:spacing w:after="100" w:before="100"/>
      </w:pPr>
      <w:r>
        <w:rPr>
          <w:sz w:val="24"/>
          <w:szCs w:val="24"/>
        </w:rPr>
        <w:t xml:space="preserve">Game-theoretic models of resource conflict exist in two separate literatures: transboundary water allocation (Khorshidi et al. 2024, Vithya et al. 2025) and international relations expected utility (Bueno de Mesquita 1985). Both use assumed or calibrated payoff structures. Neither uses a physical monitoring signal — satellite residuals — as the empirical input to the payoff specification. The water allocation game theory (Khorshidi et al. 2024) integrates ABM and cooperative game theory (Shapley value, least core) but does not model extraction behavior in disputed zones. The Cauvery River Basin application (Vithya et al. 2025) demonstrates the applicability of dominance-rule game theory to territorial water disputes — the closest structural analog to your Step 6. The absence of any paper connecting game-theoretic equilibrium to satellite-observed residuals empirically confirms Pre-declared Gap 5.</w:t>
      </w:r>
    </w:p>
    <w:p>
      <w:pPr>
        <w:pStyle w:val="Heading3"/>
        <w:spacing w:after="100" w:before="200"/>
      </w:pPr>
      <w:r>
        <w:t xml:space="preserve">Key Papers</w:t>
      </w:r>
    </w:p>
    <w:p>
      <w:pPr>
        <w:spacing w:after="40" w:before="120"/>
      </w:pPr>
      <w:hyperlink w:history="1" r:id="rIdiselna_evz76do7bdufxf">
        <w:r>
          <w:rPr>
            <w:rStyle w:val="Hyperlink"/>
            <w:b/>
            <w:bCs/>
            <w:sz w:val="24"/>
            <w:szCs w:val="24"/>
          </w:rPr>
          <w:t xml:space="preserve">Integrating Agent-Based Modeling and Game Theory for Optimal Water Resource Allocation within Complex Hierarchical Systems</w:t>
        </w:r>
      </w:hyperlink>
      <w:r>
        <w:rPr>
          <w:color w:val="555555"/>
          <w:sz w:val="22"/>
          <w:szCs w:val="22"/>
        </w:rPr>
        <w:t xml:space="preserve"> — Khorshidi et al., 2024 · 6 citations · Journal of Cleaner Production</w:t>
      </w:r>
    </w:p>
    <w:p>
      <w:pPr>
        <w:spacing w:after="40" w:before="40"/>
        <w:ind w:left="360"/>
      </w:pPr>
      <w:r>
        <w:rPr>
          <w:sz w:val="22"/>
          <w:szCs w:val="22"/>
        </w:rPr>
        <w:t xml:space="preserve">Novel ABM-GT integration using Shapley value and least core for water allocation in a contested Iranian basin. The partial cooperation dynamics — agents adjust behavior iteratively based on coalition outcomes — are structurally similar to the multi-actor extraction game in Step 6. 150% net benefit increase under partial cooperation vs. non-cooperation provides a concrete payoff scaling reference.</w:t>
      </w:r>
    </w:p>
    <w:p>
      <w:pPr>
        <w:spacing w:after="120" w:before="40"/>
        <w:ind w:left="360"/>
      </w:pPr>
      <w:r>
        <w:rPr>
          <w:b/>
          <w:bCs/>
          <w:sz w:val="22"/>
          <w:szCs w:val="22"/>
        </w:rPr>
        <w:t xml:space="preserve">Read for: </w:t>
      </w:r>
      <w:r>
        <w:rPr>
          <w:i/>
          <w:iCs/>
          <w:sz w:val="22"/>
          <w:szCs w:val="22"/>
        </w:rPr>
        <w:t xml:space="preserve">The partial cooperation framework (Section 3.3) and the Shapley value allocation — these are the cooperative game theory tools to contrast with the non-cooperative Nash equilibrium in your Step 6.</w:t>
      </w:r>
    </w:p>
    <w:p>
      <w:pPr>
        <w:spacing w:after="40" w:before="120"/>
      </w:pPr>
      <w:hyperlink w:history="1" r:id="rIdzxvp5ewnzs9g5ahl9it9o">
        <w:r>
          <w:rPr>
            <w:rStyle w:val="Hyperlink"/>
            <w:b/>
            <w:bCs/>
            <w:sz w:val="24"/>
            <w:szCs w:val="24"/>
          </w:rPr>
          <w:t xml:space="preserve">Dominance Rule in Game Theory: Resolving the Cauvery River Basin Conflict Through Strategic Equilibria</w:t>
        </w:r>
      </w:hyperlink>
      <w:r>
        <w:rPr>
          <w:color w:val="555555"/>
          <w:sz w:val="22"/>
          <w:szCs w:val="22"/>
        </w:rPr>
        <w:t xml:space="preserve"> — Vithya et al., 2025 · 0 citations</w:t>
      </w:r>
    </w:p>
    <w:p>
      <w:pPr>
        <w:spacing w:after="40" w:before="40"/>
        <w:ind w:left="360"/>
      </w:pPr>
      <w:r>
        <w:rPr>
          <w:sz w:val="22"/>
          <w:szCs w:val="22"/>
        </w:rPr>
        <w:t xml:space="preserve">Models an upstream-downstream territorial water dispute as a non-cooperative game. Demonstrates Karnataka's dominant strategy leads to a suboptimal Nash equilibrium, and that institutional interventions (penalties, compensation) realign incentives toward Pareto-efficient cooperation. Directly relevant to your Step 6 payoff structure for disputed extraction zones.</w:t>
      </w:r>
    </w:p>
    <w:p>
      <w:pPr>
        <w:spacing w:after="120" w:before="40"/>
        <w:ind w:left="360"/>
      </w:pPr>
      <w:r>
        <w:rPr>
          <w:b/>
          <w:bCs/>
          <w:sz w:val="22"/>
          <w:szCs w:val="22"/>
        </w:rPr>
        <w:t xml:space="preserve">Read for: </w:t>
      </w:r>
      <w:r>
        <w:rPr>
          <w:i/>
          <w:iCs/>
          <w:sz w:val="22"/>
          <w:szCs w:val="22"/>
        </w:rPr>
        <w:t xml:space="preserve">The dominant strategy analysis (Section 3) and the institutional intervention conditions (Section 5) — the structural template for your multi-agent game.</w:t>
      </w:r>
    </w:p>
    <w:p>
      <w:pPr>
        <w:spacing w:after="40" w:before="120"/>
      </w:pPr>
      <w:hyperlink w:history="1" r:id="rIdgsv7texczp433skz4s_zb">
        <w:r>
          <w:rPr>
            <w:rStyle w:val="Hyperlink"/>
            <w:b/>
            <w:bCs/>
            <w:sz w:val="24"/>
            <w:szCs w:val="24"/>
          </w:rPr>
          <w:t xml:space="preserve">Conflict Analysis of Physical Industrial Land Development Policy Using Game Theory and Graph Model for Conflict Resolution</w:t>
        </w:r>
      </w:hyperlink>
      <w:r>
        <w:rPr>
          <w:color w:val="555555"/>
          <w:sz w:val="22"/>
          <w:szCs w:val="22"/>
        </w:rPr>
        <w:t xml:space="preserve"> — Aghmashhadi et al., 2022 · 18 citations · Land</w:t>
      </w:r>
    </w:p>
    <w:p>
      <w:pPr>
        <w:spacing w:after="40" w:before="40"/>
        <w:ind w:left="360"/>
      </w:pPr>
      <w:r>
        <w:rPr>
          <w:sz w:val="22"/>
          <w:szCs w:val="22"/>
        </w:rPr>
        <w:t xml:space="preserve">Applies Graph Model for Conflict Resolution (GMCR) — a non-cooperative game theory approach — to industrial land-mining conflict in Iran. Finds non-cooperative equilibrium with no unilateral progression from either party (status quo deadlock). Directly relevant to modeling the extraction-governance standoff in disputed zones.</w:t>
      </w:r>
    </w:p>
    <w:p>
      <w:pPr>
        <w:spacing w:after="120" w:before="40"/>
        <w:ind w:left="360"/>
      </w:pPr>
      <w:r>
        <w:rPr>
          <w:b/>
          <w:bCs/>
          <w:sz w:val="22"/>
          <w:szCs w:val="22"/>
        </w:rPr>
        <w:t xml:space="preserve">Read for: </w:t>
      </w:r>
      <w:r>
        <w:rPr>
          <w:i/>
          <w:iCs/>
          <w:sz w:val="22"/>
          <w:szCs w:val="22"/>
        </w:rPr>
        <w:t xml:space="preserve">The GMCR equilibrium analysis (Section 3.4) and the deadlock condition — a realistic equilibrium outcome for contested extraction zones with weak enforcement.</w:t>
      </w:r>
    </w:p>
    <w:p>
      <w:pPr>
        <w:pStyle w:val="Heading3"/>
        <w:spacing w:after="100" w:before="200"/>
      </w:pPr>
      <w:r>
        <w:t xml:space="preserve">Key Search Terms</w:t>
      </w:r>
    </w:p>
    <w:p>
      <w:pPr>
        <w:pStyle w:val="ListParagraph"/>
        <w:numPr>
          <w:ilvl w:val="0"/>
          <w:numId w:val="2"/>
        </w:numPr>
        <w:spacing w:after="60" w:before="60"/>
      </w:pPr>
      <w:r>
        <w:rPr>
          <w:sz w:val="24"/>
          <w:szCs w:val="24"/>
        </w:rPr>
        <w:t xml:space="preserve">multi-agent game theory resource extraction disputed territory payoff</w:t>
      </w:r>
    </w:p>
    <w:p>
      <w:pPr>
        <w:pStyle w:val="ListParagraph"/>
        <w:numPr>
          <w:ilvl w:val="0"/>
          <w:numId w:val="2"/>
        </w:numPr>
        <w:spacing w:after="60" w:before="60"/>
      </w:pPr>
      <w:r>
        <w:rPr>
          <w:sz w:val="24"/>
          <w:szCs w:val="24"/>
        </w:rPr>
        <w:t xml:space="preserve">Bayesian game governance extraction incomplete information</w:t>
      </w:r>
    </w:p>
    <w:p>
      <w:pPr>
        <w:pStyle w:val="ListParagraph"/>
        <w:numPr>
          <w:ilvl w:val="0"/>
          <w:numId w:val="2"/>
        </w:numPr>
        <w:spacing w:after="60" w:before="60"/>
      </w:pPr>
      <w:r>
        <w:rPr>
          <w:sz w:val="24"/>
          <w:szCs w:val="24"/>
        </w:rPr>
        <w:t xml:space="preserve">Nash equilibrium mining conflict sovereign territory impunity</w:t>
      </w:r>
    </w:p>
    <w:p>
      <w:pPr>
        <w:pStyle w:val="ListParagraph"/>
        <w:numPr>
          <w:ilvl w:val="0"/>
          <w:numId w:val="2"/>
        </w:numPr>
        <w:spacing w:after="60" w:before="60"/>
      </w:pPr>
      <w:r>
        <w:rPr>
          <w:sz w:val="24"/>
          <w:szCs w:val="24"/>
        </w:rPr>
        <w:t xml:space="preserve">agent-based model ABM resource conflict calibration ACLED</w:t>
      </w:r>
    </w:p>
    <w:p>
      <w:pPr>
        <w:pStyle w:val="ListParagraph"/>
        <w:numPr>
          <w:ilvl w:val="0"/>
          <w:numId w:val="2"/>
        </w:numPr>
        <w:spacing w:after="60" w:before="60"/>
      </w:pPr>
      <w:r>
        <w:rPr>
          <w:sz w:val="24"/>
          <w:szCs w:val="24"/>
        </w:rPr>
        <w:t xml:space="preserve">Stackelberg game extraction upstream downstream monitoring</w:t>
      </w:r>
    </w:p>
    <w:p>
      <w:pPr>
        <w:pStyle w:val="Heading3"/>
        <w:spacing w:after="100" w:before="200"/>
      </w:pPr>
      <w:r>
        <w:t xml:space="preserve">Boolean Search Strings</w:t>
      </w:r>
    </w:p>
    <w:p>
      <w:pPr>
        <w:pStyle w:val="ListParagraph"/>
        <w:numPr>
          <w:ilvl w:val="0"/>
          <w:numId w:val="2"/>
        </w:numPr>
        <w:spacing w:after="60" w:before="60"/>
      </w:pPr>
      <w:r>
        <w:rPr>
          <w:sz w:val="24"/>
          <w:szCs w:val="24"/>
        </w:rPr>
        <w:t xml:space="preserve">("game theory" OR "Nash equilibrium" OR "Stackelberg") AND ("mining" OR "extraction" OR "resource conflict") AND ("disputed" OR "sovereignty" OR "territory")</w:t>
      </w:r>
    </w:p>
    <w:p>
      <w:pPr>
        <w:pStyle w:val="ListParagraph"/>
        <w:numPr>
          <w:ilvl w:val="0"/>
          <w:numId w:val="2"/>
        </w:numPr>
        <w:spacing w:after="60" w:before="60"/>
      </w:pPr>
      <w:r>
        <w:rPr>
          <w:sz w:val="24"/>
          <w:szCs w:val="24"/>
        </w:rPr>
        <w:t xml:space="preserve">("multi-agent" OR "agent-based") AND ("resource extraction" OR "mining") AND ("conflict" OR "governance" OR "dispute")</w:t>
      </w:r>
    </w:p>
    <w:p>
      <w:pPr>
        <w:pStyle w:val="ListParagraph"/>
        <w:numPr>
          <w:ilvl w:val="0"/>
          <w:numId w:val="2"/>
        </w:numPr>
        <w:spacing w:after="60" w:before="60"/>
      </w:pPr>
      <w:r>
        <w:rPr>
          <w:sz w:val="24"/>
          <w:szCs w:val="24"/>
        </w:rPr>
        <w:t xml:space="preserve">("ACLED" OR "MID" OR "escalation") AND ("game theory" OR "strategic behavior") AND ("extraction" OR "resource")</w:t>
      </w:r>
    </w:p>
    <w:p>
      <w:pPr>
        <w:pStyle w:val="Heading1"/>
        <w:spacing w:after="200" w:before="400"/>
      </w:pPr>
      <w:r>
        <w:t xml:space="preserve">5. Key Research Groups</w:t>
      </w:r>
    </w:p>
    <w:p>
      <w:pPr>
        <w:spacing w:after="60" w:before="100"/>
      </w:pPr>
      <w:r>
        <w:rPr>
          <w:b/>
          <w:bCs/>
          <w:sz w:val="24"/>
          <w:szCs w:val="24"/>
        </w:rPr>
        <w:t xml:space="preserve">Patrick Meyfroidt — UCLouvain, Belgium · Land use change, displacement, governance</w:t>
      </w:r>
    </w:p>
    <w:p>
      <w:pPr>
        <w:spacing w:after="100" w:before="100"/>
      </w:pPr>
      <w:r>
        <w:rPr>
          <w:sz w:val="24"/>
          <w:szCs w:val="24"/>
        </w:rPr>
        <w:t xml:space="preserve">The highest-impact researcher in this review (Lambin &amp; Meyfroidt 2011, 2880 citations). Works on global land use teleconnections, displacement effects, and governance mediation of deforestation. His framework for how governance strength modulates extraction displacement is the theoretical backbone of your geopolitical covariate design. Frequently co-publishes with Eric Lambin (Stanford).</w:t>
      </w:r>
    </w:p>
    <w:p>
      <w:pPr>
        <w:spacing w:after="60" w:before="100"/>
      </w:pPr>
      <w:r>
        <w:rPr>
          <w:b/>
          <w:bCs/>
          <w:sz w:val="24"/>
          <w:szCs w:val="24"/>
        </w:rPr>
        <w:t xml:space="preserve">Nils Petter Gleditsch — PRIO, Norway · Conflict, environment, shared resources</w:t>
      </w:r>
    </w:p>
    <w:p>
      <w:pPr>
        <w:spacing w:after="100" w:before="100"/>
      </w:pPr>
      <w:r>
        <w:rPr>
          <w:sz w:val="24"/>
          <w:szCs w:val="24"/>
        </w:rPr>
        <w:t xml:space="preserve">Pioneer of quantitative analysis linking environmental scarcity to conflict. Furlong &amp; Gleditsch (2006, 91 citations) empirically establishes the shared-river conflict relationship. Editor of Journal of Peace Research. The PRIO conflict datasets (including precursors to ACLED) are the primary source for the geopolitical covariates in Step 4.</w:t>
      </w:r>
    </w:p>
    <w:p>
      <w:pPr>
        <w:spacing w:after="60" w:before="100"/>
      </w:pPr>
      <w:r>
        <w:rPr>
          <w:b/>
          <w:bCs/>
          <w:sz w:val="24"/>
          <w:szCs w:val="24"/>
        </w:rPr>
        <w:t xml:space="preserve">Jered Willard / Anuj Karpatne / Chaopeng Shen — Virginia Tech / Penn State · Physics-guided ML</w:t>
      </w:r>
    </w:p>
    <w:p>
      <w:pPr>
        <w:spacing w:after="100" w:before="100"/>
      </w:pPr>
      <w:r>
        <w:rPr>
          <w:sz w:val="24"/>
          <w:szCs w:val="24"/>
        </w:rPr>
        <w:t xml:space="preserve">Willard et al. (2020, 490 citations) is the seminal survey of PGML. Shen et al. (2023, 218 citations) is the Nature Reviews frontier paper on differentiable modelling. This group defines the methodological language for Steps 3–4. Karpatne coined 'Theory-Guided Data Science' (TGDS). Shen's group applies differentiable hydrology to large basins including the Amazon.</w:t>
      </w:r>
    </w:p>
    <w:p>
      <w:pPr>
        <w:spacing w:after="60" w:before="100"/>
      </w:pPr>
      <w:r>
        <w:rPr>
          <w:b/>
          <w:bCs/>
          <w:sz w:val="24"/>
          <w:szCs w:val="24"/>
        </w:rPr>
        <w:t xml:space="preserve">John Gallwey — Remote sensing, ASM detection · Published 2020</w:t>
      </w:r>
    </w:p>
    <w:p>
      <w:pPr>
        <w:spacing w:after="100" w:before="100"/>
      </w:pPr>
      <w:r>
        <w:rPr>
          <w:sz w:val="24"/>
          <w:szCs w:val="24"/>
        </w:rPr>
        <w:t xml:space="preserve">Gallwey et al. (2020, 72 citations) is the benchmark paper for Sentinel-2 CNN detection of artisanal small-scale mining. The Ghana application methodology is the primary template for Step 2. Demonstrates detection at 4-year temporal scale across 6M hectares — proving operational feasibility.</w:t>
      </w:r>
    </w:p>
    <w:p>
      <w:pPr>
        <w:spacing w:after="60" w:before="100"/>
      </w:pPr>
      <w:r>
        <w:rPr>
          <w:b/>
          <w:bCs/>
          <w:sz w:val="24"/>
          <w:szCs w:val="24"/>
        </w:rPr>
        <w:t xml:space="preserve">Mónica Prem — Universidad de los Andes, Colombia · Conflict economics, deforestation</w:t>
      </w:r>
    </w:p>
    <w:p>
      <w:pPr>
        <w:spacing w:after="100" w:before="100"/>
      </w:pPr>
      <w:r>
        <w:rPr>
          <w:sz w:val="24"/>
          <w:szCs w:val="24"/>
        </w:rPr>
        <w:t xml:space="preserve">Prem et al. (2020, 104 citations) established the DiD + satellite methodology for linking governance shocks to measured deforestation. This is the closest existing methodological precursor to your Step 5. Works on the political economy of conflict, resources, and environmental outcomes in Latin America.</w:t>
      </w:r>
    </w:p>
    <w:p>
      <w:pPr>
        <w:pStyle w:val="Heading1"/>
        <w:spacing w:after="200" w:before="400"/>
      </w:pPr>
      <w:r>
        <w:t xml:space="preserve">6. Open Questions and Gaps</w:t>
      </w:r>
    </w:p>
    <w:p>
      <w:pPr>
        <w:pStyle w:val="Heading2"/>
        <w:spacing w:after="150" w:before="300"/>
      </w:pPr>
      <w:r>
        <w:t xml:space="preserve">6.1 Pre-Declared Gaps (from Research Proposal)</w:t>
      </w:r>
    </w:p>
    <w:p>
      <w:pPr>
        <w:pStyle w:val="ListParagraph"/>
        <w:numPr>
          <w:ilvl w:val="0"/>
          <w:numId w:val="2"/>
        </w:numPr>
        <w:spacing w:after="60" w:before="60"/>
      </w:pPr>
      <w:r>
        <w:rPr>
          <w:sz w:val="24"/>
          <w:szCs w:val="24"/>
        </w:rPr>
        <w:t xml:space="preserve">Gap 1 — SWAT calibration in ungauged and contested basins: The literature confirms this is a known challenge with partial solutions (ML parameter regionalization: Bawa et al. 2025; improved uncalibrated SWAT: Qi et al. 2020; physics-informed LSTM fallback: Lu et al. 2021). None of these solutions have been applied in a sovereignty-disputed context where data restriction is deliberate rather than incidental. The gap is not unsolvability — it is the combination of technical scarcity with strategic data withholding.</w:t>
      </w:r>
    </w:p>
    <w:p>
      <w:pPr>
        <w:pStyle w:val="ListParagraph"/>
        <w:numPr>
          <w:ilvl w:val="0"/>
          <w:numId w:val="2"/>
        </w:numPr>
        <w:spacing w:after="60" w:before="60"/>
      </w:pPr>
      <w:r>
        <w:rPr>
          <w:sz w:val="24"/>
          <w:szCs w:val="24"/>
        </w:rPr>
        <w:t xml:space="preserve">Gap 2 — Turbidity signal limited to surface/alluvial mining: Confirmed by the literature. All Sentinel-2 turbidity/NDTI retrieval papers address surface water quality. Underground mining, subsurface tailings, and deep-reef mining produce no turbidity signal. The residual framework is inherently limited to extraction activities with a surface water sediment pathway. This should be explicitly scoped in the proposal.</w:t>
      </w:r>
    </w:p>
    <w:p>
      <w:pPr>
        <w:pStyle w:val="ListParagraph"/>
        <w:numPr>
          <w:ilvl w:val="0"/>
          <w:numId w:val="2"/>
        </w:numPr>
        <w:spacing w:after="60" w:before="60"/>
      </w:pPr>
      <w:r>
        <w:rPr>
          <w:sz w:val="24"/>
          <w:szCs w:val="24"/>
        </w:rPr>
        <w:t xml:space="preserve">Gap 3 — Dispute databases (ICOW, MID) have variable temporal granularity: Not directly addressed in reviewed literature. ACLED provides near-daily event data but only back to the 1990s. MID and ICOW have annual resolution. This creates a temporal resolution mismatch with Sentinel-2's 5-day revisit cycle. Event study design must account for this — the treatment date is imprecisely measured.</w:t>
      </w:r>
    </w:p>
    <w:p>
      <w:pPr>
        <w:pStyle w:val="ListParagraph"/>
        <w:numPr>
          <w:ilvl w:val="0"/>
          <w:numId w:val="2"/>
        </w:numPr>
        <w:spacing w:after="60" w:before="60"/>
      </w:pPr>
      <w:r>
        <w:rPr>
          <w:sz w:val="24"/>
          <w:szCs w:val="24"/>
        </w:rPr>
        <w:t xml:space="preserve">Gap 4 — Geological confounding: Disputed zones are mineral-rich by selection, creating endogeneity in the dispute-extraction relationship: Partially addressed by the political economy literature (Bebbington et al. 2011 document this convergence) but no existing study instruments for geological endogeneity in a satellite-monitoring context. Instrument candidates: geological survey pre-1990 mineral assessments (predating modern disputes), distance to known deposit centroids.</w:t>
      </w:r>
    </w:p>
    <w:p>
      <w:pPr>
        <w:pStyle w:val="ListParagraph"/>
        <w:numPr>
          <w:ilvl w:val="0"/>
          <w:numId w:val="2"/>
        </w:numPr>
        <w:spacing w:after="60" w:before="60"/>
      </w:pPr>
      <w:r>
        <w:rPr>
          <w:sz w:val="24"/>
          <w:szCs w:val="24"/>
        </w:rPr>
        <w:t xml:space="preserve">Gap 5 — Game-theoretic modeling of extraction behavior in disputed zones is absent from remote sensing literature: Empirically confirmed by Phase 3 searches. The game theory searches returned only water allocation and IR forecasting papers — no paper connects game-theoretic equilibrium to satellite-observed physical residuals. This is a genuine frontier contribution.</w:t>
      </w:r>
    </w:p>
    <w:p>
      <w:pPr>
        <w:pStyle w:val="Heading2"/>
        <w:spacing w:after="150" w:before="300"/>
      </w:pPr>
      <w:r>
        <w:t xml:space="preserve">6.2 New Gaps Identified from Searches</w:t>
      </w:r>
    </w:p>
    <w:p>
      <w:pPr>
        <w:pStyle w:val="ListParagraph"/>
        <w:numPr>
          <w:ilvl w:val="0"/>
          <w:numId w:val="2"/>
        </w:numPr>
        <w:spacing w:after="60" w:before="60"/>
      </w:pPr>
      <w:r>
        <w:rPr>
          <w:sz w:val="24"/>
          <w:szCs w:val="24"/>
        </w:rPr>
        <w:t xml:space="preserve">Physics-ML residual models use exclusively environmental covariates: Every reviewed physics-ML paper (Shuai et al. 2024, Wang et al. 2024, Lu et al. 2021) uses precipitation, temperature, slope, land cover, or soil type as ML inputs. None include governance quality, dispute status, or conflict event variables. Adding geopolitical covariates to a physics-ML residual predictor is methodologically straightforward but has never been done.</w:t>
      </w:r>
    </w:p>
    <w:p>
      <w:pPr>
        <w:pStyle w:val="ListParagraph"/>
        <w:numPr>
          <w:ilvl w:val="0"/>
          <w:numId w:val="2"/>
        </w:numPr>
        <w:spacing w:after="60" w:before="60"/>
      </w:pPr>
      <w:r>
        <w:rPr>
          <w:sz w:val="24"/>
          <w:szCs w:val="24"/>
        </w:rPr>
        <w:t xml:space="preserve">Causal satellite deforestation studies do not connect to ML residual prediction: Prem et al. (2020) demonstrate causal governance-deforestation links but use a simple binary satellite outcome. Combining a DiD event study design with a physics-ML residual outcome (continuous, model-corrected) would significantly strengthen causal identification.</w:t>
      </w:r>
    </w:p>
    <w:p>
      <w:pPr>
        <w:pStyle w:val="ListParagraph"/>
        <w:numPr>
          <w:ilvl w:val="0"/>
          <w:numId w:val="2"/>
        </w:numPr>
        <w:spacing w:after="60" w:before="60"/>
      </w:pPr>
      <w:r>
        <w:rPr>
          <w:sz w:val="24"/>
          <w:szCs w:val="24"/>
        </w:rPr>
        <w:t xml:space="preserve">The displacement mechanism is unquantified in contested zones: Lambin &amp; Meyfroidt (2011) established displacement theoretically but the specific channel — governance pressure in governed zones → displacement to adjacent disputed zones — has not been quantified with satellite monitoring data.</w:t>
      </w:r>
    </w:p>
    <w:p>
      <w:pPr>
        <w:pStyle w:val="ListParagraph"/>
        <w:numPr>
          <w:ilvl w:val="0"/>
          <w:numId w:val="2"/>
        </w:numPr>
        <w:spacing w:after="60" w:before="60"/>
      </w:pPr>
      <w:r>
        <w:rPr>
          <w:sz w:val="24"/>
          <w:szCs w:val="24"/>
        </w:rPr>
        <w:t xml:space="preserve">SAR-optical fusion for turbidity in cloud-prone disputed basins: The reviewed literature does not address cloud penetration for NDTI retrieval. Most contested basins with active extraction (Amazon, Congo, Mekong) have persistent cloud cover. This is a methodological blocker for operational deployment.</w:t>
      </w:r>
    </w:p>
    <w:p>
      <w:pPr>
        <w:pStyle w:val="Heading1"/>
        <w:spacing w:after="200" w:before="400"/>
      </w:pPr>
      <w:r>
        <w:t xml:space="preserve">7. Bibliography</w:t>
      </w:r>
    </w:p>
    <w:p>
      <w:pPr>
        <w:spacing w:after="100" w:before="100"/>
      </w:pPr>
      <w:r>
        <w:rPr>
          <w:sz w:val="24"/>
          <w:szCs w:val="24"/>
        </w:rPr>
        <w:t xml:space="preserve">All papers cited in this guide, alphabetically by first author. All URLs verified on Consensus during this session.</w:t>
      </w:r>
    </w:p>
    <w:p>
      <w:pPr>
        <w:spacing w:after="80" w:before="80"/>
      </w:pPr>
      <w:hyperlink w:history="1" r:id="rIdkdly6opt628bbcjmn8k4i">
        <w:r>
          <w:rPr>
            <w:rStyle w:val="Hyperlink"/>
            <w:sz w:val="24"/>
            <w:szCs w:val="24"/>
          </w:rPr>
          <w:t xml:space="preserve">Abel, P. et al. (2025). Water Turbidity Qualitative Analysis Based on Sentinel Imagery in Jeneberang River Downstream. IOP Conference Series: Earth and Environmental Science.</w:t>
        </w:r>
      </w:hyperlink>
      <w:r>
        <w:rPr>
          <w:sz w:val="24"/>
          <w:szCs w:val="24"/>
        </w:rPr>
        <w:t xml:space="preserve"/>
      </w:r>
    </w:p>
    <w:p>
      <w:pPr>
        <w:spacing w:after="80" w:before="80"/>
      </w:pPr>
      <w:hyperlink w:history="1" r:id="rIdrn6l5t4udv3nf5rqedegq">
        <w:r>
          <w:rPr>
            <w:rStyle w:val="Hyperlink"/>
            <w:sz w:val="24"/>
            <w:szCs w:val="24"/>
          </w:rPr>
          <w:t xml:space="preserve">Aghmashhadi, A.H. et al. (2022). Conflict Analysis of Physical Industrial Land Development Policy Using Game Theory and Graph Model for Conflict Resolution in Markazi Province. Land.</w:t>
        </w:r>
      </w:hyperlink>
      <w:r>
        <w:rPr>
          <w:sz w:val="24"/>
          <w:szCs w:val="24"/>
        </w:rPr>
        <w:t xml:space="preserve"/>
      </w:r>
    </w:p>
    <w:p>
      <w:pPr>
        <w:spacing w:after="80" w:before="80"/>
      </w:pPr>
      <w:hyperlink w:history="1" r:id="rIdkl16rm0bqqv21duzpojha">
        <w:r>
          <w:rPr>
            <w:rStyle w:val="Hyperlink"/>
            <w:sz w:val="24"/>
            <w:szCs w:val="24"/>
          </w:rPr>
          <w:t xml:space="preserve">Ardyan, P.A.N. (2025). Water Quality Analysis Using NDTI and TSS Parameters Based on Sentinel Image Data in Jakarta Bay Waters. Maritime Park.</w:t>
        </w:r>
      </w:hyperlink>
      <w:r>
        <w:rPr>
          <w:sz w:val="24"/>
          <w:szCs w:val="24"/>
        </w:rPr>
        <w:t xml:space="preserve"/>
      </w:r>
    </w:p>
    <w:p>
      <w:pPr>
        <w:spacing w:after="80" w:before="80"/>
      </w:pPr>
      <w:hyperlink w:history="1" r:id="rIdblkissbieqmgnd-durdan">
        <w:r>
          <w:rPr>
            <w:rStyle w:val="Hyperlink"/>
            <w:sz w:val="24"/>
            <w:szCs w:val="24"/>
          </w:rPr>
          <w:t xml:space="preserve">Balaniuk, R. et al. (2020). Mining and Tailings Dam Detection in Satellite Imagery Using Deep Learning. Sensors. [Anchor]</w:t>
        </w:r>
      </w:hyperlink>
      <w:r>
        <w:rPr>
          <w:sz w:val="24"/>
          <w:szCs w:val="24"/>
        </w:rPr>
        <w:t xml:space="preserve"/>
      </w:r>
    </w:p>
    <w:p>
      <w:pPr>
        <w:spacing w:after="80" w:before="80"/>
      </w:pPr>
      <w:hyperlink w:history="1" r:id="rIdplmrc1eofgfri2kln9ool">
        <w:r>
          <w:rPr>
            <w:rStyle w:val="Hyperlink"/>
            <w:sz w:val="24"/>
            <w:szCs w:val="24"/>
          </w:rPr>
          <w:t xml:space="preserve">Bawa, A. et al. (2025). Enhancing hydrological modeling of ungauged watersheds through machine learning and physical similarity-based regionalization. Environmental Modelling &amp; Software.</w:t>
        </w:r>
      </w:hyperlink>
      <w:r>
        <w:rPr>
          <w:sz w:val="24"/>
          <w:szCs w:val="24"/>
        </w:rPr>
        <w:t xml:space="preserve"/>
      </w:r>
    </w:p>
    <w:p>
      <w:pPr>
        <w:spacing w:after="80" w:before="80"/>
      </w:pPr>
      <w:hyperlink w:history="1" r:id="rIda9bdqxduk0rf32zzo4lcr">
        <w:r>
          <w:rPr>
            <w:rStyle w:val="Hyperlink"/>
            <w:sz w:val="24"/>
            <w:szCs w:val="24"/>
          </w:rPr>
          <w:t xml:space="preserve">Bebbington, A. et al. (2011). An Andean Avatar: Post-Neoliberal and Neoliberal Strategies for Securing the Unobtainable. New Political Economy.</w:t>
        </w:r>
      </w:hyperlink>
      <w:r>
        <w:rPr>
          <w:sz w:val="24"/>
          <w:szCs w:val="24"/>
        </w:rPr>
        <w:t xml:space="preserve"/>
      </w:r>
    </w:p>
    <w:p>
      <w:pPr>
        <w:spacing w:after="80" w:before="80"/>
      </w:pPr>
      <w:hyperlink w:history="1" r:id="rIdhihaa0uczwczebrlv6h04">
        <w:r>
          <w:rPr>
            <w:rStyle w:val="Hyperlink"/>
            <w:sz w:val="24"/>
            <w:szCs w:val="24"/>
          </w:rPr>
          <w:t xml:space="preserve">Bosch, N.S. et al. (2011). Application of the Soil and Water Assessment Tool for six watersheds of Lake Erie: Model parameterization. The Lancet / Water Resources.</w:t>
        </w:r>
      </w:hyperlink>
      <w:r>
        <w:rPr>
          <w:sz w:val="24"/>
          <w:szCs w:val="24"/>
        </w:rPr>
        <w:t xml:space="preserve"/>
      </w:r>
    </w:p>
    <w:p>
      <w:pPr>
        <w:spacing w:after="80" w:before="80"/>
      </w:pPr>
      <w:hyperlink w:history="1" r:id="rId1pzedgjoid3dgdqbvlshi">
        <w:r>
          <w:rPr>
            <w:rStyle w:val="Hyperlink"/>
            <w:sz w:val="24"/>
            <w:szCs w:val="24"/>
          </w:rPr>
          <w:t xml:space="preserve">Bueno de Mesquita, B. et al. (1985). Forecasting Political Events: The Future of Hong Kong. Yale University Press. [Anchor]</w:t>
        </w:r>
      </w:hyperlink>
      <w:r>
        <w:rPr>
          <w:sz w:val="24"/>
          <w:szCs w:val="24"/>
        </w:rPr>
        <w:t xml:space="preserve"/>
      </w:r>
    </w:p>
    <w:p>
      <w:pPr>
        <w:spacing w:after="80" w:before="80"/>
      </w:pPr>
      <w:hyperlink w:history="1" r:id="rIdt-ejdrcudpurkvibo0oed">
        <w:r>
          <w:rPr>
            <w:rStyle w:val="Hyperlink"/>
            <w:sz w:val="24"/>
            <w:szCs w:val="24"/>
          </w:rPr>
          <w:t xml:space="preserve">Chen, G. et al. (2015). Spatiotemporal patterns of tropical deforestation and forest degradation in response to the operation of the Tucuruí hydroelectric dam in the Amazon basin. Applied Geography.</w:t>
        </w:r>
      </w:hyperlink>
      <w:r>
        <w:rPr>
          <w:sz w:val="24"/>
          <w:szCs w:val="24"/>
        </w:rPr>
        <w:t xml:space="preserve"/>
      </w:r>
    </w:p>
    <w:p>
      <w:pPr>
        <w:spacing w:after="80" w:before="80"/>
      </w:pPr>
      <w:hyperlink w:history="1" r:id="rIded4jcubgd_zsd-vkmxoab">
        <w:r>
          <w:rPr>
            <w:rStyle w:val="Hyperlink"/>
            <w:sz w:val="24"/>
            <w:szCs w:val="24"/>
          </w:rPr>
          <w:t xml:space="preserve">Chen, S. et al. (2023). Physics-guided machine learning from simulated data with different physical parameters. Knowledge and Information Systems.</w:t>
        </w:r>
      </w:hyperlink>
      <w:r>
        <w:rPr>
          <w:sz w:val="24"/>
          <w:szCs w:val="24"/>
        </w:rPr>
        <w:t xml:space="preserve"/>
      </w:r>
    </w:p>
    <w:p>
      <w:pPr>
        <w:spacing w:after="80" w:before="80"/>
      </w:pPr>
      <w:hyperlink w:history="1" r:id="rIdwoxzgbszklox7nvziy2yu">
        <w:r>
          <w:rPr>
            <w:rStyle w:val="Hyperlink"/>
            <w:sz w:val="24"/>
            <w:szCs w:val="24"/>
          </w:rPr>
          <w:t xml:space="preserve">Crompton, O. et al. (2021). Deforestation-induced surface warming is influenced by the fragmentation and spatial extent of forest loss in Maritime Southeast Asia. Environmental Research Letters.</w:t>
        </w:r>
      </w:hyperlink>
      <w:r>
        <w:rPr>
          <w:sz w:val="24"/>
          <w:szCs w:val="24"/>
        </w:rPr>
        <w:t xml:space="preserve"/>
      </w:r>
    </w:p>
    <w:p>
      <w:pPr>
        <w:spacing w:after="80" w:before="80"/>
      </w:pPr>
      <w:hyperlink w:history="1" r:id="rIdm-pfqvcalir8ugtnp6arg">
        <w:r>
          <w:rPr>
            <w:rStyle w:val="Hyperlink"/>
            <w:sz w:val="24"/>
            <w:szCs w:val="24"/>
          </w:rPr>
          <w:t xml:space="preserve">Ermgassen, E.K.H.J. zu et al. (2024). Sustainable commodity sourcing requires measuring and governing land use change at multiple scales. Conservation Letters.</w:t>
        </w:r>
      </w:hyperlink>
      <w:r>
        <w:rPr>
          <w:sz w:val="24"/>
          <w:szCs w:val="24"/>
        </w:rPr>
        <w:t xml:space="preserve"/>
      </w:r>
    </w:p>
    <w:p>
      <w:pPr>
        <w:spacing w:after="80" w:before="80"/>
      </w:pPr>
      <w:hyperlink w:history="1" r:id="rIdsgf4yiyua4pfm-aoj8ckn">
        <w:r>
          <w:rPr>
            <w:rStyle w:val="Hyperlink"/>
            <w:sz w:val="24"/>
            <w:szCs w:val="24"/>
          </w:rPr>
          <w:t xml:space="preserve">Foody, G. (2003). Remote sensing of tropical forest environments: Towards the monitoring of environmental resources for sustainable development. International Journal of Remote Sensing.</w:t>
        </w:r>
      </w:hyperlink>
      <w:r>
        <w:rPr>
          <w:sz w:val="24"/>
          <w:szCs w:val="24"/>
        </w:rPr>
        <w:t xml:space="preserve"/>
      </w:r>
    </w:p>
    <w:p>
      <w:pPr>
        <w:spacing w:after="80" w:before="80"/>
      </w:pPr>
      <w:hyperlink w:history="1" r:id="rIdhi6slkdcxihx0dletjrbp">
        <w:r>
          <w:rPr>
            <w:rStyle w:val="Hyperlink"/>
            <w:sz w:val="24"/>
            <w:szCs w:val="24"/>
          </w:rPr>
          <w:t xml:space="preserve">Furlong, K. &amp; Gleditsch, N.P. et al. (2006). Geographic Opportunity and Neomalthusian Willingness: Boundaries, Shared Rivers, and Conflict. International Interactions. [Anchor]</w:t>
        </w:r>
      </w:hyperlink>
      <w:r>
        <w:rPr>
          <w:sz w:val="24"/>
          <w:szCs w:val="24"/>
        </w:rPr>
        <w:t xml:space="preserve"/>
      </w:r>
    </w:p>
    <w:p>
      <w:pPr>
        <w:spacing w:after="80" w:before="80"/>
      </w:pPr>
      <w:hyperlink w:history="1" r:id="rId-odjtxbr6vv68uckfktyi">
        <w:r>
          <w:rPr>
            <w:rStyle w:val="Hyperlink"/>
            <w:sz w:val="24"/>
            <w:szCs w:val="24"/>
          </w:rPr>
          <w:t xml:space="preserve">Gallwey, J. et al. (2020). A Sentinel-2 based multispectral convolutional neural network for detecting artisanal small-scale mining in Ghana: Applying deep learning to shallow mining. Remote Sensing of Environment. [Anchor]</w:t>
        </w:r>
      </w:hyperlink>
      <w:r>
        <w:rPr>
          <w:sz w:val="24"/>
          <w:szCs w:val="24"/>
        </w:rPr>
        <w:t xml:space="preserve"/>
      </w:r>
    </w:p>
    <w:p>
      <w:pPr>
        <w:spacing w:after="80" w:before="80"/>
      </w:pPr>
      <w:hyperlink w:history="1" r:id="rIdk5nhzskyjf0cu-xlqe_as">
        <w:r>
          <w:rPr>
            <w:rStyle w:val="Hyperlink"/>
            <w:sz w:val="24"/>
            <w:szCs w:val="24"/>
          </w:rPr>
          <w:t xml:space="preserve">Gleditsch, N.P. et al. (2009). IPCC and the climate-conflict nexus. IOP Conference Series: Earth and Environmental Science.</w:t>
        </w:r>
      </w:hyperlink>
      <w:r>
        <w:rPr>
          <w:sz w:val="24"/>
          <w:szCs w:val="24"/>
        </w:rPr>
        <w:t xml:space="preserve"/>
      </w:r>
    </w:p>
    <w:p>
      <w:pPr>
        <w:spacing w:after="80" w:before="80"/>
      </w:pPr>
      <w:hyperlink w:history="1" r:id="rIdkdlrgpxdf2lz2ecucvewp">
        <w:r>
          <w:rPr>
            <w:rStyle w:val="Hyperlink"/>
            <w:sz w:val="24"/>
            <w:szCs w:val="24"/>
          </w:rPr>
          <w:t xml:space="preserve">Godar, J. et al. (2014). Actor-specific contributions to the deforestation slowdown in the Brazilian Amazon. PNAS.</w:t>
        </w:r>
      </w:hyperlink>
      <w:r>
        <w:rPr>
          <w:sz w:val="24"/>
          <w:szCs w:val="24"/>
        </w:rPr>
        <w:t xml:space="preserve"/>
      </w:r>
    </w:p>
    <w:p>
      <w:pPr>
        <w:spacing w:after="80" w:before="80"/>
      </w:pPr>
      <w:hyperlink w:history="1" r:id="rIdxbak49ypxvj1xwbulhhal">
        <w:r>
          <w:rPr>
            <w:rStyle w:val="Hyperlink"/>
            <w:sz w:val="24"/>
            <w:szCs w:val="24"/>
          </w:rPr>
          <w:t xml:space="preserve">Himeur, Y. et al. (2022). Using artificial intelligence and data fusion for environmental monitoring: A review and future perspectives. Information Fusion.</w:t>
        </w:r>
      </w:hyperlink>
      <w:r>
        <w:rPr>
          <w:sz w:val="24"/>
          <w:szCs w:val="24"/>
        </w:rPr>
        <w:t xml:space="preserve"/>
      </w:r>
    </w:p>
    <w:p>
      <w:pPr>
        <w:spacing w:after="80" w:before="80"/>
      </w:pPr>
      <w:hyperlink w:history="1" r:id="rIderiiji2fwwxzhzh7bldqk">
        <w:r>
          <w:rPr>
            <w:rStyle w:val="Hyperlink"/>
            <w:sz w:val="24"/>
            <w:szCs w:val="24"/>
          </w:rPr>
          <w:t xml:space="preserve">Kazanskiy, N. et al. (2025). A Comprehensive Review of Remote Sensing and Artificial Intelligence Integration. Sensors.</w:t>
        </w:r>
      </w:hyperlink>
      <w:r>
        <w:rPr>
          <w:sz w:val="24"/>
          <w:szCs w:val="24"/>
        </w:rPr>
        <w:t xml:space="preserve"/>
      </w:r>
    </w:p>
    <w:p>
      <w:pPr>
        <w:spacing w:after="80" w:before="80"/>
      </w:pPr>
      <w:hyperlink w:history="1" r:id="rIdgofx3qpa0ngrze2mhcmwo">
        <w:r>
          <w:rPr>
            <w:rStyle w:val="Hyperlink"/>
            <w:sz w:val="24"/>
            <w:szCs w:val="24"/>
          </w:rPr>
          <w:t xml:space="preserve">Khorshidi, M.S. et al. (2024). Integrating Agent-Based Modeling and Game Theory for Optimal Water Resource Allocation within Complex Hierarchical Systems. Journal of Cleaner Production.</w:t>
        </w:r>
      </w:hyperlink>
      <w:r>
        <w:rPr>
          <w:sz w:val="24"/>
          <w:szCs w:val="24"/>
        </w:rPr>
        <w:t xml:space="preserve"/>
      </w:r>
    </w:p>
    <w:p>
      <w:pPr>
        <w:spacing w:after="80" w:before="80"/>
      </w:pPr>
      <w:hyperlink w:history="1" r:id="rIduiahty9q96hoklxpkktf6">
        <w:r>
          <w:rPr>
            <w:rStyle w:val="Hyperlink"/>
            <w:sz w:val="24"/>
            <w:szCs w:val="24"/>
          </w:rPr>
          <w:t xml:space="preserve">Killick, E. et al. (2024). Introduction: Contesting Control: Indigenous Strategies towards Territorial Governance in Lowland South America. Bulletin of Latin American Research.</w:t>
        </w:r>
      </w:hyperlink>
      <w:r>
        <w:rPr>
          <w:sz w:val="24"/>
          <w:szCs w:val="24"/>
        </w:rPr>
        <w:t xml:space="preserve"/>
      </w:r>
    </w:p>
    <w:p>
      <w:pPr>
        <w:spacing w:after="80" w:before="80"/>
      </w:pPr>
      <w:hyperlink w:history="1" r:id="rIdm900cu11m8ioo2mpvc38c">
        <w:r>
          <w:rPr>
            <w:rStyle w:val="Hyperlink"/>
            <w:sz w:val="24"/>
            <w:szCs w:val="24"/>
          </w:rPr>
          <w:t xml:space="preserve">Lambin, E. &amp; Meyfroidt, P. et al. (2011). Global land use change, economic globalization, and the looming land scarcity. PNAS. [Anchor]</w:t>
        </w:r>
      </w:hyperlink>
      <w:r>
        <w:rPr>
          <w:sz w:val="24"/>
          <w:szCs w:val="24"/>
        </w:rPr>
        <w:t xml:space="preserve"/>
      </w:r>
    </w:p>
    <w:p>
      <w:pPr>
        <w:spacing w:after="80" w:before="80"/>
      </w:pPr>
      <w:hyperlink w:history="1" r:id="rId75ffl95hgznhfjstf97ly">
        <w:r>
          <w:rPr>
            <w:rStyle w:val="Hyperlink"/>
            <w:sz w:val="24"/>
            <w:szCs w:val="24"/>
          </w:rPr>
          <w:t xml:space="preserve">Lu, C.-M. et al. (2019). Assessment of Sediment Transport Functions with the Modified SWAT-Twn Model for a Taiwanese Small Mountainous Watershed. Water.</w:t>
        </w:r>
      </w:hyperlink>
      <w:r>
        <w:rPr>
          <w:sz w:val="24"/>
          <w:szCs w:val="24"/>
        </w:rPr>
        <w:t xml:space="preserve"/>
      </w:r>
    </w:p>
    <w:p>
      <w:pPr>
        <w:spacing w:after="80" w:before="80"/>
      </w:pPr>
      <w:hyperlink w:history="1" r:id="rIdquhdwjr3axspv3rksnezp">
        <w:r>
          <w:rPr>
            <w:rStyle w:val="Hyperlink"/>
            <w:sz w:val="24"/>
            <w:szCs w:val="24"/>
          </w:rPr>
          <w:t xml:space="preserve">Lu, D. et al. (2021). Streamflow simulation in data-scarce basins using Bayesian and physics-informed machine learning models. Journal of Hydrometeorology. [Anchor]</w:t>
        </w:r>
      </w:hyperlink>
      <w:r>
        <w:rPr>
          <w:sz w:val="24"/>
          <w:szCs w:val="24"/>
        </w:rPr>
        <w:t xml:space="preserve"/>
      </w:r>
    </w:p>
    <w:p>
      <w:pPr>
        <w:spacing w:after="80" w:before="80"/>
      </w:pPr>
      <w:hyperlink w:history="1" r:id="rIdwxg385ttluimrqqm8doau">
        <w:r>
          <w:rPr>
            <w:rStyle w:val="Hyperlink"/>
            <w:sz w:val="24"/>
            <w:szCs w:val="24"/>
          </w:rPr>
          <w:t xml:space="preserve">Marcus, M. et al. (2020). The Role of Parallel Trends in Event Study Settings: An Application to Environmental Economics. Journal of the Association of Environmental and Resource Economists.</w:t>
        </w:r>
      </w:hyperlink>
      <w:r>
        <w:rPr>
          <w:sz w:val="24"/>
          <w:szCs w:val="24"/>
        </w:rPr>
        <w:t xml:space="preserve"/>
      </w:r>
    </w:p>
    <w:p>
      <w:pPr>
        <w:spacing w:after="80" w:before="80"/>
      </w:pPr>
      <w:hyperlink w:history="1" r:id="rIdjcjqzdyekscc9e41041yx">
        <w:r>
          <w:rPr>
            <w:rStyle w:val="Hyperlink"/>
            <w:sz w:val="24"/>
            <w:szCs w:val="24"/>
          </w:rPr>
          <w:t xml:space="preserve">Mashala, M. et al. (2023). A Systematic Review on Advancements in Remote Sensing for Assessing and Monitoring Land Use and Land Cover Changes Impacts on Surface Water Resources in Semi-Arid Tropical Environments. Remote Sensing.</w:t>
        </w:r>
      </w:hyperlink>
      <w:r>
        <w:rPr>
          <w:sz w:val="24"/>
          <w:szCs w:val="24"/>
        </w:rPr>
        <w:t xml:space="preserve"/>
      </w:r>
    </w:p>
    <w:p>
      <w:pPr>
        <w:spacing w:after="80" w:before="80"/>
      </w:pPr>
      <w:hyperlink w:history="1" r:id="rIdi4fd-nbremlc6in3dj99i">
        <w:r>
          <w:rPr>
            <w:rStyle w:val="Hyperlink"/>
            <w:sz w:val="24"/>
            <w:szCs w:val="24"/>
          </w:rPr>
          <w:t xml:space="preserve">McKenna, P. et al. (2020). Remote Sensing of Mine Site Rehabilitation for Ecological Outcomes: A Global Systematic Review. Remote Sensing.</w:t>
        </w:r>
      </w:hyperlink>
      <w:r>
        <w:rPr>
          <w:sz w:val="24"/>
          <w:szCs w:val="24"/>
        </w:rPr>
        <w:t xml:space="preserve"/>
      </w:r>
    </w:p>
    <w:p>
      <w:pPr>
        <w:spacing w:after="80" w:before="80"/>
      </w:pPr>
      <w:hyperlink w:history="1" r:id="rId3yxavhco8tlib-9jzkf-p">
        <w:r>
          <w:rPr>
            <w:rStyle w:val="Hyperlink"/>
            <w:sz w:val="24"/>
            <w:szCs w:val="24"/>
          </w:rPr>
          <w:t xml:space="preserve">Meyfroidt, P. (2017). Trade-offs between environment and livelihoods: Bridging the global land use and food security discussions. AARN: Politics &amp; Land Use. [Anchor]</w:t>
        </w:r>
      </w:hyperlink>
      <w:r>
        <w:rPr>
          <w:sz w:val="24"/>
          <w:szCs w:val="24"/>
        </w:rPr>
        <w:t xml:space="preserve"/>
      </w:r>
    </w:p>
    <w:p>
      <w:pPr>
        <w:spacing w:after="80" w:before="80"/>
      </w:pPr>
      <w:hyperlink w:history="1" r:id="rIdldh_dhwymrdndpeinxjpj">
        <w:r>
          <w:rPr>
            <w:rStyle w:val="Hyperlink"/>
            <w:sz w:val="24"/>
            <w:szCs w:val="24"/>
          </w:rPr>
          <w:t xml:space="preserve">Mohle, E. (2021). Deciding over the territory governance of mining conflicts. The cases of andalgalá, in catamarca, and famatina, in La rioja, Argentina. Journal of Rural Studies.</w:t>
        </w:r>
      </w:hyperlink>
      <w:r>
        <w:rPr>
          <w:sz w:val="24"/>
          <w:szCs w:val="24"/>
        </w:rPr>
        <w:t xml:space="preserve"/>
      </w:r>
    </w:p>
    <w:p>
      <w:pPr>
        <w:spacing w:after="80" w:before="80"/>
      </w:pPr>
      <w:hyperlink w:history="1" r:id="rIdbyoc1vpt-wkmiw1aedc_x">
        <w:r>
          <w:rPr>
            <w:rStyle w:val="Hyperlink"/>
            <w:sz w:val="24"/>
            <w:szCs w:val="24"/>
          </w:rPr>
          <w:t xml:space="preserve">Nassif, A.B. et al. (2021). Machine Learning for Anomaly Detection: A Systematic Review. IEEE Access.</w:t>
        </w:r>
      </w:hyperlink>
      <w:r>
        <w:rPr>
          <w:sz w:val="24"/>
          <w:szCs w:val="24"/>
        </w:rPr>
        <w:t xml:space="preserve"/>
      </w:r>
    </w:p>
    <w:p>
      <w:pPr>
        <w:spacing w:after="80" w:before="80"/>
      </w:pPr>
      <w:hyperlink w:history="1" r:id="rIdiw3fcqsrk5mzafdahulms">
        <w:r>
          <w:rPr>
            <w:rStyle w:val="Hyperlink"/>
            <w:sz w:val="24"/>
            <w:szCs w:val="24"/>
          </w:rPr>
          <w:t xml:space="preserve">Prem, M. et al. (2020). End-of-conflict deforestation: Evidence from Colombia's peace agreement. World Development.</w:t>
        </w:r>
      </w:hyperlink>
      <w:r>
        <w:rPr>
          <w:sz w:val="24"/>
          <w:szCs w:val="24"/>
        </w:rPr>
        <w:t xml:space="preserve"/>
      </w:r>
    </w:p>
    <w:p>
      <w:pPr>
        <w:spacing w:after="80" w:before="80"/>
      </w:pPr>
      <w:hyperlink w:history="1" r:id="rId_amrjh2tcispvz3etj9at">
        <w:r>
          <w:rPr>
            <w:rStyle w:val="Hyperlink"/>
            <w:sz w:val="24"/>
            <w:szCs w:val="24"/>
          </w:rPr>
          <w:t xml:space="preserve">Prochazka, P. et al. (2023). Understanding the socio-economic causes of deforestation: a global perspective. Frontiers in Forests and Global Change.</w:t>
        </w:r>
      </w:hyperlink>
      <w:r>
        <w:rPr>
          <w:sz w:val="24"/>
          <w:szCs w:val="24"/>
        </w:rPr>
        <w:t xml:space="preserve"/>
      </w:r>
    </w:p>
    <w:p>
      <w:pPr>
        <w:spacing w:after="80" w:before="80"/>
      </w:pPr>
      <w:hyperlink w:history="1" r:id="rIdqzkfgpjkxzvsfmzbcek65">
        <w:r>
          <w:rPr>
            <w:rStyle w:val="Hyperlink"/>
            <w:sz w:val="24"/>
            <w:szCs w:val="24"/>
          </w:rPr>
          <w:t xml:space="preserve">Qi, J. et al. (2020). SWAT ungauged: Water quality modeling in the Upper Mississippi River Basin. Journal of Hydrology.</w:t>
        </w:r>
      </w:hyperlink>
      <w:r>
        <w:rPr>
          <w:sz w:val="24"/>
          <w:szCs w:val="24"/>
        </w:rPr>
        <w:t xml:space="preserve"/>
      </w:r>
    </w:p>
    <w:p>
      <w:pPr>
        <w:spacing w:after="80" w:before="80"/>
      </w:pPr>
      <w:hyperlink w:history="1" r:id="rIdy2-595jjtxb8plsbcvwbl">
        <w:r>
          <w:rPr>
            <w:rStyle w:val="Hyperlink"/>
            <w:sz w:val="24"/>
            <w:szCs w:val="24"/>
          </w:rPr>
          <w:t xml:space="preserve">Radhuber, I.M. et al. (2022). Contested Sovereignties: Indigenous disputes over plurinational resource governance. Environment and Planning E: Nature and Space.</w:t>
        </w:r>
      </w:hyperlink>
      <w:r>
        <w:rPr>
          <w:sz w:val="24"/>
          <w:szCs w:val="24"/>
        </w:rPr>
        <w:t xml:space="preserve"/>
      </w:r>
    </w:p>
    <w:p>
      <w:pPr>
        <w:spacing w:after="80" w:before="80"/>
      </w:pPr>
      <w:hyperlink w:history="1" r:id="rId0w1kn0tnqioxnckujzjl3">
        <w:r>
          <w:rPr>
            <w:rStyle w:val="Hyperlink"/>
            <w:sz w:val="24"/>
            <w:szCs w:val="24"/>
          </w:rPr>
          <w:t xml:space="preserve">Ren, P. et al. (2023). PhySR: Physics-informed deep super-resolution for spatiotemporal data. Journal of Computational Physics.</w:t>
        </w:r>
      </w:hyperlink>
      <w:r>
        <w:rPr>
          <w:sz w:val="24"/>
          <w:szCs w:val="24"/>
        </w:rPr>
        <w:t xml:space="preserve"/>
      </w:r>
    </w:p>
    <w:p>
      <w:pPr>
        <w:spacing w:after="80" w:before="80"/>
      </w:pPr>
      <w:hyperlink w:history="1" r:id="rId4ojskme3rqcrn9u0yeipe">
        <w:r>
          <w:rPr>
            <w:rStyle w:val="Hyperlink"/>
            <w:sz w:val="24"/>
            <w:szCs w:val="24"/>
          </w:rPr>
          <w:t xml:space="preserve">Sankaran, R. et al. (2023). Retrieval of suspended sediment concentration in the Arabian Gulf water of arid region by Sentinel-2 data. Science of the Total Environment.</w:t>
        </w:r>
      </w:hyperlink>
      <w:r>
        <w:rPr>
          <w:sz w:val="24"/>
          <w:szCs w:val="24"/>
        </w:rPr>
        <w:t xml:space="preserve"/>
      </w:r>
    </w:p>
    <w:p>
      <w:pPr>
        <w:spacing w:after="80" w:before="80"/>
      </w:pPr>
      <w:hyperlink w:history="1" r:id="rIdmjsjcvobki3mg-vjk5hza">
        <w:r>
          <w:rPr>
            <w:rStyle w:val="Hyperlink"/>
            <w:sz w:val="24"/>
            <w:szCs w:val="24"/>
          </w:rPr>
          <w:t xml:space="preserve">Shashidhara, S. et al. (2025). Illegal Mining Activity Detection Using Satellite Images. International Journal of Advanced Research in Science, Communication and Technology.</w:t>
        </w:r>
      </w:hyperlink>
      <w:r>
        <w:rPr>
          <w:sz w:val="24"/>
          <w:szCs w:val="24"/>
        </w:rPr>
        <w:t xml:space="preserve"/>
      </w:r>
    </w:p>
    <w:p>
      <w:pPr>
        <w:spacing w:after="80" w:before="80"/>
      </w:pPr>
      <w:hyperlink w:history="1" r:id="rIdfeh9h4u5xi3xt3okrwoik">
        <w:r>
          <w:rPr>
            <w:rStyle w:val="Hyperlink"/>
            <w:sz w:val="24"/>
            <w:szCs w:val="24"/>
          </w:rPr>
          <w:t xml:space="preserve">Shen, C. et al. (2023). Differentiable modelling to unify machine learning and physical models for geosciences. Nature Reviews Earth &amp; Environment.</w:t>
        </w:r>
      </w:hyperlink>
      <w:r>
        <w:rPr>
          <w:sz w:val="24"/>
          <w:szCs w:val="24"/>
        </w:rPr>
        <w:t xml:space="preserve"/>
      </w:r>
    </w:p>
    <w:p>
      <w:pPr>
        <w:spacing w:after="80" w:before="80"/>
      </w:pPr>
      <w:hyperlink w:history="1" r:id="rIdq_yjhna6e7jtkwmzh4mlb">
        <w:r>
          <w:rPr>
            <w:rStyle w:val="Hyperlink"/>
            <w:sz w:val="24"/>
            <w:szCs w:val="24"/>
          </w:rPr>
          <w:t xml:space="preserve">Shuai, G. et al. (2024). Comparison of Multiple Machine Learning Methods for Correcting Groundwater Levels Predicted by Physics-Based Models. Sustainability.</w:t>
        </w:r>
      </w:hyperlink>
      <w:r>
        <w:rPr>
          <w:sz w:val="24"/>
          <w:szCs w:val="24"/>
        </w:rPr>
        <w:t xml:space="preserve"/>
      </w:r>
    </w:p>
    <w:p>
      <w:pPr>
        <w:spacing w:after="80" w:before="80"/>
      </w:pPr>
      <w:hyperlink w:history="1" r:id="rIdrhinp1bfqybxdhbqa47uh">
        <w:r>
          <w:rPr>
            <w:rStyle w:val="Hyperlink"/>
            <w:sz w:val="24"/>
            <w:szCs w:val="24"/>
          </w:rPr>
          <w:t xml:space="preserve">Silva, M.P. et al. (2008). Remote-sensing image mining: detecting agents of land-use change in tropical forest areas. International Journal of Remote Sensing.</w:t>
        </w:r>
      </w:hyperlink>
      <w:r>
        <w:rPr>
          <w:sz w:val="24"/>
          <w:szCs w:val="24"/>
        </w:rPr>
        <w:t xml:space="preserve"/>
      </w:r>
    </w:p>
    <w:p>
      <w:pPr>
        <w:spacing w:after="80" w:before="80"/>
      </w:pPr>
      <w:hyperlink w:history="1" r:id="rIduj4ydqbzocwiscnryuf9z">
        <w:r>
          <w:rPr>
            <w:rStyle w:val="Hyperlink"/>
            <w:sz w:val="24"/>
            <w:szCs w:val="24"/>
          </w:rPr>
          <w:t xml:space="preserve">Smith, L. (2019). Governing extractive industries: Politics, histories, ideas. African Affairs.</w:t>
        </w:r>
      </w:hyperlink>
      <w:r>
        <w:rPr>
          <w:sz w:val="24"/>
          <w:szCs w:val="24"/>
        </w:rPr>
        <w:t xml:space="preserve"/>
      </w:r>
    </w:p>
    <w:p>
      <w:pPr>
        <w:spacing w:after="80" w:before="80"/>
      </w:pPr>
      <w:hyperlink w:history="1" r:id="rIdmkrhcw41aqn4ahocmjeow">
        <w:r>
          <w:rPr>
            <w:rStyle w:val="Hyperlink"/>
            <w:sz w:val="24"/>
            <w:szCs w:val="24"/>
          </w:rPr>
          <w:t xml:space="preserve">Usmanov, B. et al. (2021). Automated detection of illegal nonmetallic minerals mining places according to Sentinel-2 data.</w:t>
        </w:r>
      </w:hyperlink>
      <w:r>
        <w:rPr>
          <w:sz w:val="24"/>
          <w:szCs w:val="24"/>
        </w:rPr>
        <w:t xml:space="preserve"/>
      </w:r>
    </w:p>
    <w:p>
      <w:pPr>
        <w:spacing w:after="80" w:before="80"/>
      </w:pPr>
      <w:hyperlink w:history="1" r:id="rIdd-hqvrjeaq61lgy5ikvq3">
        <w:r>
          <w:rPr>
            <w:rStyle w:val="Hyperlink"/>
            <w:sz w:val="24"/>
            <w:szCs w:val="24"/>
          </w:rPr>
          <w:t xml:space="preserve">Verma, S. et al. (2015). Climate Change Impacts on Flow, Sediment and Nutrient Export in a Great Lakes Watershed Using SWAT. Clean — Soil, Air, Water.</w:t>
        </w:r>
      </w:hyperlink>
      <w:r>
        <w:rPr>
          <w:sz w:val="24"/>
          <w:szCs w:val="24"/>
        </w:rPr>
        <w:t xml:space="preserve"/>
      </w:r>
    </w:p>
    <w:p>
      <w:pPr>
        <w:spacing w:after="80" w:before="80"/>
      </w:pPr>
      <w:hyperlink w:history="1" r:id="rId0c_psgzfumr4onetlud0m">
        <w:r>
          <w:rPr>
            <w:rStyle w:val="Hyperlink"/>
            <w:sz w:val="24"/>
            <w:szCs w:val="24"/>
          </w:rPr>
          <w:t xml:space="preserve">Vithya, N. et al. (2025). Dominance Rule in Game Theory: Resolving the Cauvery River Basin Conflict Through Strategic Equilibria. IJRASET.</w:t>
        </w:r>
      </w:hyperlink>
      <w:r>
        <w:rPr>
          <w:sz w:val="24"/>
          <w:szCs w:val="24"/>
        </w:rPr>
        <w:t xml:space="preserve"/>
      </w:r>
    </w:p>
    <w:p>
      <w:pPr>
        <w:spacing w:after="80" w:before="80"/>
      </w:pPr>
      <w:hyperlink w:history="1" r:id="rIdfokcu9ewweexvj3qtmxyk">
        <w:r>
          <w:rPr>
            <w:rStyle w:val="Hyperlink"/>
            <w:sz w:val="24"/>
            <w:szCs w:val="24"/>
          </w:rPr>
          <w:t xml:space="preserve">Wang, C. et al. (2024). Distributed Hydrological Modeling With Physics-Encoded Deep Learning: A General Framework and Its Application in the Amazon. Water Resources Research.</w:t>
        </w:r>
      </w:hyperlink>
      <w:r>
        <w:rPr>
          <w:sz w:val="24"/>
          <w:szCs w:val="24"/>
        </w:rPr>
        <w:t xml:space="preserve"/>
      </w:r>
    </w:p>
    <w:p>
      <w:pPr>
        <w:spacing w:after="80" w:before="80"/>
      </w:pPr>
      <w:hyperlink w:history="1" r:id="rIdy9xq7yx-rpqojbhxva5uh">
        <w:r>
          <w:rPr>
            <w:rStyle w:val="Hyperlink"/>
            <w:sz w:val="24"/>
            <w:szCs w:val="24"/>
          </w:rPr>
          <w:t xml:space="preserve">Willard, J. et al. (2020). Integrating Scientific Knowledge with Machine Learning for Engineering and Environmental Systems. ACM Computing Surveys.</w:t>
        </w:r>
      </w:hyperlink>
      <w:r>
        <w:rPr>
          <w:sz w:val="24"/>
          <w:szCs w:val="24"/>
        </w:rPr>
        <w:t xml:space="preserve"/>
      </w:r>
    </w:p>
    <w:p>
      <w:pPr>
        <w:spacing w:after="80" w:before="80"/>
      </w:pPr>
      <w:hyperlink w:history="1" r:id="rIdnhf_t8d1odzdvkthcgz4k">
        <w:r>
          <w:rPr>
            <w:rStyle w:val="Hyperlink"/>
            <w:sz w:val="24"/>
            <w:szCs w:val="24"/>
          </w:rPr>
          <w:t xml:space="preserve">Xu, W. et al. (2024). Coupling Deep Learning and Physically Based Hydrological Models for Monthly Streamflow Predictions. Water Resources Research.</w:t>
        </w:r>
      </w:hyperlink>
      <w:r>
        <w:rPr>
          <w:sz w:val="24"/>
          <w:szCs w:val="24"/>
        </w:rPr>
        <w:t xml:space="preserve"/>
      </w:r>
    </w:p>
    <w:p>
      <w:pPr>
        <w:spacing w:after="80" w:before="80"/>
      </w:pPr>
      <w:hyperlink w:history="1" r:id="rIdy0biiy4optkhbqfg6au7g">
        <w:r>
          <w:rPr>
            <w:rStyle w:val="Hyperlink"/>
            <w:sz w:val="24"/>
            <w:szCs w:val="24"/>
          </w:rPr>
          <w:t xml:space="preserve">Zhao, Y. et al. (2024). Physics-enhanced machine learning models for streamflow discharge forecasting. Journal of Hydroinformatics.</w:t>
        </w:r>
      </w:hyperlink>
      <w:r>
        <w:rPr>
          <w:sz w:val="24"/>
          <w:szCs w:val="24"/>
        </w:rPr>
        <w:t xml:space="preserve"/>
      </w:r>
    </w:p>
    <w:p>
      <w:pPr>
        <w:pStyle w:val="Heading1"/>
        <w:spacing w:after="200" w:before="400"/>
      </w:pPr>
      <w:r>
        <w:t xml:space="preserve">8. Audit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4B5" w:color="FFFFFF" w:val="clear"/>
          </w:tcPr>
          <w:p>
            <w:pPr>
              <w:spacing w:after="60" w:before="60"/>
            </w:pPr>
            <w:r>
              <w:rPr>
                <w:b/>
                <w:bCs/>
                <w:sz w:val="20"/>
                <w:szCs w:val="20"/>
              </w:rPr>
              <w:t xml:space="preserve">Metric</w:t>
            </w:r>
          </w:p>
        </w:tc>
        <w:tc>
          <w:tcPr>
            <w:shd w:fill="2E74B5" w:color="FFFFFF" w:val="clear"/>
          </w:tcPr>
          <w:p>
            <w:pPr>
              <w:spacing w:after="60" w:before="60"/>
            </w:pPr>
            <w:r>
              <w:rPr>
                <w:b/>
                <w:bCs/>
                <w:sz w:val="20"/>
                <w:szCs w:val="20"/>
              </w:rPr>
              <w:t xml:space="preserve">Value</w:t>
            </w:r>
          </w:p>
        </w:tc>
      </w:tr>
      <w:tr>
        <w:tc>
          <w:p>
            <w:pPr>
              <w:spacing w:after="60" w:before="60"/>
            </w:pPr>
            <w:r>
              <w:rPr>
                <w:sz w:val="20"/>
                <w:szCs w:val="20"/>
              </w:rPr>
              <w:t xml:space="preserve">Searches executed</w:t>
            </w:r>
          </w:p>
        </w:tc>
        <w:tc>
          <w:p>
            <w:pPr>
              <w:spacing w:after="60" w:before="60"/>
            </w:pPr>
            <w:r>
              <w:rPr>
                <w:sz w:val="20"/>
                <w:szCs w:val="20"/>
              </w:rPr>
              <w:t xml:space="preserve">19 (1 reconnaissance + 7 seed + 1 connection test + 10 Phase 3)</w:t>
            </w:r>
          </w:p>
        </w:tc>
      </w:tr>
      <w:tr>
        <w:tc>
          <w:p>
            <w:pPr>
              <w:spacing w:after="60" w:before="60"/>
            </w:pPr>
            <w:r>
              <w:rPr>
                <w:sz w:val="20"/>
                <w:szCs w:val="20"/>
              </w:rPr>
              <w:t xml:space="preserve">Searches successful</w:t>
            </w:r>
          </w:p>
        </w:tc>
        <w:tc>
          <w:p>
            <w:pPr>
              <w:spacing w:after="60" w:before="60"/>
            </w:pPr>
            <w:r>
              <w:rPr>
                <w:sz w:val="20"/>
                <w:szCs w:val="20"/>
              </w:rPr>
              <w:t xml:space="preserve">19</w:t>
            </w:r>
          </w:p>
        </w:tc>
      </w:tr>
      <w:tr>
        <w:tc>
          <w:p>
            <w:pPr>
              <w:spacing w:after="60" w:before="60"/>
            </w:pPr>
            <w:r>
              <w:rPr>
                <w:sz w:val="20"/>
                <w:szCs w:val="20"/>
              </w:rPr>
              <w:t xml:space="preserve">Searches failed</w:t>
            </w:r>
          </w:p>
        </w:tc>
        <w:tc>
          <w:p>
            <w:pPr>
              <w:spacing w:after="60" w:before="60"/>
            </w:pPr>
            <w:r>
              <w:rPr>
                <w:sz w:val="20"/>
                <w:szCs w:val="20"/>
              </w:rPr>
              <w:t xml:space="preserve">0</w:t>
            </w:r>
          </w:p>
        </w:tc>
      </w:tr>
      <w:tr>
        <w:tc>
          <w:p>
            <w:pPr>
              <w:spacing w:after="60" w:before="60"/>
            </w:pPr>
            <w:r>
              <w:rPr>
                <w:sz w:val="20"/>
                <w:szCs w:val="20"/>
              </w:rPr>
              <w:t xml:space="preserve">Unique papers received (Consensus)</w:t>
            </w:r>
          </w:p>
        </w:tc>
        <w:tc>
          <w:p>
            <w:pPr>
              <w:spacing w:after="60" w:before="60"/>
            </w:pPr>
            <w:r>
              <w:rPr>
                <w:sz w:val="20"/>
                <w:szCs w:val="20"/>
              </w:rPr>
              <w:t xml:space="preserve">~49 (after deduplication)</w:t>
            </w:r>
          </w:p>
        </w:tc>
      </w:tr>
      <w:tr>
        <w:tc>
          <w:p>
            <w:pPr>
              <w:spacing w:after="60" w:before="60"/>
            </w:pPr>
            <w:r>
              <w:rPr>
                <w:sz w:val="20"/>
                <w:szCs w:val="20"/>
              </w:rPr>
              <w:t xml:space="preserve">Papers cited in document</w:t>
            </w:r>
          </w:p>
        </w:tc>
        <w:tc>
          <w:p>
            <w:pPr>
              <w:spacing w:after="60" w:before="60"/>
            </w:pPr>
            <w:r>
              <w:rPr>
                <w:sz w:val="20"/>
                <w:szCs w:val="20"/>
              </w:rPr>
              <w:t xml:space="preserve">46</w:t>
            </w:r>
          </w:p>
        </w:tc>
      </w:tr>
      <w:tr>
        <w:tc>
          <w:p>
            <w:pPr>
              <w:spacing w:after="60" w:before="60"/>
            </w:pPr>
            <w:r>
              <w:rPr>
                <w:sz w:val="20"/>
                <w:szCs w:val="20"/>
              </w:rPr>
              <w:t xml:space="preserve">Consensus tier detected</w:t>
            </w:r>
          </w:p>
        </w:tc>
        <w:tc>
          <w:p>
            <w:pPr>
              <w:spacing w:after="60" w:before="60"/>
            </w:pPr>
            <w:r>
              <w:rPr>
                <w:sz w:val="20"/>
                <w:szCs w:val="20"/>
              </w:rPr>
              <w:t xml:space="preserve">Free / anonymous (3 results per search)</w:t>
            </w:r>
          </w:p>
        </w:tc>
      </w:tr>
      <w:tr>
        <w:tc>
          <w:p>
            <w:pPr>
              <w:spacing w:after="60" w:before="60"/>
            </w:pPr>
            <w:r>
              <w:rPr>
                <w:sz w:val="20"/>
                <w:szCs w:val="20"/>
              </w:rPr>
              <w:t xml:space="preserve">Coverage ceiling</w:t>
            </w:r>
          </w:p>
        </w:tc>
        <w:tc>
          <w:p>
            <w:pPr>
              <w:spacing w:after="60" w:before="60"/>
            </w:pPr>
            <w:r>
              <w:rPr>
                <w:sz w:val="20"/>
                <w:szCs w:val="20"/>
              </w:rPr>
              <w:t xml:space="preserve">~57 paper slots across 19 searches; ~49 unique after deduplication</w:t>
            </w:r>
          </w:p>
        </w:tc>
      </w:tr>
      <w:tr>
        <w:tc>
          <w:p>
            <w:pPr>
              <w:spacing w:after="60" w:before="60"/>
            </w:pPr>
            <w:r>
              <w:rPr>
                <w:sz w:val="20"/>
                <w:szCs w:val="20"/>
              </w:rPr>
              <w:t xml:space="preserve">Seed anchors requested</w:t>
            </w:r>
          </w:p>
        </w:tc>
        <w:tc>
          <w:p>
            <w:pPr>
              <w:spacing w:after="60" w:before="60"/>
            </w:pPr>
            <w:r>
              <w:rPr>
                <w:sz w:val="20"/>
                <w:szCs w:val="20"/>
              </w:rPr>
              <w:t xml:space="preserve">7</w:t>
            </w:r>
          </w:p>
        </w:tc>
      </w:tr>
      <w:tr>
        <w:tc>
          <w:p>
            <w:pPr>
              <w:spacing w:after="60" w:before="60"/>
            </w:pPr>
            <w:r>
              <w:rPr>
                <w:sz w:val="20"/>
                <w:szCs w:val="20"/>
              </w:rPr>
              <w:t xml:space="preserve">Seed anchors found on Consensus</w:t>
            </w:r>
          </w:p>
        </w:tc>
        <w:tc>
          <w:p>
            <w:pPr>
              <w:spacing w:after="60" w:before="60"/>
            </w:pPr>
            <w:r>
              <w:rPr>
                <w:sz w:val="20"/>
                <w:szCs w:val="20"/>
              </w:rPr>
              <w:t xml:space="preserve">7</w:t>
            </w:r>
          </w:p>
        </w:tc>
      </w:tr>
      <w:tr>
        <w:tc>
          <w:p>
            <w:pPr>
              <w:spacing w:after="60" w:before="60"/>
            </w:pPr>
            <w:r>
              <w:rPr>
                <w:sz w:val="20"/>
                <w:szCs w:val="20"/>
              </w:rPr>
              <w:t xml:space="preserve">Seed anchors included in document</w:t>
            </w:r>
          </w:p>
        </w:tc>
        <w:tc>
          <w:p>
            <w:pPr>
              <w:spacing w:after="60" w:before="60"/>
            </w:pPr>
            <w:r>
              <w:rPr>
                <w:sz w:val="20"/>
                <w:szCs w:val="20"/>
              </w:rPr>
              <w:t xml:space="preserve">7 (all appear in Section 2)</w:t>
            </w:r>
          </w:p>
        </w:tc>
      </w:tr>
      <w:tr>
        <w:tc>
          <w:p>
            <w:pPr>
              <w:spacing w:after="60" w:before="60"/>
            </w:pPr>
            <w:r>
              <w:rPr>
                <w:sz w:val="20"/>
                <w:szCs w:val="20"/>
              </w:rPr>
              <w:t xml:space="preserve">Nathan Pelletier search</w:t>
            </w:r>
          </w:p>
        </w:tc>
        <w:tc>
          <w:p>
            <w:pPr>
              <w:spacing w:after="60" w:before="60"/>
            </w:pPr>
            <w:r>
              <w:rPr>
                <w:sz w:val="20"/>
                <w:szCs w:val="20"/>
              </w:rPr>
              <w:t xml:space="preserve">No papers by Nathan Pelletier returned — SWAT papers by other authors substituted</w:t>
            </w:r>
          </w:p>
        </w:tc>
      </w:tr>
    </w:tbl>
    <w:p>
      <w:pPr>
        <w:spacing w:after="100" w:before="100"/>
      </w:pPr>
      <w:r>
        <w:rPr>
          <w:sz w:val="24"/>
          <w:szCs w:val="24"/>
        </w:rPr>
        <w:t xml:space="preserve"/>
      </w:r>
    </w:p>
    <w:p>
      <w:pPr>
        <w:pStyle w:val="Heading3"/>
        <w:spacing w:after="100" w:before="200"/>
      </w:pPr>
      <w:r>
        <w:t xml:space="preserve">Phase 3 Search Summary</w:t>
      </w:r>
    </w:p>
    <w:p>
      <w:pPr>
        <w:pStyle w:val="ListParagraph"/>
        <w:numPr>
          <w:ilvl w:val="0"/>
          <w:numId w:val="2"/>
        </w:numPr>
        <w:spacing w:after="60" w:before="60"/>
      </w:pPr>
      <w:r>
        <w:rPr>
          <w:sz w:val="24"/>
          <w:szCs w:val="24"/>
        </w:rPr>
        <w:t xml:space="preserve">Search 1: SWAT sediment transport ungauged basin calibration mining → Qi 2020, Bawa 2025, Lu-Twn 2019</w:t>
      </w:r>
    </w:p>
    <w:p>
      <w:pPr>
        <w:pStyle w:val="ListParagraph"/>
        <w:numPr>
          <w:ilvl w:val="0"/>
          <w:numId w:val="2"/>
        </w:numPr>
        <w:spacing w:after="60" w:before="60"/>
      </w:pPr>
      <w:r>
        <w:rPr>
          <w:sz w:val="24"/>
          <w:szCs w:val="24"/>
        </w:rPr>
        <w:t xml:space="preserve">Search 2: NDTI turbidity Sentinel-2 water quality mining sediment → Sankaran 2023, Ardyan 2025, Abel 2025</w:t>
      </w:r>
    </w:p>
    <w:p>
      <w:pPr>
        <w:pStyle w:val="ListParagraph"/>
        <w:numPr>
          <w:ilvl w:val="0"/>
          <w:numId w:val="2"/>
        </w:numPr>
        <w:spacing w:after="60" w:before="60"/>
      </w:pPr>
      <w:r>
        <w:rPr>
          <w:sz w:val="24"/>
          <w:szCs w:val="24"/>
        </w:rPr>
        <w:t xml:space="preserve">Search 3: Physics-guided ML residual correction XGBoost LSTM spatiotemporal → Shuai 2024, Ren 2023, Chen 2023</w:t>
      </w:r>
    </w:p>
    <w:p>
      <w:pPr>
        <w:pStyle w:val="ListParagraph"/>
        <w:numPr>
          <w:ilvl w:val="0"/>
          <w:numId w:val="2"/>
        </w:numPr>
        <w:spacing w:after="60" w:before="60"/>
      </w:pPr>
      <w:r>
        <w:rPr>
          <w:sz w:val="24"/>
          <w:szCs w:val="24"/>
        </w:rPr>
        <w:t xml:space="preserve">Search 4: Resource extraction conflict weak governance deforestation border → Prem 2020, Smith 2019, Bebbington 2011</w:t>
      </w:r>
    </w:p>
    <w:p>
      <w:pPr>
        <w:pStyle w:val="ListParagraph"/>
        <w:numPr>
          <w:ilvl w:val="0"/>
          <w:numId w:val="2"/>
        </w:numPr>
        <w:spacing w:after="60" w:before="60"/>
      </w:pPr>
      <w:r>
        <w:rPr>
          <w:sz w:val="24"/>
          <w:szCs w:val="24"/>
        </w:rPr>
        <w:t xml:space="preserve">Search 5: Difference-in-differences event study deforestation spatial panel → Marcus 2020, Crompton 2021, Prochazka 2023</w:t>
      </w:r>
    </w:p>
    <w:p>
      <w:pPr>
        <w:pStyle w:val="ListParagraph"/>
        <w:numPr>
          <w:ilvl w:val="0"/>
          <w:numId w:val="2"/>
        </w:numPr>
        <w:spacing w:after="60" w:before="60"/>
      </w:pPr>
      <w:r>
        <w:rPr>
          <w:sz w:val="24"/>
          <w:szCs w:val="24"/>
        </w:rPr>
        <w:t xml:space="preserve">Search 6: Game theory strategic resource extraction disputed territory → Aghmashhadi 2022, Khorshidi 2024, Vithya 2025</w:t>
      </w:r>
    </w:p>
    <w:p>
      <w:pPr>
        <w:pStyle w:val="ListParagraph"/>
        <w:numPr>
          <w:ilvl w:val="0"/>
          <w:numId w:val="2"/>
        </w:numPr>
        <w:spacing w:after="60" w:before="60"/>
      </w:pPr>
      <w:r>
        <w:rPr>
          <w:sz w:val="24"/>
          <w:szCs w:val="24"/>
        </w:rPr>
        <w:t xml:space="preserve">Search 7: Systematic review remote sensing mining deforestation → McKenna 2020, Mashala 2023, Silva 2008</w:t>
      </w:r>
    </w:p>
    <w:p>
      <w:pPr>
        <w:pStyle w:val="ListParagraph"/>
        <w:numPr>
          <w:ilvl w:val="0"/>
          <w:numId w:val="2"/>
        </w:numPr>
        <w:spacing w:after="60" w:before="60"/>
      </w:pPr>
      <w:r>
        <w:rPr>
          <w:sz w:val="24"/>
          <w:szCs w:val="24"/>
        </w:rPr>
        <w:t xml:space="preserve">Search 8: Review physics-informed ML environmental hydrology → Wang 2024, Shen 2023, Willard 2020</w:t>
      </w:r>
    </w:p>
    <w:p>
      <w:pPr>
        <w:pStyle w:val="ListParagraph"/>
        <w:numPr>
          <w:ilvl w:val="0"/>
          <w:numId w:val="2"/>
        </w:numPr>
        <w:spacing w:after="60" w:before="60"/>
      </w:pPr>
      <w:r>
        <w:rPr>
          <w:sz w:val="24"/>
          <w:szCs w:val="24"/>
        </w:rPr>
        <w:t xml:space="preserve">Search 9 (pre-2015): Remote sensing conflict mineral extraction Amazon → Godar 2014, Foody 2003, Chen 2015</w:t>
      </w:r>
    </w:p>
    <w:p>
      <w:pPr>
        <w:pStyle w:val="ListParagraph"/>
        <w:numPr>
          <w:ilvl w:val="0"/>
          <w:numId w:val="2"/>
        </w:numPr>
        <w:spacing w:after="60" w:before="60"/>
      </w:pPr>
      <w:r>
        <w:rPr>
          <w:sz w:val="24"/>
          <w:szCs w:val="24"/>
        </w:rPr>
        <w:t xml:space="preserve">Search 10 (post-2021): Hybrid ML satellite monitoring extractive industries → Kazanskiy 2025, Nassif 2021, Himeur 2022</w:t>
      </w:r>
    </w:p>
    <w:p>
      <w:pPr>
        <w:spacing w:after="100" w:before="100"/>
      </w:pPr>
      <w:r>
        <w:rPr>
          <w:sz w:val="24"/>
          <w:szCs w:val="24"/>
        </w:rPr>
        <w:t xml:space="preserve">Coverage note: Free tier limited each search to 3 results. Upgrading to Consensus Pro (20 results/search) would expand coverage to ~380 paper slots across 19 searches. The most underexplored sub-area is the intersection of game theory and remote sensing (Step 6) — the confirmed absence of papers is itself informative and should be reported in the proposal as evidence for Pre-declared Gap 5.</w:t>
      </w:r>
    </w:p>
    <w:p>
      <w:pPr>
        <w:spacing w:after="100" w:before="100"/>
      </w:pPr>
      <w:r>
        <w:rPr>
          <w:sz w:val="24"/>
          <w:szCs w:val="24"/>
        </w:rPr>
        <w:t xml:space="preserve">Tier note: Consensus returned 'showing top 3' for all searches despite a free account being connected during the session. The 3-result cap appears to apply to the Claude Code integration regardless of account status. Connecting Consensus Pro would be the most impactful upgrade for future review depth.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r1esojyeehqnv3ioujei" Type="http://schemas.openxmlformats.org/officeDocument/2006/relationships/hyperlink" Target="https://consensus.app/papers/details/81a68be9a0c15a76b63b76910daf89d9/?utm_source=claude_code" TargetMode="External"/><Relationship Id="rId19knm9i_k7owxltcdl__o" Type="http://schemas.openxmlformats.org/officeDocument/2006/relationships/hyperlink" Target="https://consensus.app/papers/details/57f9d89a6be45b95b67b7bf8e43299cc/?utm_source=claude_code" TargetMode="External"/><Relationship Id="rIdknaw2vbjrmrsij41mbjas" Type="http://schemas.openxmlformats.org/officeDocument/2006/relationships/hyperlink" Target="https://consensus.app/papers/details/6fda6793d62e56a3987335d6b8ad752a/?utm_source=claude_code" TargetMode="External"/><Relationship Id="rIdl_2m87inaq1havpnni49g" Type="http://schemas.openxmlformats.org/officeDocument/2006/relationships/hyperlink" Target="https://consensus.app/papers/details/b5e9946283165374bb9e3b19f65cc8f6/?utm_source=claude_code" TargetMode="External"/><Relationship Id="rId8i2xc3w2az6pt5xffis8u" Type="http://schemas.openxmlformats.org/officeDocument/2006/relationships/hyperlink" Target="https://consensus.app/papers/details/4f61b0018db159b0b7dcbd924712a018/?utm_source=claude_code" TargetMode="External"/><Relationship Id="rIdz-xrkqpvino3i6qmcachy" Type="http://schemas.openxmlformats.org/officeDocument/2006/relationships/hyperlink" Target="https://consensus.app/papers/details/67c6fc8770525c11baabdd41cacc2383/?utm_source=claude_code" TargetMode="External"/><Relationship Id="rIdkeal4lvxlmq10h86watlm" Type="http://schemas.openxmlformats.org/officeDocument/2006/relationships/hyperlink" Target="https://consensus.app/papers/details/c9d678c0db1052ce820b886cf6c17819/?utm_source=claude_code" TargetMode="External"/><Relationship Id="rIdgq8p-quqicuaukvxj4y57" Type="http://schemas.openxmlformats.org/officeDocument/2006/relationships/hyperlink" Target="https://consensus.app/papers/details/2756fe3ff0105abfa61fe7ef54d6d132/?utm_source=claude_code" TargetMode="External"/><Relationship Id="rIdv0m_fwwvqdtw9bcn_ooa1" Type="http://schemas.openxmlformats.org/officeDocument/2006/relationships/hyperlink" Target="https://consensus.app/papers/details/be29f0c59d0b5649a8fdbb8315521b97/?utm_source=claude_code" TargetMode="External"/><Relationship Id="rIdoiqh5ak6eyvnlkxir4bsq" Type="http://schemas.openxmlformats.org/officeDocument/2006/relationships/hyperlink" Target="https://consensus.app/papers/details/9cc1fb57c351500e885dc1c960a0704d/?utm_source=claude_code" TargetMode="External"/><Relationship Id="rIdoueym4p84t3proeibtor1" Type="http://schemas.openxmlformats.org/officeDocument/2006/relationships/hyperlink" Target="https://consensus.app/papers/details/6fda6793d62e56a3987335d6b8ad752a/?utm_source=claude_code" TargetMode="External"/><Relationship Id="rIdmae2qssmsofscmqd3gpz0" Type="http://schemas.openxmlformats.org/officeDocument/2006/relationships/hyperlink" Target="https://consensus.app/papers/details/4f61b0018db159b0b7dcbd924712a018/?utm_source=claude_code" TargetMode="External"/><Relationship Id="rIdofyhybnxlewkwuzk8kxyo" Type="http://schemas.openxmlformats.org/officeDocument/2006/relationships/hyperlink" Target="https://consensus.app/papers/details/86d9de7ab9f25ae5b486da6a330cded3/?utm_source=claude_code" TargetMode="External"/><Relationship Id="rIdvtuxbhcuo86w5cus_n0fv" Type="http://schemas.openxmlformats.org/officeDocument/2006/relationships/hyperlink" Target="https://consensus.app/papers/details/2780c013684454fba5f61c2a38348186/?utm_source=claude_code" TargetMode="External"/><Relationship Id="rIdoknp60uqmt23ahymbrz2j" Type="http://schemas.openxmlformats.org/officeDocument/2006/relationships/hyperlink" Target="https://consensus.app/papers/details/81a68be9a0c15a76b63b76910daf89d9/?utm_source=claude_code" TargetMode="External"/><Relationship Id="rIdswg98pmrgltqqvimkky4u" Type="http://schemas.openxmlformats.org/officeDocument/2006/relationships/hyperlink" Target="https://consensus.app/papers/details/47e78cfecf5257a58908d7d599aa56a0/?utm_source=claude_code" TargetMode="External"/><Relationship Id="rIdxjmramwjkzw37cjo672pq" Type="http://schemas.openxmlformats.org/officeDocument/2006/relationships/hyperlink" Target="https://consensus.app/papers/details/ad8ddc25de0d5ef2b6c6c67d3e95da5f/?utm_source=claude_code" TargetMode="External"/><Relationship Id="rIdsmsh-bcxtyqp92ka_jpfg" Type="http://schemas.openxmlformats.org/officeDocument/2006/relationships/hyperlink" Target="https://consensus.app/papers/details/00c6128bc1ac5254beaccf21dd0ebd58/?utm_source=claude_code" TargetMode="External"/><Relationship Id="rIdrcsgr9njrvillw7suxyvq" Type="http://schemas.openxmlformats.org/officeDocument/2006/relationships/hyperlink" Target="https://consensus.app/papers/details/e8cefa4bf39150549f0e3fe2b101d076/?utm_source=claude_code" TargetMode="External"/><Relationship Id="rIdxlhn9s1jmmhr1rj4p4m-r" Type="http://schemas.openxmlformats.org/officeDocument/2006/relationships/hyperlink" Target="https://consensus.app/papers/details/75ec7fcb43c25ec0bbf0523458212779/?utm_source=claude_code" TargetMode="External"/><Relationship Id="rIdcplkmcbc2pqkqnmxgmujx" Type="http://schemas.openxmlformats.org/officeDocument/2006/relationships/hyperlink" Target="https://consensus.app/papers/details/ddaa703846a65edabfde8ae0c1599f3e/?utm_source=claude_code" TargetMode="External"/><Relationship Id="rIdemnav5bjxl4uhaxri7srm" Type="http://schemas.openxmlformats.org/officeDocument/2006/relationships/hyperlink" Target="https://consensus.app/papers/details/e6da3e18eecf5d9c98c76bd129983c2a/?utm_source=claude_code" TargetMode="External"/><Relationship Id="rIdi_1-8avhfrygayr7kzbre" Type="http://schemas.openxmlformats.org/officeDocument/2006/relationships/hyperlink" Target="https://consensus.app/papers/details/152b68c80f825ec9b3a40dad3968e94d/?utm_source=claude_code" TargetMode="External"/><Relationship Id="rIdqqm9an4lkowkqzyv-fp3v" Type="http://schemas.openxmlformats.org/officeDocument/2006/relationships/hyperlink" Target="https://consensus.app/papers/details/a5f22c02f87e50f19c14f543a63c2a7e/?utm_source=claude_code" TargetMode="External"/><Relationship Id="rIdiselna_evz76do7bdufxf" Type="http://schemas.openxmlformats.org/officeDocument/2006/relationships/hyperlink" Target="https://consensus.app/papers/details/d944dd5ce3ab5b2a984b4a11d4adcd67/?utm_source=claude_code" TargetMode="External"/><Relationship Id="rIdzxvp5ewnzs9g5ahl9it9o" Type="http://schemas.openxmlformats.org/officeDocument/2006/relationships/hyperlink" Target="https://consensus.app/papers/details/a57c3813392a5d12af56fc85c56bda33/?utm_source=claude_code" TargetMode="External"/><Relationship Id="rIdgsv7texczp433skz4s_zb" Type="http://schemas.openxmlformats.org/officeDocument/2006/relationships/hyperlink" Target="https://consensus.app/papers/details/19cd1187fc005f25b5a506ecab7087b1/?utm_source=claude_code" TargetMode="External"/><Relationship Id="rIdkdly6opt628bbcjmn8k4i" Type="http://schemas.openxmlformats.org/officeDocument/2006/relationships/hyperlink" Target="https://consensus.app/papers/details/b8a95fc6472558df8f211fcc85d98b3b/?utm_source=claude_code" TargetMode="External"/><Relationship Id="rIdrn6l5t4udv3nf5rqedegq" Type="http://schemas.openxmlformats.org/officeDocument/2006/relationships/hyperlink" Target="https://consensus.app/papers/details/19cd1187fc005f25b5a506ecab7087b1/?utm_source=claude_code" TargetMode="External"/><Relationship Id="rIdkl16rm0bqqv21duzpojha" Type="http://schemas.openxmlformats.org/officeDocument/2006/relationships/hyperlink" Target="https://consensus.app/papers/details/3ba2d9dfc8835c479e1a3725dcc43cbc/?utm_source=claude_code" TargetMode="External"/><Relationship Id="rIdblkissbieqmgnd-durdan" Type="http://schemas.openxmlformats.org/officeDocument/2006/relationships/hyperlink" Target="https://consensus.app/papers/details/4f61b0018db159b0b7dcbd924712a018/?utm_source=claude_code" TargetMode="External"/><Relationship Id="rIdplmrc1eofgfri2kln9ool" Type="http://schemas.openxmlformats.org/officeDocument/2006/relationships/hyperlink" Target="https://consensus.app/papers/details/be29f0c59d0b5649a8fdbb8315521b97/?utm_source=claude_code" TargetMode="External"/><Relationship Id="rIda9bdqxduk0rf32zzo4lcr" Type="http://schemas.openxmlformats.org/officeDocument/2006/relationships/hyperlink" Target="https://consensus.app/papers/details/75ec7fcb43c25ec0bbf0523458212779/?utm_source=claude_code" TargetMode="External"/><Relationship Id="rIdhihaa0uczwczebrlv6h04" Type="http://schemas.openxmlformats.org/officeDocument/2006/relationships/hyperlink" Target="https://consensus.app/papers/details/9cc1fb57c351500e885dc1c960a0704d/?utm_source=claude_code" TargetMode="External"/><Relationship Id="rId1pzedgjoid3dgdqbvlshi" Type="http://schemas.openxmlformats.org/officeDocument/2006/relationships/hyperlink" Target="https://consensus.app/papers/details/c9d678c0db1052ce820b886cf6c17819/?utm_source=claude_code" TargetMode="External"/><Relationship Id="rIdt-ejdrcudpurkvibo0oed" Type="http://schemas.openxmlformats.org/officeDocument/2006/relationships/hyperlink" Target="https://consensus.app/papers/details/ec2f121e21015e80918e63afd4908020/?utm_source=claude_code" TargetMode="External"/><Relationship Id="rIded4jcubgd_zsd-vkmxoab" Type="http://schemas.openxmlformats.org/officeDocument/2006/relationships/hyperlink" Target="https://consensus.app/papers/details/130d37845e605b75a56a406750a48984/?utm_source=claude_code" TargetMode="External"/><Relationship Id="rIdwoxzgbszklox7nvziy2yu" Type="http://schemas.openxmlformats.org/officeDocument/2006/relationships/hyperlink" Target="https://consensus.app/papers/details/a5f22c02f87e50f19c14f543a63c2a7e/?utm_source=claude_code" TargetMode="External"/><Relationship Id="rIdm-pfqvcalir8ugtnp6arg" Type="http://schemas.openxmlformats.org/officeDocument/2006/relationships/hyperlink" Target="https://consensus.app/papers/details/31b6150792995041ad54d4c57a42c9d5/?utm_source=claude_code" TargetMode="External"/><Relationship Id="rIdsgf4yiyua4pfm-aoj8ckn" Type="http://schemas.openxmlformats.org/officeDocument/2006/relationships/hyperlink" Target="https://consensus.app/papers/details/a7c79a1f36f356fbab89069c0988a94b/?utm_source=claude_code" TargetMode="External"/><Relationship Id="rIdhi6slkdcxihx0dletjrbp" Type="http://schemas.openxmlformats.org/officeDocument/2006/relationships/hyperlink" Target="https://consensus.app/papers/details/67c6fc8770525c11baabdd41cacc2383/?utm_source=claude_code" TargetMode="External"/><Relationship Id="rId-odjtxbr6vv68uckfktyi" Type="http://schemas.openxmlformats.org/officeDocument/2006/relationships/hyperlink" Target="https://consensus.app/papers/details/6fda6793d62e56a3987335d6b8ad752a/?utm_source=claude_code" TargetMode="External"/><Relationship Id="rIdk5nhzskyjf0cu-xlqe_as" Type="http://schemas.openxmlformats.org/officeDocument/2006/relationships/hyperlink" Target="https://consensus.app/papers/details/9ae531f65a7d56ad84eaab88ff0c1281/?utm_source=claude_code" TargetMode="External"/><Relationship Id="rIdkdlrgpxdf2lz2ecucvewp" Type="http://schemas.openxmlformats.org/officeDocument/2006/relationships/hyperlink" Target="https://consensus.app/papers/details/152b68c80f825ec9b3a40dad3968e94d/?utm_source=claude_code" TargetMode="External"/><Relationship Id="rIdxbak49ypxvj1xwbulhhal" Type="http://schemas.openxmlformats.org/officeDocument/2006/relationships/hyperlink" Target="https://consensus.app/papers/details/b8698a202ffc541fbb84bf7b91063f30/?utm_source=claude_code" TargetMode="External"/><Relationship Id="rIderiiji2fwwxzhzh7bldqk" Type="http://schemas.openxmlformats.org/officeDocument/2006/relationships/hyperlink" Target="https://consensus.app/papers/details/a91154894ee75ddc820d578e7d6fbf7e/?utm_source=claude_code" TargetMode="External"/><Relationship Id="rIdgofx3qpa0ngrze2mhcmwo" Type="http://schemas.openxmlformats.org/officeDocument/2006/relationships/hyperlink" Target="https://consensus.app/papers/details/d944dd5ce3ab5b2a984b4a11d4adcd67/?utm_source=claude_code" TargetMode="External"/><Relationship Id="rIduiahty9q96hoklxpkktf6" Type="http://schemas.openxmlformats.org/officeDocument/2006/relationships/hyperlink" Target="https://consensus.app/papers/details/d487ff23679e5f2fbfca7f2d3818f07b/?utm_source=claude_code" TargetMode="External"/><Relationship Id="rIdm900cu11m8ioo2mpvc38c" Type="http://schemas.openxmlformats.org/officeDocument/2006/relationships/hyperlink" Target="https://consensus.app/papers/details/57f9d89a6be45b95b67b7bf8e43299cc/?utm_source=claude_code" TargetMode="External"/><Relationship Id="rId75ffl95hgznhfjstf97ly" Type="http://schemas.openxmlformats.org/officeDocument/2006/relationships/hyperlink" Target="https://consensus.app/papers/details/2db3c0b36f9757a98ed15634bb2aca5c/?utm_source=claude_code" TargetMode="External"/><Relationship Id="rIdquhdwjr3axspv3rksnezp" Type="http://schemas.openxmlformats.org/officeDocument/2006/relationships/hyperlink" Target="https://consensus.app/papers/details/b5e9946283165374bb9e3b19f65cc8f6/?utm_source=claude_code" TargetMode="External"/><Relationship Id="rIdwxg385ttluimrqqm8doau" Type="http://schemas.openxmlformats.org/officeDocument/2006/relationships/hyperlink" Target="https://consensus.app/papers/details/e6da3e18eecf5d9c98c76bd129983c2a/?utm_source=claude_code" TargetMode="External"/><Relationship Id="rIdjcjqzdyekscc9e41041yx" Type="http://schemas.openxmlformats.org/officeDocument/2006/relationships/hyperlink" Target="https://consensus.app/papers/details/c9283dd125935a998bb39f608ad42751/?utm_source=claude_code" TargetMode="External"/><Relationship Id="rIdi4fd-nbremlc6in3dj99i" Type="http://schemas.openxmlformats.org/officeDocument/2006/relationships/hyperlink" Target="https://consensus.app/papers/details/954122d633fb577caff32db08fb1efcc/?utm_source=claude_code" TargetMode="External"/><Relationship Id="rId3yxavhco8tlib-9jzkf-p" Type="http://schemas.openxmlformats.org/officeDocument/2006/relationships/hyperlink" Target="https://consensus.app/papers/details/ddaa703846a65edabfde8ae0c1599f3e/?utm_source=claude_code" TargetMode="External"/><Relationship Id="rIdldh_dhwymrdndpeinxjpj" Type="http://schemas.openxmlformats.org/officeDocument/2006/relationships/hyperlink" Target="https://consensus.app/papers/details/0c2d78c5c9ff57f4abc0dfc3e05dd700/?utm_source=claude_code" TargetMode="External"/><Relationship Id="rIdbyoc1vpt-wkmiw1aedc_x" Type="http://schemas.openxmlformats.org/officeDocument/2006/relationships/hyperlink" Target="https://consensus.app/papers/details/30b66281333858879be31e82f13d537d/?utm_source=claude_code" TargetMode="External"/><Relationship Id="rIdiw3fcqsrk5mzafdahulms" Type="http://schemas.openxmlformats.org/officeDocument/2006/relationships/hyperlink" Target="https://consensus.app/papers/details/e8cefa4bf39150549f0e3fe2b101d076/?utm_source=claude_code" TargetMode="External"/><Relationship Id="rId_amrjh2tcispvz3etj9at" Type="http://schemas.openxmlformats.org/officeDocument/2006/relationships/hyperlink" Target="https://consensus.app/papers/details/699da88fd300540290520579d6f04ceb/?utm_source=claude_code" TargetMode="External"/><Relationship Id="rIdqzkfgpjkxzvsfmzbcek65" Type="http://schemas.openxmlformats.org/officeDocument/2006/relationships/hyperlink" Target="https://consensus.app/papers/details/2756fe3ff0105abfa61fe7ef54d6d132/?utm_source=claude_code" TargetMode="External"/><Relationship Id="rIdy2-595jjtxb8plsbcvwbl" Type="http://schemas.openxmlformats.org/officeDocument/2006/relationships/hyperlink" Target="https://consensus.app/papers/details/eb877219f2a55876942abe36c422323e/?utm_source=claude_code" TargetMode="External"/><Relationship Id="rId0w1kn0tnqioxnckujzjl3" Type="http://schemas.openxmlformats.org/officeDocument/2006/relationships/hyperlink" Target="https://consensus.app/papers/details/bf17425a5df25b4ca93c1ec15ac3df3f/?utm_source=claude_code" TargetMode="External"/><Relationship Id="rId4ojskme3rqcrn9u0yeipe" Type="http://schemas.openxmlformats.org/officeDocument/2006/relationships/hyperlink" Target="https://consensus.app/papers/details/86d9de7ab9f25ae5b486da6a330cded3/?utm_source=claude_code" TargetMode="External"/><Relationship Id="rIdmjsjcvobki3mg-vjk5hza" Type="http://schemas.openxmlformats.org/officeDocument/2006/relationships/hyperlink" Target="https://consensus.app/papers/details/876fbd1d366f54bd87a41fc0f0e01072/?utm_source=claude_code" TargetMode="External"/><Relationship Id="rIdfeh9h4u5xi3xt3okrwoik" Type="http://schemas.openxmlformats.org/officeDocument/2006/relationships/hyperlink" Target="https://consensus.app/papers/details/47e78cfecf5257a58908d7d599aa56a0/?utm_source=claude_code" TargetMode="External"/><Relationship Id="rIdq_yjhna6e7jtkwmzh4mlb" Type="http://schemas.openxmlformats.org/officeDocument/2006/relationships/hyperlink" Target="https://consensus.app/papers/details/ad8ddc25de0d5ef2b6c6c67d3e95da5f/?utm_source=claude_code" TargetMode="External"/><Relationship Id="rIdrhinp1bfqybxdhbqa47uh" Type="http://schemas.openxmlformats.org/officeDocument/2006/relationships/hyperlink" Target="https://consensus.app/papers/details/96280c06d3ed54458733062b2efb0298/?utm_source=claude_code" TargetMode="External"/><Relationship Id="rIduj4ydqbzocwiscnryuf9z" Type="http://schemas.openxmlformats.org/officeDocument/2006/relationships/hyperlink" Target="https://consensus.app/papers/details/de6735a5263c534590e1c426d4138751/?utm_source=claude_code" TargetMode="External"/><Relationship Id="rIdmkrhcw41aqn4ahocmjeow" Type="http://schemas.openxmlformats.org/officeDocument/2006/relationships/hyperlink" Target="https://consensus.app/papers/details/2780c013684454fba5f61c2a38348186/?utm_source=claude_code" TargetMode="External"/><Relationship Id="rIdd-hqvrjeaq61lgy5ikvq3" Type="http://schemas.openxmlformats.org/officeDocument/2006/relationships/hyperlink" Target="https://consensus.app/papers/details/240f538eda885690b85a9b6d9655d8ac/?utm_source=claude_code" TargetMode="External"/><Relationship Id="rId0c_psgzfumr4onetlud0m" Type="http://schemas.openxmlformats.org/officeDocument/2006/relationships/hyperlink" Target="https://consensus.app/papers/details/a57c3813392a5d12af56fc85c56bda33/?utm_source=claude_code" TargetMode="External"/><Relationship Id="rIdfokcu9ewweexvj3qtmxyk" Type="http://schemas.openxmlformats.org/officeDocument/2006/relationships/hyperlink" Target="https://consensus.app/papers/details/00c6128bc1ac5254beaccf21dd0ebd58/?utm_source=claude_code" TargetMode="External"/><Relationship Id="rIdy9xq7yx-rpqojbhxva5uh" Type="http://schemas.openxmlformats.org/officeDocument/2006/relationships/hyperlink" Target="https://consensus.app/papers/details/81a68be9a0c15a76b63b76910daf89d9/?utm_source=claude_code" TargetMode="External"/><Relationship Id="rIdnhf_t8d1odzdvkthcgz4k" Type="http://schemas.openxmlformats.org/officeDocument/2006/relationships/hyperlink" Target="https://consensus.app/papers/details/394f9af43e05514ab3d1d4d47ec79bdb/?utm_source=claude_code" TargetMode="External"/><Relationship Id="rIdy0biiy4optkhbqfg6au7g" Type="http://schemas.openxmlformats.org/officeDocument/2006/relationships/hyperlink" Target="https://consensus.app/papers/details/5ee78c2c1a435596a1fd5a64bc2f89e9/?utm_source=claude_code" TargetMode="External"/><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2026-05-07T07:08:34.180Z</dcterms:created>
  <dcterms:modified xsi:type="dcterms:W3CDTF">2026-05-07T07:08:34.181Z</dcterms:modified>
</cp:coreProperties>
</file>

<file path=docProps/custom.xml><?xml version="1.0" encoding="utf-8"?>
<Properties xmlns="http://schemas.openxmlformats.org/officeDocument/2006/custom-properties" xmlns:vt="http://schemas.openxmlformats.org/officeDocument/2006/docPropsVTypes"/>
</file>