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360"/>
              <w:left w:type="dxa" w:w="400"/>
              <w:bottom w:type="dxa" w:w="360"/>
              <w:right w:type="dxa" w:w="400"/>
            </w:tcMar>
          </w:tcPr>
          <w:p>
            <w:pPr>
              <w:jc w:val="center"/>
            </w:pPr>
            <w:r>
              <w:rPr>
                <w:rFonts w:ascii="Arial" w:cs="Arial" w:eastAsia="Arial" w:hAnsi="Arial"/>
                <w:b/>
                <w:bCs/>
                <w:caps/>
                <w:color w:val="AECDE8"/>
                <w:sz w:val="20"/>
                <w:szCs w:val="20"/>
              </w:rPr>
              <w:t xml:space="preserve">RESEARCH PROPOSAL</w:t>
            </w:r>
          </w:p>
          <w:p>
            <w:pPr>
              <w:spacing w:before="120" w:after="120"/>
              <w:jc w:val="center"/>
            </w:pPr>
            <w:r>
              <w:rPr>
                <w:rFonts w:ascii="Arial" w:cs="Arial" w:eastAsia="Arial" w:hAnsi="Arial"/>
                <w:b/>
                <w:bCs/>
                <w:color w:val="FFFFFF"/>
                <w:sz w:val="36"/>
                <w:szCs w:val="36"/>
              </w:rPr>
              <w:t xml:space="preserve">Geopolitical Impunity and Extractive Activity:</w:t>
            </w:r>
          </w:p>
          <w:p>
            <w:pPr>
              <w:spacing w:after="160"/>
              <w:jc w:val="center"/>
            </w:pPr>
            <w:r>
              <w:rPr>
                <w:rFonts w:ascii="Arial" w:cs="Arial" w:eastAsia="Arial" w:hAnsi="Arial"/>
                <w:b w:val="false"/>
                <w:bCs w:val="false"/>
                <w:i/>
                <w:iCs/>
                <w:color w:val="C9E0F5"/>
                <w:sz w:val="28"/>
                <w:szCs w:val="28"/>
              </w:rPr>
              <w:t xml:space="preserve">A Hybrid Physics–ML Framework for Detecting Mining Anomalies in Disputed Territories</w:t>
            </w:r>
          </w:p>
          <w:p>
            <w:pPr>
              <w:jc w:val="center"/>
            </w:pPr>
            <w:r>
              <w:rPr>
                <w:rFonts w:ascii="Arial" w:cs="Arial" w:eastAsia="Arial" w:hAnsi="Arial"/>
                <w:color w:val="AECDE8"/>
                <w:sz w:val="19"/>
                <w:szCs w:val="19"/>
              </w:rPr>
              <w:t xml:space="preserve">PhD Research Proposal  |  Data Science &amp; Environmental Geopolitics</w:t>
            </w:r>
          </w:p>
        </w:tc>
      </w:tr>
    </w:tbl>
    <w:p>
      <w:pPr>
        <w:spacing w:after="160"/>
      </w:pPr>
      <w:r>
        <w:t xml:space="preserve"/>
      </w:r>
    </w:p>
    <w:p>
      <w:pPr>
        <w:pStyle w:val="Heading1"/>
        <w:pBdr>
          <w:bottom w:val="single" w:color="2E75B6" w:sz="6" w:space="6"/>
        </w:pBdr>
        <w:spacing w:before="360" w:after="120"/>
      </w:pPr>
      <w:r>
        <w:rPr>
          <w:rFonts w:ascii="Arial" w:cs="Arial" w:eastAsia="Arial" w:hAnsi="Arial"/>
          <w:b/>
          <w:bCs/>
          <w:color w:val="1F4E79"/>
          <w:sz w:val="30"/>
          <w:szCs w:val="30"/>
        </w:rPr>
        <w:t xml:space="preserve">Core Research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60"/>
              <w:left w:type="dxa" w:w="240"/>
              <w:bottom w:type="dxa" w:w="160"/>
              <w:right w:type="dxa" w:w="240"/>
            </w:tcMar>
          </w:tcPr>
          <w:p>
            <w:pPr>
              <w:spacing w:after="80"/>
            </w:pPr>
            <w:r>
              <w:rPr>
                <w:rFonts w:ascii="Arial" w:cs="Arial" w:eastAsia="Arial" w:hAnsi="Arial"/>
                <w:i/>
                <w:iCs/>
                <w:color w:val="222222"/>
                <w:sz w:val="22"/>
                <w:szCs w:val="22"/>
              </w:rPr>
              <w:t xml:space="preserve">Contested sovereignty creates enforcement vacuums that enable illegal extraction.</w:t>
            </w:r>
          </w:p>
          <w:p>
            <w:pPr>
              <w:spacing w:after="80"/>
            </w:pPr>
            <w:r>
              <w:rPr>
                <w:rFonts w:ascii="Arial" w:cs="Arial" w:eastAsia="Arial" w:hAnsi="Arial"/>
                <w:i/>
                <w:iCs/>
                <w:color w:val="222222"/>
                <w:sz w:val="22"/>
                <w:szCs w:val="22"/>
              </w:rPr>
              <w:t xml:space="preserve">We can detect and quantify this effect by combining a physical hydrological model</w:t>
            </w:r>
          </w:p>
          <w:p>
            <w:pPr>
              <w:spacing w:after="80"/>
            </w:pPr>
            <w:r>
              <w:rPr>
                <w:rFonts w:ascii="Arial" w:cs="Arial" w:eastAsia="Arial" w:hAnsi="Arial"/>
                <w:i/>
                <w:iCs/>
                <w:color w:val="222222"/>
                <w:sz w:val="22"/>
                <w:szCs w:val="22"/>
              </w:rPr>
              <w:t xml:space="preserve">with satellite observations — and using ML to learn what the physics alone cannot explain.</w:t>
            </w:r>
          </w:p>
          <w:p>
            <w:pPr>
              <w:spacing w:after="0"/>
            </w:pPr>
            <w:r>
              <w:rPr>
                <w:rFonts w:ascii="Arial" w:cs="Arial" w:eastAsia="Arial" w:hAnsi="Arial"/>
                <w:i/>
                <w:iCs/>
                <w:color w:val="222222"/>
                <w:sz w:val="22"/>
                <w:szCs w:val="22"/>
              </w:rPr>
              <w:t xml:space="preserve">The residual between physical prediction and observed reality is where geopolitics lives.</w:t>
            </w:r>
          </w:p>
        </w:tc>
      </w:tr>
    </w:tbl>
    <w:p>
      <w:pPr>
        <w:spacing w:after="160"/>
      </w:pPr>
      <w:r>
        <w:t xml:space="preserve"/>
      </w:r>
    </w:p>
    <w:p>
      <w:pPr>
        <w:pStyle w:val="Heading1"/>
        <w:pBdr>
          <w:bottom w:val="single" w:color="2E75B6" w:sz="6" w:space="6"/>
        </w:pBdr>
        <w:spacing w:before="360" w:after="120"/>
      </w:pPr>
      <w:r>
        <w:rPr>
          <w:rFonts w:ascii="Arial" w:cs="Arial" w:eastAsia="Arial" w:hAnsi="Arial"/>
          <w:b/>
          <w:bCs/>
          <w:color w:val="1F4E79"/>
          <w:sz w:val="30"/>
          <w:szCs w:val="30"/>
        </w:rPr>
        <w:t xml:space="preserve">Research Question</w:t>
      </w:r>
    </w:p>
    <w:p>
      <w:pPr>
        <w:spacing w:after="120"/>
      </w:pPr>
      <w:r>
        <w:rPr>
          <w:rFonts w:ascii="Arial" w:cs="Arial" w:eastAsia="Arial" w:hAnsi="Arial"/>
          <w:color w:val="222222"/>
          <w:sz w:val="22"/>
          <w:szCs w:val="22"/>
        </w:rPr>
        <w:t xml:space="preserve">Do territories with active sovereignty disputes exhibit systematic excess extractive activity — deforestation, mining, sediment pollution — beyond what natural hydrological and environmental conditions predict?</w:t>
      </w:r>
    </w:p>
    <w:p>
      <w:pPr>
        <w:spacing w:after="160"/>
      </w:pPr>
      <w:r>
        <w:t xml:space="preserve"/>
      </w:r>
    </w:p>
    <w:p>
      <w:pPr>
        <w:spacing w:after="120"/>
      </w:pPr>
      <w:r>
        <w:rPr>
          <w:rFonts w:ascii="Arial" w:cs="Arial" w:eastAsia="Arial" w:hAnsi="Arial"/>
          <w:color w:val="222222"/>
          <w:sz w:val="22"/>
          <w:szCs w:val="22"/>
        </w:rPr>
        <w:t xml:space="preserve">The secondary question: Is the magnitude of that excess statistically predicted by geopolitical features — dispute status, governance quality, metal prices, proximity to borders?</w:t>
      </w:r>
    </w:p>
    <w:p>
      <w:pPr>
        <w:spacing w:after="160"/>
      </w:pPr>
      <w:r>
        <w:t xml:space="preserve"/>
      </w:r>
    </w:p>
    <w:p>
      <w:pPr>
        <w:pStyle w:val="Heading1"/>
        <w:pBdr>
          <w:bottom w:val="single" w:color="2E75B6" w:sz="6" w:space="6"/>
        </w:pBdr>
        <w:spacing w:before="360" w:after="120"/>
      </w:pPr>
      <w:r>
        <w:rPr>
          <w:rFonts w:ascii="Arial" w:cs="Arial" w:eastAsia="Arial" w:hAnsi="Arial"/>
          <w:b/>
          <w:bCs/>
          <w:color w:val="1F4E79"/>
          <w:sz w:val="30"/>
          <w:szCs w:val="30"/>
        </w:rPr>
        <w:t xml:space="preserve">Model Architecture</w:t>
      </w:r>
    </w:p>
    <w:p>
      <w:pPr>
        <w:pStyle w:val="Heading2"/>
        <w:spacing w:before="280" w:after="80"/>
      </w:pPr>
      <w:r>
        <w:rPr>
          <w:rFonts w:ascii="Arial" w:cs="Arial" w:eastAsia="Arial" w:hAnsi="Arial"/>
          <w:b/>
          <w:bCs/>
          <w:color w:val="2E75B6"/>
          <w:sz w:val="24"/>
          <w:szCs w:val="24"/>
        </w:rPr>
        <w:t xml:space="preserve">Step 1 — Physical Baseline Model</w:t>
      </w:r>
    </w:p>
    <w:p>
      <w:pPr>
        <w:spacing w:after="120"/>
      </w:pPr>
      <w:r>
        <w:rPr>
          <w:rFonts w:ascii="Arial" w:cs="Arial" w:eastAsia="Arial" w:hAnsi="Arial"/>
          <w:color w:val="222222"/>
          <w:sz w:val="22"/>
          <w:szCs w:val="22"/>
        </w:rPr>
        <w:t xml:space="preserve">A hydrological sediment transport model (SWAT or a simplified mass-balance routing model) predicts expected water turbidity and sediment load at downstream river monitoring points, given only natural inputs:</w:t>
      </w:r>
    </w:p>
    <w:p>
      <w:pPr>
        <w:pStyle w:val="ListParagraph"/>
        <w:numPr>
          <w:ilvl w:val="0"/>
          <w:numId w:val="2"/>
        </w:numPr>
        <w:spacing w:after="80"/>
      </w:pPr>
      <w:r>
        <w:rPr>
          <w:rFonts w:ascii="Arial" w:cs="Arial" w:eastAsia="Arial" w:hAnsi="Arial"/>
          <w:color w:val="222222"/>
          <w:sz w:val="22"/>
          <w:szCs w:val="22"/>
        </w:rPr>
        <w:t xml:space="preserve">Precipitation (ERA5 reanalysis, free, global, 1979–present)</w:t>
      </w:r>
    </w:p>
    <w:p>
      <w:pPr>
        <w:pStyle w:val="ListParagraph"/>
        <w:numPr>
          <w:ilvl w:val="0"/>
          <w:numId w:val="2"/>
        </w:numPr>
        <w:spacing w:after="80"/>
      </w:pPr>
      <w:r>
        <w:rPr>
          <w:rFonts w:ascii="Arial" w:cs="Arial" w:eastAsia="Arial" w:hAnsi="Arial"/>
          <w:color w:val="222222"/>
          <w:sz w:val="22"/>
          <w:szCs w:val="22"/>
        </w:rPr>
        <w:t xml:space="preserve">Digital elevation model — slope and catchment geometry (SRTM 30m, free)</w:t>
      </w:r>
    </w:p>
    <w:p>
      <w:pPr>
        <w:pStyle w:val="ListParagraph"/>
        <w:numPr>
          <w:ilvl w:val="0"/>
          <w:numId w:val="2"/>
        </w:numPr>
        <w:spacing w:after="80"/>
      </w:pPr>
      <w:r>
        <w:rPr>
          <w:rFonts w:ascii="Arial" w:cs="Arial" w:eastAsia="Arial" w:hAnsi="Arial"/>
          <w:color w:val="222222"/>
          <w:sz w:val="22"/>
          <w:szCs w:val="22"/>
        </w:rPr>
        <w:t xml:space="preserve">Soil type and erodibility (FAO HWSD, free)</w:t>
      </w:r>
    </w:p>
    <w:p>
      <w:pPr>
        <w:pStyle w:val="ListParagraph"/>
        <w:numPr>
          <w:ilvl w:val="0"/>
          <w:numId w:val="2"/>
        </w:numPr>
        <w:spacing w:after="80"/>
      </w:pPr>
      <w:r>
        <w:rPr>
          <w:rFonts w:ascii="Arial" w:cs="Arial" w:eastAsia="Arial" w:hAnsi="Arial"/>
          <w:color w:val="222222"/>
          <w:sz w:val="22"/>
          <w:szCs w:val="22"/>
        </w:rPr>
        <w:t xml:space="preserve">Baseline land cover in the absence of human disturbance (ESA CCI Land Cover)</w:t>
      </w:r>
    </w:p>
    <w:p>
      <w:pPr>
        <w:spacing w:after="160"/>
      </w:pPr>
      <w:r>
        <w:t xml:space="preserve"/>
      </w:r>
    </w:p>
    <w:p>
      <w:pPr>
        <w:spacing w:after="120"/>
      </w:pPr>
      <w:r>
        <w:rPr>
          <w:rFonts w:ascii="Arial" w:cs="Arial" w:eastAsia="Arial" w:hAnsi="Arial"/>
          <w:color w:val="222222"/>
          <w:sz w:val="22"/>
          <w:szCs w:val="22"/>
        </w:rPr>
        <w:t xml:space="preserve">Output: predicted turbidity time series ŷ_physics at each catchment outlet.</w:t>
      </w:r>
    </w:p>
    <w:p>
      <w:pPr>
        <w:spacing w:after="160"/>
      </w:pPr>
      <w:r>
        <w:t xml:space="preserve"/>
      </w:r>
    </w:p>
    <w:p>
      <w:pPr>
        <w:pStyle w:val="Heading2"/>
        <w:spacing w:before="280" w:after="80"/>
      </w:pPr>
      <w:r>
        <w:rPr>
          <w:rFonts w:ascii="Arial" w:cs="Arial" w:eastAsia="Arial" w:hAnsi="Arial"/>
          <w:b/>
          <w:bCs/>
          <w:color w:val="2E75B6"/>
          <w:sz w:val="24"/>
          <w:szCs w:val="24"/>
        </w:rPr>
        <w:t xml:space="preserve">Step 2 — Satellite Observation</w:t>
      </w:r>
    </w:p>
    <w:p>
      <w:pPr>
        <w:spacing w:after="120"/>
      </w:pPr>
      <w:r>
        <w:rPr>
          <w:rFonts w:ascii="Arial" w:cs="Arial" w:eastAsia="Arial" w:hAnsi="Arial"/>
          <w:color w:val="222222"/>
          <w:sz w:val="22"/>
          <w:szCs w:val="22"/>
        </w:rPr>
        <w:t xml:space="preserve">Sentinel-2 multispectral imagery is used to compute observed turbidity via NDTI (Normalized Difference Turbidity Index) and suspended sediment proxies at the same downstream locations.</w:t>
      </w:r>
    </w:p>
    <w:p>
      <w:pPr>
        <w:spacing w:after="160"/>
      </w:pPr>
      <w:r>
        <w:t xml:space="preserve"/>
      </w:r>
    </w:p>
    <w:p>
      <w:pPr>
        <w:spacing w:after="120"/>
      </w:pPr>
      <w:r>
        <w:rPr>
          <w:rFonts w:ascii="Arial" w:cs="Arial" w:eastAsia="Arial" w:hAnsi="Arial"/>
          <w:color w:val="222222"/>
          <w:sz w:val="22"/>
          <w:szCs w:val="22"/>
        </w:rPr>
        <w:t xml:space="preserve">Output: observed turbidity time series y_observed, 2017–present at 10m resolution.</w:t>
      </w:r>
    </w:p>
    <w:p>
      <w:pPr>
        <w:spacing w:after="160"/>
      </w:pPr>
      <w:r>
        <w:t xml:space="preserve"/>
      </w:r>
    </w:p>
    <w:p>
      <w:pPr>
        <w:pStyle w:val="Heading2"/>
        <w:spacing w:before="280" w:after="80"/>
      </w:pPr>
      <w:r>
        <w:rPr>
          <w:rFonts w:ascii="Arial" w:cs="Arial" w:eastAsia="Arial" w:hAnsi="Arial"/>
          <w:b/>
          <w:bCs/>
          <w:color w:val="2E75B6"/>
          <w:sz w:val="24"/>
          <w:szCs w:val="24"/>
        </w:rPr>
        <w:t xml:space="preserve">Step 3 — Residual Computation</w:t>
      </w:r>
    </w:p>
    <w:p>
      <w:pPr>
        <w:spacing w:after="120"/>
      </w:pPr>
      <w:r>
        <w:rPr>
          <w:rFonts w:ascii="Arial" w:cs="Arial" w:eastAsia="Arial" w:hAnsi="Arial"/>
          <w:color w:val="222222"/>
          <w:sz w:val="22"/>
          <w:szCs w:val="22"/>
        </w:rPr>
        <w:t xml:space="preserve">The residual is defined as: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60"/>
              <w:left w:type="dxa" w:w="240"/>
              <w:bottom w:type="dxa" w:w="160"/>
              <w:right w:type="dxa" w:w="240"/>
            </w:tcMar>
          </w:tcPr>
          <w:p>
            <w:pPr>
              <w:spacing w:after="0"/>
            </w:pPr>
            <w:r>
              <w:rPr>
                <w:rFonts w:ascii="Arial" w:cs="Arial" w:eastAsia="Arial" w:hAnsi="Arial"/>
                <w:i/>
                <w:iCs/>
                <w:color w:val="222222"/>
                <w:sz w:val="22"/>
                <w:szCs w:val="22"/>
              </w:rPr>
              <w:t xml:space="preserve">residual(t, location) = y_observed(t) − ŷ_physics(t)</w:t>
            </w:r>
          </w:p>
        </w:tc>
      </w:tr>
    </w:tbl>
    <w:p>
      <w:pPr>
        <w:spacing w:after="160"/>
      </w:pPr>
      <w:r>
        <w:t xml:space="preserve"/>
      </w:r>
    </w:p>
    <w:p>
      <w:pPr>
        <w:spacing w:after="120"/>
      </w:pPr>
      <w:r>
        <w:rPr>
          <w:rFonts w:ascii="Arial" w:cs="Arial" w:eastAsia="Arial" w:hAnsi="Arial"/>
          <w:color w:val="222222"/>
          <w:sz w:val="22"/>
          <w:szCs w:val="22"/>
        </w:rPr>
        <w:t xml:space="preserve">Positive residuals = more sediment/turbidity than natural conditions predict. This excess is the anomaly signal — the fingerprint of human activity the physics did not account for.</w:t>
      </w:r>
    </w:p>
    <w:p>
      <w:pPr>
        <w:spacing w:after="160"/>
      </w:pPr>
      <w:r>
        <w:t xml:space="preserve"/>
      </w:r>
    </w:p>
    <w:p>
      <w:pPr>
        <w:pStyle w:val="Heading2"/>
        <w:spacing w:before="280" w:after="80"/>
      </w:pPr>
      <w:r>
        <w:rPr>
          <w:rFonts w:ascii="Arial" w:cs="Arial" w:eastAsia="Arial" w:hAnsi="Arial"/>
          <w:b/>
          <w:bCs/>
          <w:color w:val="2E75B6"/>
          <w:sz w:val="24"/>
          <w:szCs w:val="24"/>
        </w:rPr>
        <w:t xml:space="preserve">Step 4 — ML Residual Predictor</w:t>
      </w:r>
    </w:p>
    <w:p>
      <w:pPr>
        <w:spacing w:after="120"/>
      </w:pPr>
      <w:r>
        <w:rPr>
          <w:rFonts w:ascii="Arial" w:cs="Arial" w:eastAsia="Arial" w:hAnsi="Arial"/>
          <w:color w:val="222222"/>
          <w:sz w:val="22"/>
          <w:szCs w:val="22"/>
        </w:rPr>
        <w:t xml:space="preserve">A gradient boosting model (XGBoost / LightGBM) or a spatiotemporal LSTM is trained to predict the residual using geopolitical and economic covariates:</w:t>
      </w:r>
    </w:p>
    <w:p>
      <w:pPr>
        <w:pStyle w:val="ListParagraph"/>
        <w:numPr>
          <w:ilvl w:val="0"/>
          <w:numId w:val="2"/>
        </w:numPr>
        <w:spacing w:after="80"/>
      </w:pPr>
      <w:r>
        <w:rPr>
          <w:rFonts w:ascii="Arial" w:cs="Arial" w:eastAsia="Arial" w:hAnsi="Arial"/>
          <w:color w:val="222222"/>
          <w:sz w:val="22"/>
          <w:szCs w:val="22"/>
        </w:rPr>
        <w:t xml:space="preserve">Dispute status of the catchment zone (binary + intensity score from ICOW)</w:t>
      </w:r>
    </w:p>
    <w:p>
      <w:pPr>
        <w:pStyle w:val="ListParagraph"/>
        <w:numPr>
          <w:ilvl w:val="0"/>
          <w:numId w:val="2"/>
        </w:numPr>
        <w:spacing w:after="80"/>
      </w:pPr>
      <w:r>
        <w:rPr>
          <w:rFonts w:ascii="Arial" w:cs="Arial" w:eastAsia="Arial" w:hAnsi="Arial"/>
          <w:color w:val="222222"/>
          <w:sz w:val="22"/>
          <w:szCs w:val="22"/>
        </w:rPr>
        <w:t xml:space="preserve">Governance quality index (World Bank WGI — Rule of Law, Control of Corruption)</w:t>
      </w:r>
    </w:p>
    <w:p>
      <w:pPr>
        <w:pStyle w:val="ListParagraph"/>
        <w:numPr>
          <w:ilvl w:val="0"/>
          <w:numId w:val="2"/>
        </w:numPr>
        <w:spacing w:after="80"/>
      </w:pPr>
      <w:r>
        <w:rPr>
          <w:rFonts w:ascii="Arial" w:cs="Arial" w:eastAsia="Arial" w:hAnsi="Arial"/>
          <w:color w:val="222222"/>
          <w:sz w:val="22"/>
          <w:szCs w:val="22"/>
        </w:rPr>
        <w:t xml:space="preserve">Distance to nearest international border</w:t>
      </w:r>
    </w:p>
    <w:p>
      <w:pPr>
        <w:pStyle w:val="ListParagraph"/>
        <w:numPr>
          <w:ilvl w:val="0"/>
          <w:numId w:val="2"/>
        </w:numPr>
        <w:spacing w:after="80"/>
      </w:pPr>
      <w:r>
        <w:rPr>
          <w:rFonts w:ascii="Arial" w:cs="Arial" w:eastAsia="Arial" w:hAnsi="Arial"/>
          <w:color w:val="222222"/>
          <w:sz w:val="22"/>
          <w:szCs w:val="22"/>
        </w:rPr>
        <w:t xml:space="preserve">Global metal price index (gold, copper, tin — World Bank Pink Sheet)</w:t>
      </w:r>
    </w:p>
    <w:p>
      <w:pPr>
        <w:pStyle w:val="ListParagraph"/>
        <w:numPr>
          <w:ilvl w:val="0"/>
          <w:numId w:val="2"/>
        </w:numPr>
        <w:spacing w:after="80"/>
      </w:pPr>
      <w:r>
        <w:rPr>
          <w:rFonts w:ascii="Arial" w:cs="Arial" w:eastAsia="Arial" w:hAnsi="Arial"/>
          <w:color w:val="222222"/>
          <w:sz w:val="22"/>
          <w:szCs w:val="22"/>
        </w:rPr>
        <w:t xml:space="preserve">Conflict event density in the zone (ACLED, lagged)</w:t>
      </w:r>
    </w:p>
    <w:p>
      <w:pPr>
        <w:pStyle w:val="ListParagraph"/>
        <w:numPr>
          <w:ilvl w:val="0"/>
          <w:numId w:val="2"/>
        </w:numPr>
        <w:spacing w:after="80"/>
      </w:pPr>
      <w:r>
        <w:rPr>
          <w:rFonts w:ascii="Arial" w:cs="Arial" w:eastAsia="Arial" w:hAnsi="Arial"/>
          <w:color w:val="222222"/>
          <w:sz w:val="22"/>
          <w:szCs w:val="22"/>
        </w:rPr>
        <w:t xml:space="preserve">Forest loss in upstream catchment (Hansen/GFW annual data)</w:t>
      </w:r>
    </w:p>
    <w:p>
      <w:pPr>
        <w:spacing w:after="160"/>
      </w:pPr>
      <w:r>
        <w:t xml:space="preserve"/>
      </w:r>
    </w:p>
    <w:p>
      <w:pPr>
        <w:spacing w:after="120"/>
      </w:pPr>
      <w:r>
        <w:rPr>
          <w:rFonts w:ascii="Arial" w:cs="Arial" w:eastAsia="Arial" w:hAnsi="Arial"/>
          <w:color w:val="222222"/>
          <w:sz w:val="22"/>
          <w:szCs w:val="22"/>
        </w:rPr>
        <w:t xml:space="preserve">If dispute status is a significant positive predictor of the residual, we have quantitative evidence that geopolitical impunity drives excess extraction — beyond what commodity prices or governance alone explain.</w:t>
      </w:r>
    </w:p>
    <w:p>
      <w:pPr>
        <w:spacing w:after="160"/>
      </w:pPr>
      <w:r>
        <w:t xml:space="preserve"/>
      </w:r>
    </w:p>
    <w:p>
      <w:pPr>
        <w:pStyle w:val="Heading2"/>
        <w:spacing w:before="280" w:after="80"/>
      </w:pPr>
      <w:r>
        <w:rPr>
          <w:rFonts w:ascii="Arial" w:cs="Arial" w:eastAsia="Arial" w:hAnsi="Arial"/>
          <w:b/>
          <w:bCs/>
          <w:color w:val="2E75B6"/>
          <w:sz w:val="24"/>
          <w:szCs w:val="24"/>
        </w:rPr>
        <w:t xml:space="preserve">Step 5 — Causal Validation</w:t>
      </w:r>
    </w:p>
    <w:p>
      <w:pPr>
        <w:spacing w:after="120"/>
      </w:pPr>
      <w:r>
        <w:rPr>
          <w:rFonts w:ascii="Arial" w:cs="Arial" w:eastAsia="Arial" w:hAnsi="Arial"/>
          <w:color w:val="222222"/>
          <w:sz w:val="22"/>
          <w:szCs w:val="22"/>
        </w:rPr>
        <w:t xml:space="preserve">To move from correlation to causation, an event study design is applied around dispute escalation events (ICJ filings, militarized incidents from MID dataset). Does the residual spike following escalation? Does it persist? This tests the mechanism, not just the association.</w:t>
      </w:r>
    </w:p>
    <w:p>
      <w:pPr>
        <w:spacing w:after="160"/>
      </w:pPr>
      <w:r>
        <w:t xml:space="preserve"/>
      </w:r>
    </w:p>
    <w:p>
      <w:pPr>
        <w:pStyle w:val="Heading1"/>
        <w:pBdr>
          <w:bottom w:val="single" w:color="2E75B6" w:sz="6" w:space="6"/>
        </w:pBdr>
        <w:spacing w:before="360" w:after="120"/>
      </w:pPr>
      <w:r>
        <w:rPr>
          <w:rFonts w:ascii="Arial" w:cs="Arial" w:eastAsia="Arial" w:hAnsi="Arial"/>
          <w:b/>
          <w:bCs/>
          <w:color w:val="1F4E79"/>
          <w:sz w:val="30"/>
          <w:szCs w:val="30"/>
        </w:rPr>
        <w:t xml:space="preserve">Data Requirements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BBBBBB" w:sz="1"/>
              <w:left w:val="single" w:color="BBBBBB" w:sz="1"/>
              <w:bottom w:val="single" w:color="BBBBBB" w:sz="1"/>
              <w:right w:val="single" w:color="BBBBBB"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Dataset</w:t>
            </w:r>
          </w:p>
        </w:tc>
        <w:tc>
          <w:tcPr>
            <w:tcW w:type="dxa" w:w="3800"/>
            <w:tcBorders>
              <w:top w:val="single" w:color="BBBBBB" w:sz="1"/>
              <w:left w:val="single" w:color="BBBBBB" w:sz="1"/>
              <w:bottom w:val="single" w:color="BBBBBB" w:sz="1"/>
              <w:right w:val="single" w:color="BBBBBB"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Description</w:t>
            </w:r>
          </w:p>
        </w:tc>
        <w:tc>
          <w:tcPr>
            <w:tcW w:type="dxa" w:w="2960"/>
            <w:tcBorders>
              <w:top w:val="single" w:color="BBBBBB" w:sz="1"/>
              <w:left w:val="single" w:color="BBBBBB" w:sz="1"/>
              <w:bottom w:val="single" w:color="BBBBBB" w:sz="1"/>
              <w:right w:val="single" w:color="BBBBBB"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Access</w:t>
            </w:r>
          </w:p>
        </w:tc>
      </w:tr>
      <w:tr>
        <w:tc>
          <w:tcPr>
            <w:tcW w:type="dxa" w:w="2600"/>
            <w:tcBorders>
              <w:top w:val="single" w:color="BBBBBB" w:sz="1"/>
              <w:left w:val="single" w:color="BBBBBB" w:sz="1"/>
              <w:bottom w:val="single" w:color="BBBBBB" w:sz="1"/>
              <w:right w:val="single" w:color="BBBBBB" w:sz="1"/>
            </w:tcBorders>
            <w:shd w:fill="F5F9FE" w:val="clear"/>
            <w:tcMar>
              <w:top w:type="dxa" w:w="80"/>
              <w:left w:type="dxa" w:w="120"/>
              <w:bottom w:type="dxa" w:w="80"/>
              <w:right w:type="dxa" w:w="120"/>
            </w:tcMar>
          </w:tcPr>
          <w:p>
            <w:r>
              <w:rPr>
                <w:rFonts w:ascii="Arial" w:cs="Arial" w:eastAsia="Arial" w:hAnsi="Arial"/>
                <w:color w:val="333333"/>
                <w:sz w:val="20"/>
                <w:szCs w:val="20"/>
              </w:rPr>
              <w:t xml:space="preserve">ERA5 Reanalysis</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Global precipitation, temperature, wind — 0.25° resolution, 1979–present</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(ECMWF CDS)</w:t>
            </w:r>
          </w:p>
        </w:tc>
      </w:tr>
      <w:tr>
        <w:tc>
          <w:tcPr>
            <w:tcW w:type="dxa" w:w="2600"/>
            <w:tcBorders>
              <w:top w:val="single" w:color="BBBBBB" w:sz="1"/>
              <w:left w:val="single" w:color="BBBBBB" w:sz="1"/>
              <w:bottom w:val="single" w:color="BBBBBB" w:sz="1"/>
              <w:right w:val="single" w:color="BBBBBB" w:sz="1"/>
            </w:tcBorders>
            <w:shd w:fill="F5F9FE" w:val="clear"/>
            <w:tcMar>
              <w:top w:type="dxa" w:w="80"/>
              <w:left w:type="dxa" w:w="120"/>
              <w:bottom w:type="dxa" w:w="80"/>
              <w:right w:type="dxa" w:w="120"/>
            </w:tcMar>
          </w:tcPr>
          <w:p>
            <w:r>
              <w:rPr>
                <w:rFonts w:ascii="Arial" w:cs="Arial" w:eastAsia="Arial" w:hAnsi="Arial"/>
                <w:color w:val="333333"/>
                <w:sz w:val="20"/>
                <w:szCs w:val="20"/>
              </w:rPr>
              <w:t xml:space="preserve">SRTM DEM</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Digital elevation model, 30m global resolution</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(NASA EarthData)</w:t>
            </w:r>
          </w:p>
        </w:tc>
      </w:tr>
      <w:tr>
        <w:tc>
          <w:tcPr>
            <w:tcW w:type="dxa" w:w="2600"/>
            <w:tcBorders>
              <w:top w:val="single" w:color="BBBBBB" w:sz="1"/>
              <w:left w:val="single" w:color="BBBBBB" w:sz="1"/>
              <w:bottom w:val="single" w:color="BBBBBB" w:sz="1"/>
              <w:right w:val="single" w:color="BBBBBB" w:sz="1"/>
            </w:tcBorders>
            <w:shd w:fill="F5F9FE" w:val="clear"/>
            <w:tcMar>
              <w:top w:type="dxa" w:w="80"/>
              <w:left w:type="dxa" w:w="120"/>
              <w:bottom w:type="dxa" w:w="80"/>
              <w:right w:type="dxa" w:w="120"/>
            </w:tcMar>
          </w:tcPr>
          <w:p>
            <w:r>
              <w:rPr>
                <w:rFonts w:ascii="Arial" w:cs="Arial" w:eastAsia="Arial" w:hAnsi="Arial"/>
                <w:color w:val="333333"/>
                <w:sz w:val="20"/>
                <w:szCs w:val="20"/>
              </w:rPr>
              <w:t xml:space="preserve">FAO HWSD</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Global soil texture and erodibility parameters</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(FAO)</w:t>
            </w:r>
          </w:p>
        </w:tc>
      </w:tr>
      <w:tr>
        <w:tc>
          <w:tcPr>
            <w:tcW w:type="dxa" w:w="2600"/>
            <w:tcBorders>
              <w:top w:val="single" w:color="BBBBBB" w:sz="1"/>
              <w:left w:val="single" w:color="BBBBBB" w:sz="1"/>
              <w:bottom w:val="single" w:color="BBBBBB" w:sz="1"/>
              <w:right w:val="single" w:color="BBBBBB" w:sz="1"/>
            </w:tcBorders>
            <w:shd w:fill="F5F9FE" w:val="clear"/>
            <w:tcMar>
              <w:top w:type="dxa" w:w="80"/>
              <w:left w:type="dxa" w:w="120"/>
              <w:bottom w:type="dxa" w:w="80"/>
              <w:right w:type="dxa" w:w="120"/>
            </w:tcMar>
          </w:tcPr>
          <w:p>
            <w:r>
              <w:rPr>
                <w:rFonts w:ascii="Arial" w:cs="Arial" w:eastAsia="Arial" w:hAnsi="Arial"/>
                <w:color w:val="333333"/>
                <w:sz w:val="20"/>
                <w:szCs w:val="20"/>
              </w:rPr>
              <w:t xml:space="preserve">ESA CCI Land Cover</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Annual global land cover maps, 300m, 1992–2020</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(ESA)</w:t>
            </w:r>
          </w:p>
        </w:tc>
      </w:tr>
      <w:tr>
        <w:tc>
          <w:tcPr>
            <w:tcW w:type="dxa" w:w="2600"/>
            <w:tcBorders>
              <w:top w:val="single" w:color="BBBBBB" w:sz="1"/>
              <w:left w:val="single" w:color="BBBBBB" w:sz="1"/>
              <w:bottom w:val="single" w:color="BBBBBB" w:sz="1"/>
              <w:right w:val="single" w:color="BBBBBB" w:sz="1"/>
            </w:tcBorders>
            <w:shd w:fill="F5F9FE" w:val="clear"/>
            <w:tcMar>
              <w:top w:type="dxa" w:w="80"/>
              <w:left w:type="dxa" w:w="120"/>
              <w:bottom w:type="dxa" w:w="80"/>
              <w:right w:type="dxa" w:w="120"/>
            </w:tcMar>
          </w:tcPr>
          <w:p>
            <w:r>
              <w:rPr>
                <w:rFonts w:ascii="Arial" w:cs="Arial" w:eastAsia="Arial" w:hAnsi="Arial"/>
                <w:color w:val="333333"/>
                <w:sz w:val="20"/>
                <w:szCs w:val="20"/>
              </w:rPr>
              <w:t xml:space="preserve">Sentinel-2 MSI</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Multispectral imagery for turbidity indices, 10m, 2017–present</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(GEE / Copernicus)</w:t>
            </w:r>
          </w:p>
        </w:tc>
      </w:tr>
      <w:tr>
        <w:tc>
          <w:tcPr>
            <w:tcW w:type="dxa" w:w="2600"/>
            <w:tcBorders>
              <w:top w:val="single" w:color="BBBBBB" w:sz="1"/>
              <w:left w:val="single" w:color="BBBBBB" w:sz="1"/>
              <w:bottom w:val="single" w:color="BBBBBB" w:sz="1"/>
              <w:right w:val="single" w:color="BBBBBB" w:sz="1"/>
            </w:tcBorders>
            <w:shd w:fill="F5F9FE" w:val="clear"/>
            <w:tcMar>
              <w:top w:type="dxa" w:w="80"/>
              <w:left w:type="dxa" w:w="120"/>
              <w:bottom w:type="dxa" w:w="80"/>
              <w:right w:type="dxa" w:w="120"/>
            </w:tcMar>
          </w:tcPr>
          <w:p>
            <w:r>
              <w:rPr>
                <w:rFonts w:ascii="Arial" w:cs="Arial" w:eastAsia="Arial" w:hAnsi="Arial"/>
                <w:color w:val="333333"/>
                <w:sz w:val="20"/>
                <w:szCs w:val="20"/>
              </w:rPr>
              <w:t xml:space="preserve">Hansen/GFW</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Annual tree cover loss at 30m, 2000–present</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(GEE)</w:t>
            </w:r>
          </w:p>
        </w:tc>
      </w:tr>
      <w:tr>
        <w:tc>
          <w:tcPr>
            <w:tcW w:type="dxa" w:w="2600"/>
            <w:tcBorders>
              <w:top w:val="single" w:color="BBBBBB" w:sz="1"/>
              <w:left w:val="single" w:color="BBBBBB" w:sz="1"/>
              <w:bottom w:val="single" w:color="BBBBBB" w:sz="1"/>
              <w:right w:val="single" w:color="BBBBBB" w:sz="1"/>
            </w:tcBorders>
            <w:shd w:fill="F5F9FE" w:val="clear"/>
            <w:tcMar>
              <w:top w:type="dxa" w:w="80"/>
              <w:left w:type="dxa" w:w="120"/>
              <w:bottom w:type="dxa" w:w="80"/>
              <w:right w:type="dxa" w:w="120"/>
            </w:tcMar>
          </w:tcPr>
          <w:p>
            <w:r>
              <w:rPr>
                <w:rFonts w:ascii="Arial" w:cs="Arial" w:eastAsia="Arial" w:hAnsi="Arial"/>
                <w:color w:val="333333"/>
                <w:sz w:val="20"/>
                <w:szCs w:val="20"/>
              </w:rPr>
              <w:t xml:space="preserve">VIIRS Nighttime Lights</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Economic activity proxy, monthly composite</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(NASA)</w:t>
            </w:r>
          </w:p>
        </w:tc>
      </w:tr>
      <w:tr>
        <w:tc>
          <w:tcPr>
            <w:tcW w:type="dxa" w:w="2600"/>
            <w:tcBorders>
              <w:top w:val="single" w:color="BBBBBB" w:sz="1"/>
              <w:left w:val="single" w:color="BBBBBB" w:sz="1"/>
              <w:bottom w:val="single" w:color="BBBBBB" w:sz="1"/>
              <w:right w:val="single" w:color="BBBBBB" w:sz="1"/>
            </w:tcBorders>
            <w:shd w:fill="F5F9FE" w:val="clear"/>
            <w:tcMar>
              <w:top w:type="dxa" w:w="80"/>
              <w:left w:type="dxa" w:w="120"/>
              <w:bottom w:type="dxa" w:w="80"/>
              <w:right w:type="dxa" w:w="120"/>
            </w:tcMar>
          </w:tcPr>
          <w:p>
            <w:r>
              <w:rPr>
                <w:rFonts w:ascii="Arial" w:cs="Arial" w:eastAsia="Arial" w:hAnsi="Arial"/>
                <w:color w:val="333333"/>
                <w:sz w:val="20"/>
                <w:szCs w:val="20"/>
              </w:rPr>
              <w:t xml:space="preserve">ICOW Dataset</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International sovereignty dispute records with escalation dates</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(academic)</w:t>
            </w:r>
          </w:p>
        </w:tc>
      </w:tr>
      <w:tr>
        <w:tc>
          <w:tcPr>
            <w:tcW w:type="dxa" w:w="2600"/>
            <w:tcBorders>
              <w:top w:val="single" w:color="BBBBBB" w:sz="1"/>
              <w:left w:val="single" w:color="BBBBBB" w:sz="1"/>
              <w:bottom w:val="single" w:color="BBBBBB" w:sz="1"/>
              <w:right w:val="single" w:color="BBBBBB" w:sz="1"/>
            </w:tcBorders>
            <w:shd w:fill="F5F9FE" w:val="clear"/>
            <w:tcMar>
              <w:top w:type="dxa" w:w="80"/>
              <w:left w:type="dxa" w:w="120"/>
              <w:bottom w:type="dxa" w:w="80"/>
              <w:right w:type="dxa" w:w="120"/>
            </w:tcMar>
          </w:tcPr>
          <w:p>
            <w:r>
              <w:rPr>
                <w:rFonts w:ascii="Arial" w:cs="Arial" w:eastAsia="Arial" w:hAnsi="Arial"/>
                <w:color w:val="333333"/>
                <w:sz w:val="20"/>
                <w:szCs w:val="20"/>
              </w:rPr>
              <w:t xml:space="preserve">MID Dataset</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Militarized Interstate Disputes, event-level</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(CoW Project)</w:t>
            </w:r>
          </w:p>
        </w:tc>
      </w:tr>
      <w:tr>
        <w:tc>
          <w:tcPr>
            <w:tcW w:type="dxa" w:w="2600"/>
            <w:tcBorders>
              <w:top w:val="single" w:color="BBBBBB" w:sz="1"/>
              <w:left w:val="single" w:color="BBBBBB" w:sz="1"/>
              <w:bottom w:val="single" w:color="BBBBBB" w:sz="1"/>
              <w:right w:val="single" w:color="BBBBBB" w:sz="1"/>
            </w:tcBorders>
            <w:shd w:fill="F5F9FE" w:val="clear"/>
            <w:tcMar>
              <w:top w:type="dxa" w:w="80"/>
              <w:left w:type="dxa" w:w="120"/>
              <w:bottom w:type="dxa" w:w="80"/>
              <w:right w:type="dxa" w:w="120"/>
            </w:tcMar>
          </w:tcPr>
          <w:p>
            <w:r>
              <w:rPr>
                <w:rFonts w:ascii="Arial" w:cs="Arial" w:eastAsia="Arial" w:hAnsi="Arial"/>
                <w:color w:val="333333"/>
                <w:sz w:val="20"/>
                <w:szCs w:val="20"/>
              </w:rPr>
              <w:t xml:space="preserve">IBRU Border Database</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Maritime and land boundary dispute boundaries</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(Durham Univ.)</w:t>
            </w:r>
          </w:p>
        </w:tc>
      </w:tr>
      <w:tr>
        <w:tc>
          <w:tcPr>
            <w:tcW w:type="dxa" w:w="2600"/>
            <w:tcBorders>
              <w:top w:val="single" w:color="BBBBBB" w:sz="1"/>
              <w:left w:val="single" w:color="BBBBBB" w:sz="1"/>
              <w:bottom w:val="single" w:color="BBBBBB" w:sz="1"/>
              <w:right w:val="single" w:color="BBBBBB" w:sz="1"/>
            </w:tcBorders>
            <w:shd w:fill="F5F9FE" w:val="clear"/>
            <w:tcMar>
              <w:top w:type="dxa" w:w="80"/>
              <w:left w:type="dxa" w:w="120"/>
              <w:bottom w:type="dxa" w:w="80"/>
              <w:right w:type="dxa" w:w="120"/>
            </w:tcMar>
          </w:tcPr>
          <w:p>
            <w:r>
              <w:rPr>
                <w:rFonts w:ascii="Arial" w:cs="Arial" w:eastAsia="Arial" w:hAnsi="Arial"/>
                <w:color w:val="333333"/>
                <w:sz w:val="20"/>
                <w:szCs w:val="20"/>
              </w:rPr>
              <w:t xml:space="preserve">ACLED</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Geo-coded conflict and protest events, 1997–present</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(registration)</w:t>
            </w:r>
          </w:p>
        </w:tc>
      </w:tr>
      <w:tr>
        <w:tc>
          <w:tcPr>
            <w:tcW w:type="dxa" w:w="2600"/>
            <w:tcBorders>
              <w:top w:val="single" w:color="BBBBBB" w:sz="1"/>
              <w:left w:val="single" w:color="BBBBBB" w:sz="1"/>
              <w:bottom w:val="single" w:color="BBBBBB" w:sz="1"/>
              <w:right w:val="single" w:color="BBBBBB" w:sz="1"/>
            </w:tcBorders>
            <w:shd w:fill="F5F9FE" w:val="clear"/>
            <w:tcMar>
              <w:top w:type="dxa" w:w="80"/>
              <w:left w:type="dxa" w:w="120"/>
              <w:bottom w:type="dxa" w:w="80"/>
              <w:right w:type="dxa" w:w="120"/>
            </w:tcMar>
          </w:tcPr>
          <w:p>
            <w:r>
              <w:rPr>
                <w:rFonts w:ascii="Arial" w:cs="Arial" w:eastAsia="Arial" w:hAnsi="Arial"/>
                <w:color w:val="333333"/>
                <w:sz w:val="20"/>
                <w:szCs w:val="20"/>
              </w:rPr>
              <w:t xml:space="preserve">World Bank WGI</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Governance indicators — rule of law, corruption control</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w:t>
            </w:r>
          </w:p>
        </w:tc>
      </w:tr>
      <w:tr>
        <w:tc>
          <w:tcPr>
            <w:tcW w:type="dxa" w:w="2600"/>
            <w:tcBorders>
              <w:top w:val="single" w:color="BBBBBB" w:sz="1"/>
              <w:left w:val="single" w:color="BBBBBB" w:sz="1"/>
              <w:bottom w:val="single" w:color="BBBBBB" w:sz="1"/>
              <w:right w:val="single" w:color="BBBBBB" w:sz="1"/>
            </w:tcBorders>
            <w:shd w:fill="F5F9FE" w:val="clear"/>
            <w:tcMar>
              <w:top w:type="dxa" w:w="80"/>
              <w:left w:type="dxa" w:w="120"/>
              <w:bottom w:type="dxa" w:w="80"/>
              <w:right w:type="dxa" w:w="120"/>
            </w:tcMar>
          </w:tcPr>
          <w:p>
            <w:r>
              <w:rPr>
                <w:rFonts w:ascii="Arial" w:cs="Arial" w:eastAsia="Arial" w:hAnsi="Arial"/>
                <w:color w:val="333333"/>
                <w:sz w:val="20"/>
                <w:szCs w:val="20"/>
              </w:rPr>
              <w:t xml:space="preserve">World Bank Pink Sheet</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Global commodity price series — metals</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w:t>
            </w:r>
          </w:p>
        </w:tc>
      </w:tr>
      <w:tr>
        <w:tc>
          <w:tcPr>
            <w:tcW w:type="dxa" w:w="2600"/>
            <w:tcBorders>
              <w:top w:val="single" w:color="BBBBBB" w:sz="1"/>
              <w:left w:val="single" w:color="BBBBBB" w:sz="1"/>
              <w:bottom w:val="single" w:color="BBBBBB" w:sz="1"/>
              <w:right w:val="single" w:color="BBBBBB" w:sz="1"/>
            </w:tcBorders>
            <w:shd w:fill="F5F9FE" w:val="clear"/>
            <w:tcMar>
              <w:top w:type="dxa" w:w="80"/>
              <w:left w:type="dxa" w:w="120"/>
              <w:bottom w:type="dxa" w:w="80"/>
              <w:right w:type="dxa" w:w="120"/>
            </w:tcMar>
          </w:tcPr>
          <w:p>
            <w:r>
              <w:rPr>
                <w:rFonts w:ascii="Arial" w:cs="Arial" w:eastAsia="Arial" w:hAnsi="Arial"/>
                <w:color w:val="333333"/>
                <w:sz w:val="20"/>
                <w:szCs w:val="20"/>
              </w:rPr>
              <w:t xml:space="preserve">Global Fishing Watch</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AIS vessel tracking, fishing effort by flag state</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API</w:t>
            </w:r>
          </w:p>
        </w:tc>
      </w:tr>
    </w:tbl>
    <w:p>
      <w:pPr>
        <w:spacing w:after="160"/>
      </w:pPr>
      <w:r>
        <w:t xml:space="preserve"/>
      </w:r>
    </w:p>
    <w:p>
      <w:pPr>
        <w:pStyle w:val="Heading1"/>
        <w:pBdr>
          <w:bottom w:val="single" w:color="2E75B6" w:sz="6" w:space="6"/>
        </w:pBdr>
        <w:spacing w:before="360" w:after="120"/>
      </w:pPr>
      <w:r>
        <w:rPr>
          <w:rFonts w:ascii="Arial" w:cs="Arial" w:eastAsia="Arial" w:hAnsi="Arial"/>
          <w:b/>
          <w:bCs/>
          <w:color w:val="1F4E79"/>
          <w:sz w:val="30"/>
          <w:szCs w:val="30"/>
        </w:rPr>
        <w:t xml:space="preserve">Techniques &amp; Tools</w:t>
      </w:r>
    </w:p>
    <w:p>
      <w:pPr>
        <w:pStyle w:val="Heading2"/>
        <w:spacing w:before="280" w:after="80"/>
      </w:pPr>
      <w:r>
        <w:rPr>
          <w:rFonts w:ascii="Arial" w:cs="Arial" w:eastAsia="Arial" w:hAnsi="Arial"/>
          <w:b/>
          <w:bCs/>
          <w:color w:val="2E75B6"/>
          <w:sz w:val="24"/>
          <w:szCs w:val="24"/>
        </w:rPr>
        <w:t xml:space="preserve">Physical Modeling</w:t>
      </w:r>
    </w:p>
    <w:p>
      <w:pPr>
        <w:pStyle w:val="ListParagraph"/>
        <w:numPr>
          <w:ilvl w:val="0"/>
          <w:numId w:val="2"/>
        </w:numPr>
        <w:spacing w:after="80"/>
      </w:pPr>
      <w:r>
        <w:rPr>
          <w:rFonts w:ascii="Arial" w:cs="Arial" w:eastAsia="Arial" w:hAnsi="Arial"/>
          <w:color w:val="222222"/>
          <w:sz w:val="22"/>
          <w:szCs w:val="22"/>
        </w:rPr>
        <w:t xml:space="preserve">SWAT (Soil &amp; Water Assessment Tool) — full hydrological model if calibration data allows</w:t>
      </w:r>
    </w:p>
    <w:p>
      <w:pPr>
        <w:pStyle w:val="ListParagraph"/>
        <w:numPr>
          <w:ilvl w:val="0"/>
          <w:numId w:val="2"/>
        </w:numPr>
        <w:spacing w:after="80"/>
      </w:pPr>
      <w:r>
        <w:rPr>
          <w:rFonts w:ascii="Arial" w:cs="Arial" w:eastAsia="Arial" w:hAnsi="Arial"/>
          <w:color w:val="222222"/>
          <w:sz w:val="22"/>
          <w:szCs w:val="22"/>
        </w:rPr>
        <w:t xml:space="preserve">Simplified mass-balance sediment routing as fallback for data-sparse regions</w:t>
      </w:r>
    </w:p>
    <w:p>
      <w:pPr>
        <w:pStyle w:val="ListParagraph"/>
        <w:numPr>
          <w:ilvl w:val="0"/>
          <w:numId w:val="2"/>
        </w:numPr>
        <w:spacing w:after="80"/>
      </w:pPr>
      <w:r>
        <w:rPr>
          <w:rFonts w:ascii="Arial" w:cs="Arial" w:eastAsia="Arial" w:hAnsi="Arial"/>
          <w:color w:val="222222"/>
          <w:sz w:val="22"/>
          <w:szCs w:val="22"/>
        </w:rPr>
        <w:t xml:space="preserve">Google Earth Engine (GEE) — satellite data processing at scale</w:t>
      </w:r>
    </w:p>
    <w:p>
      <w:pPr>
        <w:spacing w:after="160"/>
      </w:pPr>
      <w:r>
        <w:t xml:space="preserve"/>
      </w:r>
    </w:p>
    <w:p>
      <w:pPr>
        <w:pStyle w:val="Heading2"/>
        <w:spacing w:before="280" w:after="80"/>
      </w:pPr>
      <w:r>
        <w:rPr>
          <w:rFonts w:ascii="Arial" w:cs="Arial" w:eastAsia="Arial" w:hAnsi="Arial"/>
          <w:b/>
          <w:bCs/>
          <w:color w:val="2E75B6"/>
          <w:sz w:val="24"/>
          <w:szCs w:val="24"/>
        </w:rPr>
        <w:t xml:space="preserve">Remote Sensing &amp; Feature Engineering</w:t>
      </w:r>
    </w:p>
    <w:p>
      <w:pPr>
        <w:pStyle w:val="ListParagraph"/>
        <w:numPr>
          <w:ilvl w:val="0"/>
          <w:numId w:val="2"/>
        </w:numPr>
        <w:spacing w:after="80"/>
      </w:pPr>
      <w:r>
        <w:rPr>
          <w:rFonts w:ascii="Arial" w:cs="Arial" w:eastAsia="Arial" w:hAnsi="Arial"/>
          <w:color w:val="222222"/>
          <w:sz w:val="22"/>
          <w:szCs w:val="22"/>
        </w:rPr>
        <w:t xml:space="preserve">NDTI / NDWI band ratio computation from Sentinel-2 for turbidity estimation</w:t>
      </w:r>
    </w:p>
    <w:p>
      <w:pPr>
        <w:pStyle w:val="ListParagraph"/>
        <w:numPr>
          <w:ilvl w:val="0"/>
          <w:numId w:val="2"/>
        </w:numPr>
        <w:spacing w:after="80"/>
      </w:pPr>
      <w:r>
        <w:rPr>
          <w:rFonts w:ascii="Arial" w:cs="Arial" w:eastAsia="Arial" w:hAnsi="Arial"/>
          <w:color w:val="222222"/>
          <w:sz w:val="22"/>
          <w:szCs w:val="22"/>
        </w:rPr>
        <w:t xml:space="preserve">Change detection on Hansen/GFW annual layers for deforestation signal</w:t>
      </w:r>
    </w:p>
    <w:p>
      <w:pPr>
        <w:pStyle w:val="ListParagraph"/>
        <w:numPr>
          <w:ilvl w:val="0"/>
          <w:numId w:val="2"/>
        </w:numPr>
        <w:spacing w:after="80"/>
      </w:pPr>
      <w:r>
        <w:rPr>
          <w:rFonts w:ascii="Arial" w:cs="Arial" w:eastAsia="Arial" w:hAnsi="Arial"/>
          <w:color w:val="222222"/>
          <w:sz w:val="22"/>
          <w:szCs w:val="22"/>
        </w:rPr>
        <w:t xml:space="preserve">Spatial joins: catchment delineation from DEM using pysheds or WhiteboxTools</w:t>
      </w:r>
    </w:p>
    <w:p>
      <w:pPr>
        <w:spacing w:after="160"/>
      </w:pPr>
      <w:r>
        <w:t xml:space="preserve"/>
      </w:r>
    </w:p>
    <w:p>
      <w:pPr>
        <w:pStyle w:val="Heading2"/>
        <w:spacing w:before="280" w:after="80"/>
      </w:pPr>
      <w:r>
        <w:rPr>
          <w:rFonts w:ascii="Arial" w:cs="Arial" w:eastAsia="Arial" w:hAnsi="Arial"/>
          <w:b/>
          <w:bCs/>
          <w:color w:val="2E75B6"/>
          <w:sz w:val="24"/>
          <w:szCs w:val="24"/>
        </w:rPr>
        <w:t xml:space="preserve">Machine Learning</w:t>
      </w:r>
    </w:p>
    <w:p>
      <w:pPr>
        <w:pStyle w:val="ListParagraph"/>
        <w:numPr>
          <w:ilvl w:val="0"/>
          <w:numId w:val="2"/>
        </w:numPr>
        <w:spacing w:after="80"/>
      </w:pPr>
      <w:r>
        <w:rPr>
          <w:rFonts w:ascii="Arial" w:cs="Arial" w:eastAsia="Arial" w:hAnsi="Arial"/>
          <w:color w:val="222222"/>
          <w:sz w:val="22"/>
          <w:szCs w:val="22"/>
        </w:rPr>
        <w:t xml:space="preserve">XGBoost / LightGBM for tabular residual prediction with SHAP interpretability</w:t>
      </w:r>
    </w:p>
    <w:p>
      <w:pPr>
        <w:pStyle w:val="ListParagraph"/>
        <w:numPr>
          <w:ilvl w:val="0"/>
          <w:numId w:val="2"/>
        </w:numPr>
        <w:spacing w:after="80"/>
      </w:pPr>
      <w:r>
        <w:rPr>
          <w:rFonts w:ascii="Arial" w:cs="Arial" w:eastAsia="Arial" w:hAnsi="Arial"/>
          <w:color w:val="222222"/>
          <w:sz w:val="22"/>
          <w:szCs w:val="22"/>
        </w:rPr>
        <w:t xml:space="preserve">Spatiotemporal LSTM or Transformer for sequence modeling of residual time series</w:t>
      </w:r>
    </w:p>
    <w:p>
      <w:pPr>
        <w:pStyle w:val="ListParagraph"/>
        <w:numPr>
          <w:ilvl w:val="0"/>
          <w:numId w:val="2"/>
        </w:numPr>
        <w:spacing w:after="80"/>
      </w:pPr>
      <w:r>
        <w:rPr>
          <w:rFonts w:ascii="Arial" w:cs="Arial" w:eastAsia="Arial" w:hAnsi="Arial"/>
          <w:color w:val="222222"/>
          <w:sz w:val="22"/>
          <w:szCs w:val="22"/>
        </w:rPr>
        <w:t xml:space="preserve">Propensity Score Matching for disputed vs. non-disputed zone comparison</w:t>
      </w:r>
    </w:p>
    <w:p>
      <w:pPr>
        <w:spacing w:after="160"/>
      </w:pPr>
      <w:r>
        <w:t xml:space="preserve"/>
      </w:r>
    </w:p>
    <w:p>
      <w:pPr>
        <w:pStyle w:val="Heading2"/>
        <w:spacing w:before="280" w:after="80"/>
      </w:pPr>
      <w:r>
        <w:rPr>
          <w:rFonts w:ascii="Arial" w:cs="Arial" w:eastAsia="Arial" w:hAnsi="Arial"/>
          <w:b/>
          <w:bCs/>
          <w:color w:val="2E75B6"/>
          <w:sz w:val="24"/>
          <w:szCs w:val="24"/>
        </w:rPr>
        <w:t xml:space="preserve">Causal Inference</w:t>
      </w:r>
    </w:p>
    <w:p>
      <w:pPr>
        <w:pStyle w:val="ListParagraph"/>
        <w:numPr>
          <w:ilvl w:val="0"/>
          <w:numId w:val="2"/>
        </w:numPr>
        <w:spacing w:after="80"/>
      </w:pPr>
      <w:r>
        <w:rPr>
          <w:rFonts w:ascii="Arial" w:cs="Arial" w:eastAsia="Arial" w:hAnsi="Arial"/>
          <w:color w:val="222222"/>
          <w:sz w:val="22"/>
          <w:szCs w:val="22"/>
        </w:rPr>
        <w:t xml:space="preserve">Event study / interrupted time series around dispute escalation dates</w:t>
      </w:r>
    </w:p>
    <w:p>
      <w:pPr>
        <w:pStyle w:val="ListParagraph"/>
        <w:numPr>
          <w:ilvl w:val="0"/>
          <w:numId w:val="2"/>
        </w:numPr>
        <w:spacing w:after="80"/>
      </w:pPr>
      <w:r>
        <w:rPr>
          <w:rFonts w:ascii="Arial" w:cs="Arial" w:eastAsia="Arial" w:hAnsi="Arial"/>
          <w:color w:val="222222"/>
          <w:sz w:val="22"/>
          <w:szCs w:val="22"/>
        </w:rPr>
        <w:t xml:space="preserve">Difference-in-differences with matched control catchments</w:t>
      </w:r>
    </w:p>
    <w:p>
      <w:pPr>
        <w:pStyle w:val="ListParagraph"/>
        <w:numPr>
          <w:ilvl w:val="0"/>
          <w:numId w:val="2"/>
        </w:numPr>
        <w:spacing w:after="80"/>
      </w:pPr>
      <w:r>
        <w:rPr>
          <w:rFonts w:ascii="Arial" w:cs="Arial" w:eastAsia="Arial" w:hAnsi="Arial"/>
          <w:color w:val="222222"/>
          <w:sz w:val="22"/>
          <w:szCs w:val="22"/>
        </w:rPr>
        <w:t xml:space="preserve">Spatial lag models to control for geographic autocorrelation (PySAL)</w:t>
      </w:r>
    </w:p>
    <w:p>
      <w:pPr>
        <w:spacing w:after="160"/>
      </w:pPr>
      <w:r>
        <w:t xml:space="preserve"/>
      </w:r>
    </w:p>
    <w:p>
      <w:pPr>
        <w:pStyle w:val="Heading2"/>
        <w:spacing w:before="280" w:after="80"/>
      </w:pPr>
      <w:r>
        <w:rPr>
          <w:rFonts w:ascii="Arial" w:cs="Arial" w:eastAsia="Arial" w:hAnsi="Arial"/>
          <w:b/>
          <w:bCs/>
          <w:color w:val="2E75B6"/>
          <w:sz w:val="24"/>
          <w:szCs w:val="24"/>
        </w:rPr>
        <w:t xml:space="preserve">Software Stack</w:t>
      </w:r>
    </w:p>
    <w:p>
      <w:pPr>
        <w:pStyle w:val="ListParagraph"/>
        <w:numPr>
          <w:ilvl w:val="0"/>
          <w:numId w:val="2"/>
        </w:numPr>
        <w:spacing w:after="80"/>
      </w:pPr>
      <w:r>
        <w:rPr>
          <w:rFonts w:ascii="Arial" w:cs="Arial" w:eastAsia="Arial" w:hAnsi="Arial"/>
          <w:color w:val="222222"/>
          <w:sz w:val="22"/>
          <w:szCs w:val="22"/>
        </w:rPr>
        <w:t xml:space="preserve">Python — primary: rasterio, geopandas, xarray, pysheds, scikit-learn, shap</w:t>
      </w:r>
    </w:p>
    <w:p>
      <w:pPr>
        <w:pStyle w:val="ListParagraph"/>
        <w:numPr>
          <w:ilvl w:val="0"/>
          <w:numId w:val="2"/>
        </w:numPr>
        <w:spacing w:after="80"/>
      </w:pPr>
      <w:r>
        <w:rPr>
          <w:rFonts w:ascii="Arial" w:cs="Arial" w:eastAsia="Arial" w:hAnsi="Arial"/>
          <w:color w:val="222222"/>
          <w:sz w:val="22"/>
          <w:szCs w:val="22"/>
        </w:rPr>
        <w:t xml:space="preserve">R — optional: plm (panel models), spdep (spatial econometrics)</w:t>
      </w:r>
    </w:p>
    <w:p>
      <w:pPr>
        <w:pStyle w:val="ListParagraph"/>
        <w:numPr>
          <w:ilvl w:val="0"/>
          <w:numId w:val="2"/>
        </w:numPr>
        <w:spacing w:after="80"/>
      </w:pPr>
      <w:r>
        <w:rPr>
          <w:rFonts w:ascii="Arial" w:cs="Arial" w:eastAsia="Arial" w:hAnsi="Arial"/>
          <w:color w:val="222222"/>
          <w:sz w:val="22"/>
          <w:szCs w:val="22"/>
        </w:rPr>
        <w:t xml:space="preserve">Google Earth Engine (JavaScript / Python API) — satellite data at scale</w:t>
      </w:r>
    </w:p>
    <w:p>
      <w:pPr>
        <w:pStyle w:val="ListParagraph"/>
        <w:numPr>
          <w:ilvl w:val="0"/>
          <w:numId w:val="2"/>
        </w:numPr>
        <w:spacing w:after="80"/>
      </w:pPr>
      <w:r>
        <w:rPr>
          <w:rFonts w:ascii="Arial" w:cs="Arial" w:eastAsia="Arial" w:hAnsi="Arial"/>
          <w:color w:val="222222"/>
          <w:sz w:val="22"/>
          <w:szCs w:val="22"/>
        </w:rPr>
        <w:t xml:space="preserve">QGIS — spatial validation and visual inspection</w:t>
      </w:r>
    </w:p>
    <w:p>
      <w:pPr>
        <w:spacing w:after="160"/>
      </w:pPr>
      <w:r>
        <w:t xml:space="preserve"/>
      </w:r>
    </w:p>
    <w:p>
      <w:pPr>
        <w:pStyle w:val="Heading1"/>
        <w:pBdr>
          <w:bottom w:val="single" w:color="2E75B6" w:sz="6" w:space="6"/>
        </w:pBdr>
        <w:spacing w:before="360" w:after="120"/>
      </w:pPr>
      <w:r>
        <w:rPr>
          <w:rFonts w:ascii="Arial" w:cs="Arial" w:eastAsia="Arial" w:hAnsi="Arial"/>
          <w:b/>
          <w:bCs/>
          <w:color w:val="1F4E79"/>
          <w:sz w:val="30"/>
          <w:szCs w:val="30"/>
        </w:rPr>
        <w:t xml:space="preserve">Literature Search Keywords</w:t>
      </w:r>
    </w:p>
    <w:p>
      <w:pPr>
        <w:spacing w:after="120"/>
      </w:pPr>
      <w:r>
        <w:rPr>
          <w:rFonts w:ascii="Arial" w:cs="Arial" w:eastAsia="Arial" w:hAnsi="Arial"/>
          <w:color w:val="222222"/>
          <w:sz w:val="22"/>
          <w:szCs w:val="22"/>
        </w:rPr>
        <w:t xml:space="preserve">Use the following keyword clusters when searching Google Scholar, Web of Science, or Scopus:</w:t>
      </w:r>
    </w:p>
    <w:p>
      <w:pPr>
        <w:spacing w:after="160"/>
      </w:pPr>
      <w:r>
        <w:t xml:space="preserve"/>
      </w:r>
    </w:p>
    <w:p>
      <w:pPr>
        <w:pStyle w:val="Heading2"/>
        <w:spacing w:before="280" w:after="80"/>
      </w:pPr>
      <w:r>
        <w:rPr>
          <w:rFonts w:ascii="Arial" w:cs="Arial" w:eastAsia="Arial" w:hAnsi="Arial"/>
          <w:b/>
          <w:bCs/>
          <w:color w:val="2E75B6"/>
          <w:sz w:val="24"/>
          <w:szCs w:val="24"/>
        </w:rPr>
        <w:t xml:space="preserve">Core Concept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D6E4F0" w:val="clear"/>
            <w:tcMar>
              <w:top w:type="dxa" w:w="100"/>
              <w:left w:type="dxa" w:w="100"/>
              <w:bottom w:type="dxa" w:w="100"/>
              <w:right w:type="dxa" w:w="100"/>
            </w:tcMar>
          </w:tcPr>
          <w:p>
            <w:pPr>
              <w:jc w:val="center"/>
            </w:pPr>
            <w:r>
              <w:rPr>
                <w:rFonts w:ascii="Arial" w:cs="Arial" w:eastAsia="Arial" w:hAnsi="Arial"/>
                <w:b/>
                <w:bCs/>
                <w:color w:val="1F4E79"/>
                <w:sz w:val="18"/>
                <w:szCs w:val="18"/>
              </w:rPr>
              <w:t xml:space="preserve">illegal mining detection</w:t>
            </w:r>
          </w:p>
        </w:tc>
        <w:tc>
          <w:tcPr>
            <w:tcW w:type="dxa" w:w="3120"/>
            <w:tcBorders>
              <w:top w:val="none" w:color="FFFFFF" w:sz="0"/>
              <w:left w:val="none" w:color="FFFFFF" w:sz="0"/>
              <w:bottom w:val="none" w:color="FFFFFF" w:sz="0"/>
              <w:right w:val="none" w:color="FFFFFF" w:sz="0"/>
            </w:tcBorders>
            <w:shd w:fill="D6E4F0" w:val="clear"/>
            <w:tcMar>
              <w:top w:type="dxa" w:w="100"/>
              <w:left w:type="dxa" w:w="100"/>
              <w:bottom w:type="dxa" w:w="100"/>
              <w:right w:type="dxa" w:w="100"/>
            </w:tcMar>
          </w:tcPr>
          <w:p>
            <w:pPr>
              <w:jc w:val="center"/>
            </w:pPr>
            <w:r>
              <w:rPr>
                <w:rFonts w:ascii="Arial" w:cs="Arial" w:eastAsia="Arial" w:hAnsi="Arial"/>
                <w:b/>
                <w:bCs/>
                <w:color w:val="1F4E79"/>
                <w:sz w:val="18"/>
                <w:szCs w:val="18"/>
              </w:rPr>
              <w:t xml:space="preserve">satellite remote sensing</w:t>
            </w:r>
          </w:p>
        </w:tc>
        <w:tc>
          <w:tcPr>
            <w:tcW w:type="dxa" w:w="3120"/>
            <w:tcBorders>
              <w:top w:val="none" w:color="FFFFFF" w:sz="0"/>
              <w:left w:val="none" w:color="FFFFFF" w:sz="0"/>
              <w:bottom w:val="none" w:color="FFFFFF" w:sz="0"/>
              <w:right w:val="none" w:color="FFFFFF" w:sz="0"/>
            </w:tcBorders>
            <w:shd w:fill="D6E4F0" w:val="clear"/>
            <w:tcMar>
              <w:top w:type="dxa" w:w="100"/>
              <w:left w:type="dxa" w:w="100"/>
              <w:bottom w:type="dxa" w:w="100"/>
              <w:right w:type="dxa" w:w="100"/>
            </w:tcMar>
          </w:tcPr>
          <w:p>
            <w:pPr>
              <w:jc w:val="center"/>
            </w:pPr>
            <w:r>
              <w:rPr>
                <w:rFonts w:ascii="Arial" w:cs="Arial" w:eastAsia="Arial" w:hAnsi="Arial"/>
                <w:b/>
                <w:bCs/>
                <w:color w:val="1F4E79"/>
                <w:sz w:val="18"/>
                <w:szCs w:val="18"/>
              </w:rPr>
              <w:t xml:space="preserve">sovereignty disputes</w:t>
            </w:r>
          </w:p>
        </w:tc>
      </w:tr>
    </w:tbl>
    <w:p>
      <w:pPr>
        <w:spacing w:after="160"/>
      </w:pPr>
      <w:r>
        <w:t xml:space="preserve"/>
      </w:r>
    </w:p>
    <w:p>
      <w:pPr>
        <w:pStyle w:val="Heading2"/>
        <w:spacing w:before="280" w:after="80"/>
      </w:pPr>
      <w:r>
        <w:rPr>
          <w:rFonts w:ascii="Arial" w:cs="Arial" w:eastAsia="Arial" w:hAnsi="Arial"/>
          <w:b/>
          <w:bCs/>
          <w:color w:val="2E75B6"/>
          <w:sz w:val="24"/>
          <w:szCs w:val="24"/>
        </w:rPr>
        <w:t xml:space="preserve">Physical Model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D6E4F0" w:val="clear"/>
            <w:tcMar>
              <w:top w:type="dxa" w:w="100"/>
              <w:left w:type="dxa" w:w="100"/>
              <w:bottom w:type="dxa" w:w="100"/>
              <w:right w:type="dxa" w:w="100"/>
            </w:tcMar>
          </w:tcPr>
          <w:p>
            <w:pPr>
              <w:jc w:val="center"/>
            </w:pPr>
            <w:r>
              <w:rPr>
                <w:rFonts w:ascii="Arial" w:cs="Arial" w:eastAsia="Arial" w:hAnsi="Arial"/>
                <w:b/>
                <w:bCs/>
                <w:color w:val="1F4E79"/>
                <w:sz w:val="18"/>
                <w:szCs w:val="18"/>
              </w:rPr>
              <w:t xml:space="preserve">SWAT sediment transport</w:t>
            </w:r>
          </w:p>
        </w:tc>
        <w:tc>
          <w:tcPr>
            <w:tcW w:type="dxa" w:w="3120"/>
            <w:tcBorders>
              <w:top w:val="none" w:color="FFFFFF" w:sz="0"/>
              <w:left w:val="none" w:color="FFFFFF" w:sz="0"/>
              <w:bottom w:val="none" w:color="FFFFFF" w:sz="0"/>
              <w:right w:val="none" w:color="FFFFFF" w:sz="0"/>
            </w:tcBorders>
            <w:shd w:fill="D6E4F0" w:val="clear"/>
            <w:tcMar>
              <w:top w:type="dxa" w:w="100"/>
              <w:left w:type="dxa" w:w="100"/>
              <w:bottom w:type="dxa" w:w="100"/>
              <w:right w:type="dxa" w:w="100"/>
            </w:tcMar>
          </w:tcPr>
          <w:p>
            <w:pPr>
              <w:jc w:val="center"/>
            </w:pPr>
            <w:r>
              <w:rPr>
                <w:rFonts w:ascii="Arial" w:cs="Arial" w:eastAsia="Arial" w:hAnsi="Arial"/>
                <w:b/>
                <w:bCs/>
                <w:color w:val="1F4E79"/>
                <w:sz w:val="18"/>
                <w:szCs w:val="18"/>
              </w:rPr>
              <w:t xml:space="preserve">water turbidity satellite</w:t>
            </w:r>
          </w:p>
        </w:tc>
        <w:tc>
          <w:tcPr>
            <w:tcW w:type="dxa" w:w="3120"/>
            <w:tcBorders>
              <w:top w:val="none" w:color="FFFFFF" w:sz="0"/>
              <w:left w:val="none" w:color="FFFFFF" w:sz="0"/>
              <w:bottom w:val="none" w:color="FFFFFF" w:sz="0"/>
              <w:right w:val="none" w:color="FFFFFF" w:sz="0"/>
            </w:tcBorders>
            <w:shd w:fill="D6E4F0" w:val="clear"/>
            <w:tcMar>
              <w:top w:type="dxa" w:w="100"/>
              <w:left w:type="dxa" w:w="100"/>
              <w:bottom w:type="dxa" w:w="100"/>
              <w:right w:type="dxa" w:w="100"/>
            </w:tcMar>
          </w:tcPr>
          <w:p>
            <w:pPr>
              <w:jc w:val="center"/>
            </w:pPr>
            <w:r>
              <w:rPr>
                <w:rFonts w:ascii="Arial" w:cs="Arial" w:eastAsia="Arial" w:hAnsi="Arial"/>
                <w:b/>
                <w:bCs/>
                <w:color w:val="1F4E79"/>
                <w:sz w:val="18"/>
                <w:szCs w:val="18"/>
              </w:rPr>
              <w:t xml:space="preserve">NDTI Sentinel-2</w:t>
            </w:r>
          </w:p>
        </w:tc>
      </w:tr>
    </w:tbl>
    <w:p>
      <w:pPr>
        <w:spacing w:after="160"/>
      </w:pPr>
      <w:r>
        <w:t xml:space="preserve"/>
      </w:r>
    </w:p>
    <w:p>
      <w:pPr>
        <w:pStyle w:val="Heading2"/>
        <w:spacing w:before="280" w:after="80"/>
      </w:pPr>
      <w:r>
        <w:rPr>
          <w:rFonts w:ascii="Arial" w:cs="Arial" w:eastAsia="Arial" w:hAnsi="Arial"/>
          <w:b/>
          <w:bCs/>
          <w:color w:val="2E75B6"/>
          <w:sz w:val="24"/>
          <w:szCs w:val="24"/>
        </w:rPr>
        <w:t xml:space="preserve">Hybrid ML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D6E4F0" w:val="clear"/>
            <w:tcMar>
              <w:top w:type="dxa" w:w="100"/>
              <w:left w:type="dxa" w:w="100"/>
              <w:bottom w:type="dxa" w:w="100"/>
              <w:right w:type="dxa" w:w="100"/>
            </w:tcMar>
          </w:tcPr>
          <w:p>
            <w:pPr>
              <w:jc w:val="center"/>
            </w:pPr>
            <w:r>
              <w:rPr>
                <w:rFonts w:ascii="Arial" w:cs="Arial" w:eastAsia="Arial" w:hAnsi="Arial"/>
                <w:b/>
                <w:bCs/>
                <w:color w:val="1F4E79"/>
                <w:sz w:val="18"/>
                <w:szCs w:val="18"/>
              </w:rPr>
              <w:t xml:space="preserve">physics-guided machine learning</w:t>
            </w:r>
          </w:p>
        </w:tc>
        <w:tc>
          <w:tcPr>
            <w:tcW w:type="dxa" w:w="3120"/>
            <w:tcBorders>
              <w:top w:val="none" w:color="FFFFFF" w:sz="0"/>
              <w:left w:val="none" w:color="FFFFFF" w:sz="0"/>
              <w:bottom w:val="none" w:color="FFFFFF" w:sz="0"/>
              <w:right w:val="none" w:color="FFFFFF" w:sz="0"/>
            </w:tcBorders>
            <w:shd w:fill="D6E4F0" w:val="clear"/>
            <w:tcMar>
              <w:top w:type="dxa" w:w="100"/>
              <w:left w:type="dxa" w:w="100"/>
              <w:bottom w:type="dxa" w:w="100"/>
              <w:right w:type="dxa" w:w="100"/>
            </w:tcMar>
          </w:tcPr>
          <w:p>
            <w:pPr>
              <w:jc w:val="center"/>
            </w:pPr>
            <w:r>
              <w:rPr>
                <w:rFonts w:ascii="Arial" w:cs="Arial" w:eastAsia="Arial" w:hAnsi="Arial"/>
                <w:b/>
                <w:bCs/>
                <w:color w:val="1F4E79"/>
                <w:sz w:val="18"/>
                <w:szCs w:val="18"/>
              </w:rPr>
              <w:t xml:space="preserve">model residual correction</w:t>
            </w:r>
          </w:p>
        </w:tc>
        <w:tc>
          <w:tcPr>
            <w:tcW w:type="dxa" w:w="3120"/>
            <w:tcBorders>
              <w:top w:val="none" w:color="FFFFFF" w:sz="0"/>
              <w:left w:val="none" w:color="FFFFFF" w:sz="0"/>
              <w:bottom w:val="none" w:color="FFFFFF" w:sz="0"/>
              <w:right w:val="none" w:color="FFFFFF" w:sz="0"/>
            </w:tcBorders>
            <w:shd w:fill="D6E4F0" w:val="clear"/>
            <w:tcMar>
              <w:top w:type="dxa" w:w="100"/>
              <w:left w:type="dxa" w:w="100"/>
              <w:bottom w:type="dxa" w:w="100"/>
              <w:right w:type="dxa" w:w="100"/>
            </w:tcMar>
          </w:tcPr>
          <w:p>
            <w:pPr>
              <w:jc w:val="center"/>
            </w:pPr>
            <w:r>
              <w:rPr>
                <w:rFonts w:ascii="Arial" w:cs="Arial" w:eastAsia="Arial" w:hAnsi="Arial"/>
                <w:b/>
                <w:bCs/>
                <w:color w:val="1F4E79"/>
                <w:sz w:val="18"/>
                <w:szCs w:val="18"/>
              </w:rPr>
              <w:t xml:space="preserve">hybrid hydrological</w:t>
            </w:r>
          </w:p>
        </w:tc>
      </w:tr>
    </w:tbl>
    <w:p>
      <w:pPr>
        <w:spacing w:after="160"/>
      </w:pPr>
      <w:r>
        <w:t xml:space="preserve"/>
      </w:r>
    </w:p>
    <w:p>
      <w:pPr>
        <w:pStyle w:val="Heading2"/>
        <w:spacing w:before="280" w:after="80"/>
      </w:pPr>
      <w:r>
        <w:rPr>
          <w:rFonts w:ascii="Arial" w:cs="Arial" w:eastAsia="Arial" w:hAnsi="Arial"/>
          <w:b/>
          <w:bCs/>
          <w:color w:val="2E75B6"/>
          <w:sz w:val="24"/>
          <w:szCs w:val="24"/>
        </w:rPr>
        <w:t xml:space="preserve">Geopolitics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D6E4F0" w:val="clear"/>
            <w:tcMar>
              <w:top w:type="dxa" w:w="100"/>
              <w:left w:type="dxa" w:w="100"/>
              <w:bottom w:type="dxa" w:w="100"/>
              <w:right w:type="dxa" w:w="100"/>
            </w:tcMar>
          </w:tcPr>
          <w:p>
            <w:pPr>
              <w:jc w:val="center"/>
            </w:pPr>
            <w:r>
              <w:rPr>
                <w:rFonts w:ascii="Arial" w:cs="Arial" w:eastAsia="Arial" w:hAnsi="Arial"/>
                <w:b/>
                <w:bCs/>
                <w:color w:val="1F4E79"/>
                <w:sz w:val="18"/>
                <w:szCs w:val="18"/>
              </w:rPr>
              <w:t xml:space="preserve">resource extraction conflict</w:t>
            </w:r>
          </w:p>
        </w:tc>
        <w:tc>
          <w:tcPr>
            <w:tcW w:type="dxa" w:w="3120"/>
            <w:tcBorders>
              <w:top w:val="none" w:color="FFFFFF" w:sz="0"/>
              <w:left w:val="none" w:color="FFFFFF" w:sz="0"/>
              <w:bottom w:val="none" w:color="FFFFFF" w:sz="0"/>
              <w:right w:val="none" w:color="FFFFFF" w:sz="0"/>
            </w:tcBorders>
            <w:shd w:fill="D6E4F0" w:val="clear"/>
            <w:tcMar>
              <w:top w:type="dxa" w:w="100"/>
              <w:left w:type="dxa" w:w="100"/>
              <w:bottom w:type="dxa" w:w="100"/>
              <w:right w:type="dxa" w:w="100"/>
            </w:tcMar>
          </w:tcPr>
          <w:p>
            <w:pPr>
              <w:jc w:val="center"/>
            </w:pPr>
            <w:r>
              <w:rPr>
                <w:rFonts w:ascii="Arial" w:cs="Arial" w:eastAsia="Arial" w:hAnsi="Arial"/>
                <w:b/>
                <w:bCs/>
                <w:color w:val="1F4E79"/>
                <w:sz w:val="18"/>
                <w:szCs w:val="18"/>
              </w:rPr>
              <w:t xml:space="preserve">weak governance deforestation</w:t>
            </w:r>
          </w:p>
        </w:tc>
        <w:tc>
          <w:tcPr>
            <w:tcW w:type="dxa" w:w="3120"/>
            <w:tcBorders>
              <w:top w:val="none" w:color="FFFFFF" w:sz="0"/>
              <w:left w:val="none" w:color="FFFFFF" w:sz="0"/>
              <w:bottom w:val="none" w:color="FFFFFF" w:sz="0"/>
              <w:right w:val="none" w:color="FFFFFF" w:sz="0"/>
            </w:tcBorders>
            <w:shd w:fill="D6E4F0" w:val="clear"/>
            <w:tcMar>
              <w:top w:type="dxa" w:w="100"/>
              <w:left w:type="dxa" w:w="100"/>
              <w:bottom w:type="dxa" w:w="100"/>
              <w:right w:type="dxa" w:w="100"/>
            </w:tcMar>
          </w:tcPr>
          <w:p>
            <w:pPr>
              <w:jc w:val="center"/>
            </w:pPr>
            <w:r>
              <w:rPr>
                <w:rFonts w:ascii="Arial" w:cs="Arial" w:eastAsia="Arial" w:hAnsi="Arial"/>
                <w:b/>
                <w:bCs/>
                <w:color w:val="1F4E79"/>
                <w:sz w:val="18"/>
                <w:szCs w:val="18"/>
              </w:rPr>
              <w:t xml:space="preserve">border zone environment</w:t>
            </w:r>
          </w:p>
        </w:tc>
      </w:tr>
    </w:tbl>
    <w:p>
      <w:pPr>
        <w:spacing w:after="160"/>
      </w:pPr>
      <w:r>
        <w:t xml:space="preserve"/>
      </w:r>
    </w:p>
    <w:p>
      <w:pPr>
        <w:pStyle w:val="Heading2"/>
        <w:spacing w:before="280" w:after="80"/>
      </w:pPr>
      <w:r>
        <w:rPr>
          <w:rFonts w:ascii="Arial" w:cs="Arial" w:eastAsia="Arial" w:hAnsi="Arial"/>
          <w:b/>
          <w:bCs/>
          <w:color w:val="2E75B6"/>
          <w:sz w:val="24"/>
          <w:szCs w:val="24"/>
        </w:rPr>
        <w:t xml:space="preserve">Causal Methods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D6E4F0" w:val="clear"/>
            <w:tcMar>
              <w:top w:type="dxa" w:w="100"/>
              <w:left w:type="dxa" w:w="100"/>
              <w:bottom w:type="dxa" w:w="100"/>
              <w:right w:type="dxa" w:w="100"/>
            </w:tcMar>
          </w:tcPr>
          <w:p>
            <w:pPr>
              <w:jc w:val="center"/>
            </w:pPr>
            <w:r>
              <w:rPr>
                <w:rFonts w:ascii="Arial" w:cs="Arial" w:eastAsia="Arial" w:hAnsi="Arial"/>
                <w:b/>
                <w:bCs/>
                <w:color w:val="1F4E79"/>
                <w:sz w:val="18"/>
                <w:szCs w:val="18"/>
              </w:rPr>
              <w:t xml:space="preserve">event study land use change</w:t>
            </w:r>
          </w:p>
        </w:tc>
        <w:tc>
          <w:tcPr>
            <w:tcW w:type="dxa" w:w="3120"/>
            <w:tcBorders>
              <w:top w:val="none" w:color="FFFFFF" w:sz="0"/>
              <w:left w:val="none" w:color="FFFFFF" w:sz="0"/>
              <w:bottom w:val="none" w:color="FFFFFF" w:sz="0"/>
              <w:right w:val="none" w:color="FFFFFF" w:sz="0"/>
            </w:tcBorders>
            <w:shd w:fill="D6E4F0" w:val="clear"/>
            <w:tcMar>
              <w:top w:type="dxa" w:w="100"/>
              <w:left w:type="dxa" w:w="100"/>
              <w:bottom w:type="dxa" w:w="100"/>
              <w:right w:type="dxa" w:w="100"/>
            </w:tcMar>
          </w:tcPr>
          <w:p>
            <w:pPr>
              <w:jc w:val="center"/>
            </w:pPr>
            <w:r>
              <w:rPr>
                <w:rFonts w:ascii="Arial" w:cs="Arial" w:eastAsia="Arial" w:hAnsi="Arial"/>
                <w:b/>
                <w:bCs/>
                <w:color w:val="1F4E79"/>
                <w:sz w:val="18"/>
                <w:szCs w:val="18"/>
              </w:rPr>
              <w:t xml:space="preserve">difference-in-differences deforestation</w:t>
            </w:r>
          </w:p>
        </w:tc>
        <w:tc>
          <w:tcPr>
            <w:tcW w:type="dxa" w:w="3120"/>
            <w:tcBorders>
              <w:top w:val="none" w:color="FFFFFF" w:sz="0"/>
              <w:left w:val="none" w:color="FFFFFF" w:sz="0"/>
              <w:bottom w:val="none" w:color="FFFFFF" w:sz="0"/>
              <w:right w:val="none" w:color="FFFFFF" w:sz="0"/>
            </w:tcBorders>
            <w:shd w:fill="D6E4F0" w:val="clear"/>
            <w:tcMar>
              <w:top w:type="dxa" w:w="100"/>
              <w:left w:type="dxa" w:w="100"/>
              <w:bottom w:type="dxa" w:w="100"/>
              <w:right w:type="dxa" w:w="100"/>
            </w:tcMar>
          </w:tcPr>
          <w:p>
            <w:pPr>
              <w:jc w:val="center"/>
            </w:pPr>
            <w:r>
              <w:rPr>
                <w:rFonts w:ascii="Arial" w:cs="Arial" w:eastAsia="Arial" w:hAnsi="Arial"/>
                <w:b/>
                <w:bCs/>
                <w:color w:val="1F4E79"/>
                <w:sz w:val="18"/>
                <w:szCs w:val="18"/>
              </w:rPr>
              <w:t xml:space="preserve">spatial panel econometrics</w:t>
            </w:r>
          </w:p>
        </w:tc>
      </w:tr>
    </w:tbl>
    <w:p>
      <w:pPr>
        <w:spacing w:after="160"/>
      </w:pPr>
      <w:r>
        <w:t xml:space="preserve"/>
      </w:r>
    </w:p>
    <w:p>
      <w:pPr>
        <w:spacing w:after="120"/>
      </w:pPr>
      <w:r>
        <w:rPr>
          <w:rFonts w:ascii="Arial" w:cs="Arial" w:eastAsia="Arial" w:hAnsi="Arial"/>
          <w:b/>
          <w:bCs/>
          <w:color w:val="222222"/>
          <w:sz w:val="22"/>
          <w:szCs w:val="22"/>
        </w:rPr>
        <w:t xml:space="preserve">Suggested combined searches:</w:t>
      </w:r>
    </w:p>
    <w:p>
      <w:pPr>
        <w:pStyle w:val="ListParagraph"/>
        <w:numPr>
          <w:ilvl w:val="0"/>
          <w:numId w:val="2"/>
        </w:numPr>
        <w:spacing w:after="80"/>
      </w:pPr>
      <w:r>
        <w:rPr>
          <w:rFonts w:ascii="Arial" w:cs="Arial" w:eastAsia="Arial" w:hAnsi="Arial"/>
          <w:color w:val="222222"/>
          <w:sz w:val="22"/>
          <w:szCs w:val="22"/>
        </w:rPr>
        <w:t xml:space="preserve">"illegal mining" AND "remote sensing" AND "governance"</w:t>
      </w:r>
    </w:p>
    <w:p>
      <w:pPr>
        <w:pStyle w:val="ListParagraph"/>
        <w:numPr>
          <w:ilvl w:val="0"/>
          <w:numId w:val="2"/>
        </w:numPr>
        <w:spacing w:after="80"/>
      </w:pPr>
      <w:r>
        <w:rPr>
          <w:rFonts w:ascii="Arial" w:cs="Arial" w:eastAsia="Arial" w:hAnsi="Arial"/>
          <w:color w:val="222222"/>
          <w:sz w:val="22"/>
          <w:szCs w:val="22"/>
        </w:rPr>
        <w:t xml:space="preserve">"sediment transport model" AND "satellite validation" AND "land use"</w:t>
      </w:r>
    </w:p>
    <w:p>
      <w:pPr>
        <w:pStyle w:val="ListParagraph"/>
        <w:numPr>
          <w:ilvl w:val="0"/>
          <w:numId w:val="2"/>
        </w:numPr>
        <w:spacing w:after="80"/>
      </w:pPr>
      <w:r>
        <w:rPr>
          <w:rFonts w:ascii="Arial" w:cs="Arial" w:eastAsia="Arial" w:hAnsi="Arial"/>
          <w:color w:val="222222"/>
          <w:sz w:val="22"/>
          <w:szCs w:val="22"/>
        </w:rPr>
        <w:t xml:space="preserve">"physics-informed machine learning" AND "hydrology"</w:t>
      </w:r>
    </w:p>
    <w:p>
      <w:pPr>
        <w:pStyle w:val="ListParagraph"/>
        <w:numPr>
          <w:ilvl w:val="0"/>
          <w:numId w:val="2"/>
        </w:numPr>
        <w:spacing w:after="80"/>
      </w:pPr>
      <w:r>
        <w:rPr>
          <w:rFonts w:ascii="Arial" w:cs="Arial" w:eastAsia="Arial" w:hAnsi="Arial"/>
          <w:color w:val="222222"/>
          <w:sz w:val="22"/>
          <w:szCs w:val="22"/>
        </w:rPr>
        <w:t xml:space="preserve">"disputed territory" AND "natural resource extraction"</w:t>
      </w:r>
    </w:p>
    <w:p>
      <w:pPr>
        <w:pStyle w:val="ListParagraph"/>
        <w:numPr>
          <w:ilvl w:val="0"/>
          <w:numId w:val="2"/>
        </w:numPr>
        <w:spacing w:after="80"/>
      </w:pPr>
      <w:r>
        <w:rPr>
          <w:rFonts w:ascii="Arial" w:cs="Arial" w:eastAsia="Arial" w:hAnsi="Arial"/>
          <w:color w:val="222222"/>
          <w:sz w:val="22"/>
          <w:szCs w:val="22"/>
        </w:rPr>
        <w:t xml:space="preserve">"water turbidity" AND "Sentinel-2" AND "artisanal mining"</w:t>
      </w:r>
    </w:p>
    <w:p>
      <w:pPr>
        <w:spacing w:after="160"/>
      </w:pPr>
      <w:r>
        <w:t xml:space="preserve"/>
      </w:r>
    </w:p>
    <w:p>
      <w:pPr>
        <w:pStyle w:val="Heading1"/>
        <w:pBdr>
          <w:bottom w:val="single" w:color="2E75B6" w:sz="6" w:space="6"/>
        </w:pBdr>
        <w:spacing w:before="360" w:after="120"/>
      </w:pPr>
      <w:r>
        <w:rPr>
          <w:rFonts w:ascii="Arial" w:cs="Arial" w:eastAsia="Arial" w:hAnsi="Arial"/>
          <w:b/>
          <w:bCs/>
          <w:color w:val="1F4E79"/>
          <w:sz w:val="30"/>
          <w:szCs w:val="30"/>
        </w:rPr>
        <w:t xml:space="preserve">Known Limitations to Address in the Literature Review</w:t>
      </w:r>
    </w:p>
    <w:p>
      <w:pPr>
        <w:pStyle w:val="ListParagraph"/>
        <w:numPr>
          <w:ilvl w:val="0"/>
          <w:numId w:val="2"/>
        </w:numPr>
        <w:spacing w:after="80"/>
      </w:pPr>
      <w:r>
        <w:rPr>
          <w:rFonts w:ascii="Arial" w:cs="Arial" w:eastAsia="Arial" w:hAnsi="Arial"/>
          <w:color w:val="222222"/>
          <w:sz w:val="22"/>
          <w:szCs w:val="22"/>
        </w:rPr>
        <w:t xml:space="preserve">SWAT calibration requires stream gauge data — sparse in contested zones. May need to fall back to uncalibrated or regionalized parameters. Assess the literature on ungauged basin estimation.</w:t>
      </w:r>
    </w:p>
    <w:p>
      <w:pPr>
        <w:pStyle w:val="ListParagraph"/>
        <w:numPr>
          <w:ilvl w:val="0"/>
          <w:numId w:val="2"/>
        </w:numPr>
        <w:spacing w:after="80"/>
      </w:pPr>
      <w:r>
        <w:rPr>
          <w:rFonts w:ascii="Arial" w:cs="Arial" w:eastAsia="Arial" w:hAnsi="Arial"/>
          <w:color w:val="222222"/>
          <w:sz w:val="22"/>
          <w:szCs w:val="22"/>
        </w:rPr>
        <w:t xml:space="preserve">Turbidity detects surface/alluvial mining only — underground hard-rock mines leave no water signal. Scope must be clearly bounded.</w:t>
      </w:r>
    </w:p>
    <w:p>
      <w:pPr>
        <w:pStyle w:val="ListParagraph"/>
        <w:numPr>
          <w:ilvl w:val="0"/>
          <w:numId w:val="2"/>
        </w:numPr>
        <w:spacing w:after="80"/>
      </w:pPr>
      <w:r>
        <w:rPr>
          <w:rFonts w:ascii="Arial" w:cs="Arial" w:eastAsia="Arial" w:hAnsi="Arial"/>
          <w:color w:val="222222"/>
          <w:sz w:val="22"/>
          <w:szCs w:val="22"/>
        </w:rPr>
        <w:t xml:space="preserve">Dispute databases (ICOW, MID) have variable temporal granularity. Check coverage before committing to the event study design.</w:t>
      </w:r>
    </w:p>
    <w:p>
      <w:pPr>
        <w:pStyle w:val="ListParagraph"/>
        <w:numPr>
          <w:ilvl w:val="0"/>
          <w:numId w:val="2"/>
        </w:numPr>
        <w:spacing w:after="80"/>
      </w:pPr>
      <w:r>
        <w:rPr>
          <w:rFonts w:ascii="Arial" w:cs="Arial" w:eastAsia="Arial" w:hAnsi="Arial"/>
          <w:color w:val="222222"/>
          <w:sz w:val="22"/>
          <w:szCs w:val="22"/>
        </w:rPr>
        <w:t xml:space="preserve">Confounding: disputed zones may differ geologically from non-disputed zones (more mineral-rich, hence disputed in the first place). This endogeneity must be addressed explicitly.</w:t>
      </w:r>
    </w:p>
    <w:p>
      <w:pPr>
        <w:spacing w:after="160"/>
      </w:pPr>
      <w:r>
        <w:t xml:space="preserve"/>
      </w:r>
    </w:p>
    <w:p>
      <w:pPr>
        <w:pStyle w:val="Heading1"/>
        <w:pBdr>
          <w:bottom w:val="single" w:color="2E75B6" w:sz="6" w:space="6"/>
        </w:pBdr>
        <w:spacing w:before="360" w:after="120"/>
      </w:pPr>
      <w:r>
        <w:rPr>
          <w:rFonts w:ascii="Arial" w:cs="Arial" w:eastAsia="Arial" w:hAnsi="Arial"/>
          <w:b/>
          <w:bCs/>
          <w:color w:val="1F4E79"/>
          <w:sz w:val="30"/>
          <w:szCs w:val="30"/>
        </w:rPr>
        <w:t xml:space="preserve">Research Novelty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60"/>
              <w:left w:type="dxa" w:w="240"/>
              <w:bottom w:type="dxa" w:w="160"/>
              <w:right w:type="dxa" w:w="240"/>
            </w:tcMar>
          </w:tcPr>
          <w:p>
            <w:pPr>
              <w:spacing w:after="80"/>
            </w:pPr>
            <w:r>
              <w:rPr>
                <w:rFonts w:ascii="Arial" w:cs="Arial" w:eastAsia="Arial" w:hAnsi="Arial"/>
                <w:i/>
                <w:iCs/>
                <w:color w:val="222222"/>
                <w:sz w:val="22"/>
                <w:szCs w:val="22"/>
              </w:rPr>
              <w:t xml:space="preserve">The primary methodological contribution is the hybrid pipeline itself:</w:t>
            </w:r>
          </w:p>
          <w:p>
            <w:pPr>
              <w:spacing w:after="80"/>
            </w:pPr>
            <w:r>
              <w:rPr>
                <w:rFonts w:ascii="Arial" w:cs="Arial" w:eastAsia="Arial" w:hAnsi="Arial"/>
                <w:i/>
                <w:iCs/>
                <w:color w:val="222222"/>
                <w:sz w:val="22"/>
                <w:szCs w:val="22"/>
              </w:rPr>
              <w:t xml:space="preserve">physics model → residual → ML geopolitical predictor.</w:t>
            </w:r>
          </w:p>
          <w:p>
            <w:pPr>
              <w:spacing w:after="80"/>
            </w:pPr>
            <w:r>
              <w:rPr>
                <w:rFonts w:ascii="Arial" w:cs="Arial" w:eastAsia="Arial" w:hAnsi="Arial"/>
                <w:i/>
                <w:iCs/>
                <w:color w:val="222222"/>
                <w:sz w:val="22"/>
                <w:szCs w:val="22"/>
              </w:rPr>
              <w:t xml:space="preserve"/>
            </w:r>
          </w:p>
          <w:p>
            <w:pPr>
              <w:spacing w:after="80"/>
            </w:pPr>
            <w:r>
              <w:rPr>
                <w:rFonts w:ascii="Arial" w:cs="Arial" w:eastAsia="Arial" w:hAnsi="Arial"/>
                <w:i/>
                <w:iCs/>
                <w:color w:val="222222"/>
                <w:sz w:val="22"/>
                <w:szCs w:val="22"/>
              </w:rPr>
              <w:t xml:space="preserve">Most remote sensing studies of illegal extraction use pure ML or pure change detection.</w:t>
            </w:r>
          </w:p>
          <w:p>
            <w:pPr>
              <w:spacing w:after="80"/>
            </w:pPr>
            <w:r>
              <w:rPr>
                <w:rFonts w:ascii="Arial" w:cs="Arial" w:eastAsia="Arial" w:hAnsi="Arial"/>
                <w:i/>
                <w:iCs/>
                <w:color w:val="222222"/>
                <w:sz w:val="22"/>
                <w:szCs w:val="22"/>
              </w:rPr>
              <w:t xml:space="preserve">Most geopolitical studies of resource extraction use aggregate country-level statistics.</w:t>
            </w:r>
          </w:p>
          <w:p>
            <w:pPr>
              <w:spacing w:after="80"/>
            </w:pPr>
            <w:r>
              <w:rPr>
                <w:rFonts w:ascii="Arial" w:cs="Arial" w:eastAsia="Arial" w:hAnsi="Arial"/>
                <w:i/>
                <w:iCs/>
                <w:color w:val="222222"/>
                <w:sz w:val="22"/>
                <w:szCs w:val="22"/>
              </w:rPr>
              <w:t xml:space="preserve"/>
            </w:r>
          </w:p>
          <w:p>
            <w:pPr>
              <w:spacing w:after="80"/>
            </w:pPr>
            <w:r>
              <w:rPr>
                <w:rFonts w:ascii="Arial" w:cs="Arial" w:eastAsia="Arial" w:hAnsi="Arial"/>
                <w:i/>
                <w:iCs/>
                <w:color w:val="222222"/>
                <w:sz w:val="22"/>
                <w:szCs w:val="22"/>
              </w:rPr>
              <w:t xml:space="preserve">This proposal operates at catchment resolution, over time, with an interpretable</w:t>
            </w:r>
          </w:p>
          <w:p>
            <w:pPr>
              <w:spacing w:after="80"/>
            </w:pPr>
            <w:r>
              <w:rPr>
                <w:rFonts w:ascii="Arial" w:cs="Arial" w:eastAsia="Arial" w:hAnsi="Arial"/>
                <w:i/>
                <w:iCs/>
                <w:color w:val="222222"/>
                <w:sz w:val="22"/>
                <w:szCs w:val="22"/>
              </w:rPr>
              <w:t xml:space="preserve">physical baseline — and frames the residual as a geopolitically meaningful signal.</w:t>
            </w:r>
          </w:p>
          <w:p>
            <w:pPr>
              <w:spacing w:after="0"/>
            </w:pPr>
            <w:r>
              <w:rPr>
                <w:rFonts w:ascii="Arial" w:cs="Arial" w:eastAsia="Arial" w:hAnsi="Arial"/>
                <w:i/>
                <w:iCs/>
                <w:color w:val="222222"/>
                <w:sz w:val="22"/>
                <w:szCs w:val="22"/>
              </w:rPr>
              <w:t xml:space="preserve">That framing is, to the best of current knowledge, novel.</w:t>
            </w:r>
          </w:p>
        </w:tc>
      </w:tr>
    </w:tbl>
    <w:p>
      <w:pPr>
        <w:spacing w:after="16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120"/>
    </w:pPr>
    <w:r>
      <w:rPr>
        <w:rFonts w:ascii="Arial" w:cs="Arial" w:eastAsia="Arial" w:hAnsi="Arial"/>
        <w:color w:val="595959"/>
        <w:sz w:val="18"/>
        <w:szCs w:val="18"/>
      </w:rPr>
      <w:t xml:space="preserve">Research Proposal — Draft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0"/>
      <w:szCs w:val="30"/>
    </w:rPr>
  </w:style>
  <w:style w:type="paragraph" w:styleId="Heading2">
    <w:name w:val="Heading 2"/>
    <w:basedOn w:val="Normal"/>
    <w:next w:val="Normal"/>
    <w:qFormat/>
    <w:pPr>
      <w:spacing w:before="28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2026-03-16T10:29:50.431Z</dcterms:created>
  <dcterms:modified xsi:type="dcterms:W3CDTF">2026-03-16T10:29:50.432Z</dcterms:modified>
</cp:coreProperties>
</file>

<file path=docProps/custom.xml><?xml version="1.0" encoding="utf-8"?>
<Properties xmlns="http://schemas.openxmlformats.org/officeDocument/2006/custom-properties" xmlns:vt="http://schemas.openxmlformats.org/officeDocument/2006/docPropsVTypes"/>
</file>