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EF" w:rsidRDefault="006102EF" w:rsidP="00E127BD">
      <w:pPr>
        <w:rPr>
          <w:rFonts w:ascii="Arial" w:hAnsi="Arial" w:cs="Arial"/>
          <w:sz w:val="20"/>
          <w:szCs w:val="20"/>
          <w:lang w:val="en-US"/>
        </w:rPr>
      </w:pPr>
      <w:r>
        <w:rPr>
          <w:rFonts w:ascii="Arial" w:hAnsi="Arial" w:cs="Arial"/>
          <w:sz w:val="20"/>
          <w:szCs w:val="20"/>
          <w:lang w:val="en-US"/>
        </w:rPr>
        <w:t>DATA FOR THE SPANISH MODEL</w:t>
      </w:r>
    </w:p>
    <w:p w:rsidR="006102EF" w:rsidRDefault="006102EF" w:rsidP="00E127BD">
      <w:pPr>
        <w:rPr>
          <w:rFonts w:ascii="Arial" w:hAnsi="Arial" w:cs="Arial"/>
          <w:sz w:val="20"/>
          <w:szCs w:val="20"/>
          <w:lang w:val="en-US"/>
        </w:rPr>
      </w:pPr>
    </w:p>
    <w:p w:rsidR="00E127BD" w:rsidRPr="00983FA5" w:rsidRDefault="00E127BD" w:rsidP="00E127BD">
      <w:pPr>
        <w:rPr>
          <w:rFonts w:ascii="Calibri" w:hAnsi="Calibri" w:cs="Calibri"/>
          <w:lang w:val="en-US"/>
        </w:rPr>
      </w:pPr>
      <w:r>
        <w:rPr>
          <w:rFonts w:ascii="Arial" w:hAnsi="Arial" w:cs="Arial"/>
          <w:sz w:val="20"/>
          <w:szCs w:val="20"/>
          <w:lang w:val="en-US"/>
        </w:rPr>
        <w:t>All the data except the serie</w:t>
      </w:r>
      <w:r w:rsidR="002C53A6">
        <w:rPr>
          <w:rFonts w:ascii="Arial" w:hAnsi="Arial" w:cs="Arial"/>
          <w:sz w:val="20"/>
          <w:szCs w:val="20"/>
          <w:lang w:val="en-US"/>
        </w:rPr>
        <w:t>s</w:t>
      </w:r>
      <w:r>
        <w:rPr>
          <w:rFonts w:ascii="Arial" w:hAnsi="Arial" w:cs="Arial"/>
          <w:sz w:val="20"/>
          <w:szCs w:val="20"/>
          <w:lang w:val="en-US"/>
        </w:rPr>
        <w:t xml:space="preserve"> </w:t>
      </w:r>
      <w:r w:rsidRPr="00E127BD">
        <w:rPr>
          <w:rFonts w:ascii="Arial" w:hAnsi="Arial" w:cs="Arial"/>
          <w:sz w:val="20"/>
          <w:szCs w:val="20"/>
          <w:lang w:val="en-US"/>
        </w:rPr>
        <w:t>LFSQ_EWHAIS</w:t>
      </w:r>
      <w:r>
        <w:rPr>
          <w:rFonts w:ascii="Arial" w:hAnsi="Arial" w:cs="Arial"/>
          <w:sz w:val="20"/>
          <w:szCs w:val="20"/>
          <w:lang w:val="en-US"/>
        </w:rPr>
        <w:t xml:space="preserve"> is extracted from: </w:t>
      </w:r>
      <w:hyperlink r:id="rId5" w:history="1">
        <w:r w:rsidRPr="00983FA5">
          <w:rPr>
            <w:rFonts w:ascii="Calibri" w:hAnsi="Calibri" w:cs="Calibri"/>
            <w:color w:val="0000FF"/>
            <w:u w:val="single"/>
            <w:lang w:val="en-US"/>
          </w:rPr>
          <w:t>https://fred.stlouisfed.org/</w:t>
        </w:r>
      </w:hyperlink>
    </w:p>
    <w:p w:rsidR="006F18D1" w:rsidRDefault="00AD173E">
      <w:pPr>
        <w:rPr>
          <w:lang w:val="en-US"/>
        </w:rPr>
      </w:pPr>
    </w:p>
    <w:p w:rsidR="00C174A0" w:rsidRPr="00C850E4" w:rsidRDefault="00C174A0" w:rsidP="00C174A0">
      <w:pPr>
        <w:rPr>
          <w:rFonts w:ascii="Arial" w:hAnsi="Arial" w:cs="Arial"/>
          <w:b/>
          <w:bCs/>
          <w:sz w:val="20"/>
          <w:szCs w:val="20"/>
          <w:lang w:val="en-US"/>
        </w:rPr>
      </w:pPr>
      <w:r w:rsidRPr="00C174A0">
        <w:rPr>
          <w:rFonts w:ascii="Arial" w:hAnsi="Arial" w:cs="Arial"/>
          <w:b/>
          <w:bCs/>
          <w:sz w:val="20"/>
          <w:szCs w:val="20"/>
          <w:lang w:val="en-US"/>
        </w:rPr>
        <w:t>CLVMNACSCAB1GQES</w:t>
      </w:r>
    </w:p>
    <w:p w:rsidR="00C174A0" w:rsidRPr="00C850E4" w:rsidRDefault="00C174A0" w:rsidP="00C174A0">
      <w:pPr>
        <w:rPr>
          <w:rFonts w:ascii="Arial" w:hAnsi="Arial" w:cs="Arial"/>
          <w:b/>
          <w:bCs/>
          <w:sz w:val="20"/>
          <w:szCs w:val="20"/>
          <w:lang w:val="en-US"/>
        </w:rPr>
      </w:pPr>
      <w:r w:rsidRPr="00C174A0">
        <w:rPr>
          <w:rFonts w:ascii="Arial" w:hAnsi="Arial" w:cs="Arial"/>
          <w:b/>
          <w:bCs/>
          <w:sz w:val="20"/>
          <w:szCs w:val="20"/>
          <w:lang w:val="en-US"/>
        </w:rPr>
        <w:t xml:space="preserve">Real Gross Domestic Product for Spain, </w:t>
      </w:r>
      <w:r w:rsidR="002F1D84">
        <w:rPr>
          <w:rFonts w:ascii="Arial" w:hAnsi="Arial" w:cs="Arial"/>
          <w:b/>
          <w:bCs/>
          <w:color w:val="FF0000"/>
          <w:sz w:val="20"/>
          <w:szCs w:val="20"/>
          <w:lang w:val="en-US"/>
        </w:rPr>
        <w:t>Euros</w:t>
      </w:r>
      <w:r w:rsidRPr="00C174A0">
        <w:rPr>
          <w:rFonts w:ascii="Arial" w:hAnsi="Arial" w:cs="Arial"/>
          <w:b/>
          <w:bCs/>
          <w:color w:val="FF0000"/>
          <w:sz w:val="20"/>
          <w:szCs w:val="20"/>
          <w:lang w:val="en-US"/>
        </w:rPr>
        <w:t xml:space="preserve"> </w:t>
      </w:r>
      <w:r w:rsidRPr="00C174A0">
        <w:rPr>
          <w:rFonts w:ascii="Arial" w:hAnsi="Arial" w:cs="Arial"/>
          <w:b/>
          <w:bCs/>
          <w:sz w:val="20"/>
          <w:szCs w:val="20"/>
          <w:lang w:val="en-US"/>
        </w:rPr>
        <w:t>of Chained 2010 Euros, Quarterly, Seasonally Adjusted</w:t>
      </w:r>
    </w:p>
    <w:p w:rsidR="00C174A0" w:rsidRDefault="00C174A0">
      <w:pPr>
        <w:rPr>
          <w:lang w:val="en-US"/>
        </w:rPr>
      </w:pPr>
    </w:p>
    <w:p w:rsidR="00C174A0" w:rsidRPr="00C850E4" w:rsidRDefault="00C174A0" w:rsidP="00C174A0">
      <w:pPr>
        <w:rPr>
          <w:rFonts w:ascii="Arial" w:hAnsi="Arial" w:cs="Arial"/>
          <w:b/>
          <w:bCs/>
          <w:sz w:val="20"/>
          <w:szCs w:val="20"/>
          <w:lang w:val="en-US"/>
        </w:rPr>
      </w:pPr>
      <w:r w:rsidRPr="00C174A0">
        <w:rPr>
          <w:rFonts w:ascii="Arial" w:hAnsi="Arial" w:cs="Arial"/>
          <w:b/>
          <w:bCs/>
          <w:sz w:val="20"/>
          <w:szCs w:val="20"/>
          <w:lang w:val="en-US"/>
        </w:rPr>
        <w:t>ESPGDPDEFQISMEI</w:t>
      </w:r>
    </w:p>
    <w:p w:rsidR="00C174A0" w:rsidRPr="00C850E4" w:rsidRDefault="00C174A0" w:rsidP="00C174A0">
      <w:pPr>
        <w:rPr>
          <w:rFonts w:ascii="Arial" w:hAnsi="Arial" w:cs="Arial"/>
          <w:b/>
          <w:bCs/>
          <w:sz w:val="20"/>
          <w:szCs w:val="20"/>
          <w:lang w:val="en-US"/>
        </w:rPr>
      </w:pPr>
      <w:r w:rsidRPr="00C174A0">
        <w:rPr>
          <w:rFonts w:ascii="Arial" w:hAnsi="Arial" w:cs="Arial"/>
          <w:b/>
          <w:bCs/>
          <w:sz w:val="20"/>
          <w:szCs w:val="20"/>
          <w:lang w:val="en-US"/>
        </w:rPr>
        <w:t xml:space="preserve">GDP Implicit Price Deflator in Spain, </w:t>
      </w:r>
      <w:r w:rsidRPr="00C174A0">
        <w:rPr>
          <w:rFonts w:ascii="Arial" w:hAnsi="Arial" w:cs="Arial"/>
          <w:b/>
          <w:bCs/>
          <w:color w:val="FF0000"/>
          <w:sz w:val="20"/>
          <w:szCs w:val="20"/>
          <w:lang w:val="en-US"/>
        </w:rPr>
        <w:t>Index 2015=100</w:t>
      </w:r>
      <w:r w:rsidRPr="00C174A0">
        <w:rPr>
          <w:rFonts w:ascii="Arial" w:hAnsi="Arial" w:cs="Arial"/>
          <w:b/>
          <w:bCs/>
          <w:sz w:val="20"/>
          <w:szCs w:val="20"/>
          <w:lang w:val="en-US"/>
        </w:rPr>
        <w:t>, Quarterly, Seasonally Adjusted</w:t>
      </w:r>
    </w:p>
    <w:p w:rsidR="00C174A0" w:rsidRPr="00C850E4" w:rsidRDefault="00C174A0">
      <w:pPr>
        <w:rPr>
          <w:b/>
          <w:bCs/>
          <w:lang w:val="en-US"/>
        </w:rPr>
      </w:pPr>
    </w:p>
    <w:p w:rsidR="00C174A0" w:rsidRPr="00C850E4" w:rsidRDefault="00C174A0" w:rsidP="00C174A0">
      <w:pPr>
        <w:rPr>
          <w:rFonts w:ascii="Arial" w:hAnsi="Arial" w:cs="Arial"/>
          <w:b/>
          <w:bCs/>
          <w:color w:val="000000" w:themeColor="text1"/>
          <w:sz w:val="20"/>
          <w:szCs w:val="20"/>
          <w:lang w:val="en-US"/>
        </w:rPr>
      </w:pPr>
      <w:r w:rsidRPr="00C174A0">
        <w:rPr>
          <w:rFonts w:ascii="Arial" w:hAnsi="Arial" w:cs="Arial"/>
          <w:b/>
          <w:bCs/>
          <w:color w:val="000000" w:themeColor="text1"/>
          <w:sz w:val="20"/>
          <w:szCs w:val="20"/>
          <w:lang w:val="en-US"/>
        </w:rPr>
        <w:t>ESPPFCEQDSMEI</w:t>
      </w:r>
    </w:p>
    <w:p w:rsidR="00C174A0" w:rsidRPr="00C850E4" w:rsidRDefault="00C174A0" w:rsidP="00C174A0">
      <w:pPr>
        <w:rPr>
          <w:rFonts w:ascii="Arial" w:hAnsi="Arial" w:cs="Arial"/>
          <w:b/>
          <w:bCs/>
          <w:color w:val="000000" w:themeColor="text1"/>
          <w:sz w:val="20"/>
          <w:szCs w:val="20"/>
          <w:lang w:val="en-US"/>
        </w:rPr>
      </w:pPr>
      <w:r w:rsidRPr="00C174A0">
        <w:rPr>
          <w:rFonts w:ascii="Arial" w:hAnsi="Arial" w:cs="Arial"/>
          <w:b/>
          <w:bCs/>
          <w:color w:val="000000" w:themeColor="text1"/>
          <w:sz w:val="20"/>
          <w:szCs w:val="20"/>
          <w:lang w:val="en-US"/>
        </w:rPr>
        <w:t xml:space="preserve">Private Final Consumption Expenditure in Spain, </w:t>
      </w:r>
      <w:r w:rsidRPr="00C174A0">
        <w:rPr>
          <w:rFonts w:ascii="Arial" w:hAnsi="Arial" w:cs="Arial"/>
          <w:b/>
          <w:bCs/>
          <w:color w:val="FF0000"/>
          <w:sz w:val="20"/>
          <w:szCs w:val="20"/>
          <w:lang w:val="en-US"/>
        </w:rPr>
        <w:t>Euros</w:t>
      </w:r>
      <w:r w:rsidRPr="00C174A0">
        <w:rPr>
          <w:rFonts w:ascii="Arial" w:hAnsi="Arial" w:cs="Arial"/>
          <w:b/>
          <w:bCs/>
          <w:color w:val="000000" w:themeColor="text1"/>
          <w:sz w:val="20"/>
          <w:szCs w:val="20"/>
          <w:lang w:val="en-US"/>
        </w:rPr>
        <w:t>, Quarterly, Seasonally Adjusted</w:t>
      </w:r>
    </w:p>
    <w:p w:rsidR="00C174A0" w:rsidRPr="00C850E4" w:rsidRDefault="00C174A0">
      <w:pPr>
        <w:rPr>
          <w:b/>
          <w:bCs/>
          <w:color w:val="000000" w:themeColor="text1"/>
          <w:lang w:val="en-US"/>
        </w:rPr>
      </w:pPr>
    </w:p>
    <w:p w:rsidR="00C174A0" w:rsidRPr="00C850E4" w:rsidRDefault="00C174A0" w:rsidP="00C174A0">
      <w:pPr>
        <w:rPr>
          <w:rFonts w:ascii="Arial" w:hAnsi="Arial" w:cs="Arial"/>
          <w:b/>
          <w:bCs/>
          <w:color w:val="000000" w:themeColor="text1"/>
          <w:sz w:val="20"/>
          <w:szCs w:val="20"/>
          <w:lang w:val="en-US"/>
        </w:rPr>
      </w:pPr>
      <w:r w:rsidRPr="00C174A0">
        <w:rPr>
          <w:rFonts w:ascii="Arial" w:hAnsi="Arial" w:cs="Arial"/>
          <w:b/>
          <w:bCs/>
          <w:color w:val="000000" w:themeColor="text1"/>
          <w:sz w:val="20"/>
          <w:szCs w:val="20"/>
          <w:lang w:val="en-US"/>
        </w:rPr>
        <w:t>ESPGFCFQDSMEI</w:t>
      </w:r>
    </w:p>
    <w:p w:rsidR="00C174A0" w:rsidRPr="00C850E4" w:rsidRDefault="00C174A0" w:rsidP="00C174A0">
      <w:pPr>
        <w:rPr>
          <w:rFonts w:ascii="Arial" w:hAnsi="Arial" w:cs="Arial"/>
          <w:b/>
          <w:bCs/>
          <w:color w:val="000000" w:themeColor="text1"/>
          <w:sz w:val="20"/>
          <w:szCs w:val="20"/>
          <w:lang w:val="en-US"/>
        </w:rPr>
      </w:pPr>
      <w:r w:rsidRPr="00C174A0">
        <w:rPr>
          <w:rFonts w:ascii="Arial" w:hAnsi="Arial" w:cs="Arial"/>
          <w:b/>
          <w:bCs/>
          <w:color w:val="000000" w:themeColor="text1"/>
          <w:sz w:val="20"/>
          <w:szCs w:val="20"/>
          <w:lang w:val="en-US"/>
        </w:rPr>
        <w:t xml:space="preserve">Gross Fixed Capital Formation in Spain, </w:t>
      </w:r>
      <w:r w:rsidRPr="00C174A0">
        <w:rPr>
          <w:rFonts w:ascii="Arial" w:hAnsi="Arial" w:cs="Arial"/>
          <w:b/>
          <w:bCs/>
          <w:color w:val="FF0000"/>
          <w:sz w:val="20"/>
          <w:szCs w:val="20"/>
          <w:lang w:val="en-US"/>
        </w:rPr>
        <w:t>Euros</w:t>
      </w:r>
      <w:r w:rsidRPr="00C174A0">
        <w:rPr>
          <w:rFonts w:ascii="Arial" w:hAnsi="Arial" w:cs="Arial"/>
          <w:b/>
          <w:bCs/>
          <w:color w:val="000000" w:themeColor="text1"/>
          <w:sz w:val="20"/>
          <w:szCs w:val="20"/>
          <w:lang w:val="en-US"/>
        </w:rPr>
        <w:t>, Quarterly, Seasonally Adjusted</w:t>
      </w:r>
    </w:p>
    <w:p w:rsidR="00C174A0" w:rsidRPr="00C850E4" w:rsidRDefault="00C174A0">
      <w:pPr>
        <w:rPr>
          <w:b/>
          <w:bCs/>
          <w:color w:val="000000" w:themeColor="text1"/>
          <w:lang w:val="en-US"/>
        </w:rPr>
      </w:pPr>
    </w:p>
    <w:p w:rsidR="00C174A0" w:rsidRPr="00C850E4" w:rsidRDefault="00C174A0" w:rsidP="00C174A0">
      <w:pPr>
        <w:rPr>
          <w:rFonts w:ascii="Arial" w:hAnsi="Arial" w:cs="Arial"/>
          <w:b/>
          <w:bCs/>
          <w:sz w:val="20"/>
          <w:szCs w:val="20"/>
          <w:lang w:val="en-US"/>
        </w:rPr>
      </w:pPr>
      <w:r w:rsidRPr="00C174A0">
        <w:rPr>
          <w:rFonts w:ascii="Arial" w:hAnsi="Arial" w:cs="Arial"/>
          <w:b/>
          <w:bCs/>
          <w:sz w:val="20"/>
          <w:szCs w:val="20"/>
          <w:lang w:val="en-US"/>
        </w:rPr>
        <w:t>LFEMTTTTESQ647S</w:t>
      </w:r>
    </w:p>
    <w:p w:rsidR="00745621" w:rsidRDefault="00745621" w:rsidP="00745621">
      <w:pPr>
        <w:rPr>
          <w:rFonts w:ascii="Arial" w:hAnsi="Arial" w:cs="Arial"/>
          <w:b/>
          <w:bCs/>
          <w:sz w:val="20"/>
          <w:szCs w:val="20"/>
          <w:lang w:val="en-US"/>
        </w:rPr>
      </w:pPr>
      <w:r w:rsidRPr="00745621">
        <w:rPr>
          <w:rFonts w:ascii="Arial" w:hAnsi="Arial" w:cs="Arial"/>
          <w:b/>
          <w:bCs/>
          <w:sz w:val="20"/>
          <w:szCs w:val="20"/>
          <w:lang w:val="en-US"/>
        </w:rPr>
        <w:t xml:space="preserve">Employed Population: Aged 15 and Over: All Persons for Spain, </w:t>
      </w:r>
      <w:r w:rsidRPr="00745621">
        <w:rPr>
          <w:rFonts w:ascii="Arial" w:hAnsi="Arial" w:cs="Arial"/>
          <w:b/>
          <w:bCs/>
          <w:color w:val="FF0000"/>
          <w:sz w:val="20"/>
          <w:szCs w:val="20"/>
          <w:lang w:val="en-US"/>
        </w:rPr>
        <w:t>Persons</w:t>
      </w:r>
      <w:r w:rsidRPr="00745621">
        <w:rPr>
          <w:rFonts w:ascii="Arial" w:hAnsi="Arial" w:cs="Arial"/>
          <w:b/>
          <w:bCs/>
          <w:sz w:val="20"/>
          <w:szCs w:val="20"/>
          <w:lang w:val="en-US"/>
        </w:rPr>
        <w:t>, Quarterly, Seasonally Adjusted</w:t>
      </w:r>
    </w:p>
    <w:p w:rsidR="00C850E4" w:rsidRDefault="00C850E4" w:rsidP="00745621">
      <w:pPr>
        <w:rPr>
          <w:rFonts w:ascii="Arial" w:hAnsi="Arial" w:cs="Arial"/>
          <w:b/>
          <w:bCs/>
          <w:sz w:val="20"/>
          <w:szCs w:val="20"/>
          <w:lang w:val="en-US"/>
        </w:rPr>
      </w:pPr>
    </w:p>
    <w:p w:rsidR="00C850E4" w:rsidRPr="00C850E4" w:rsidRDefault="00C850E4" w:rsidP="00C850E4">
      <w:pPr>
        <w:rPr>
          <w:rFonts w:ascii="Arial" w:hAnsi="Arial" w:cs="Arial"/>
          <w:b/>
          <w:bCs/>
          <w:sz w:val="20"/>
          <w:szCs w:val="20"/>
          <w:lang w:val="en-US"/>
        </w:rPr>
      </w:pPr>
      <w:r w:rsidRPr="00C174A0">
        <w:rPr>
          <w:rFonts w:ascii="Arial" w:hAnsi="Arial" w:cs="Arial"/>
          <w:b/>
          <w:bCs/>
          <w:sz w:val="20"/>
          <w:szCs w:val="20"/>
          <w:lang w:val="en-US"/>
        </w:rPr>
        <w:t>LFEMTTTTESQ647</w:t>
      </w:r>
      <w:r w:rsidR="00CF160A" w:rsidRPr="00C174A0">
        <w:rPr>
          <w:rFonts w:ascii="Arial" w:hAnsi="Arial" w:cs="Arial"/>
          <w:b/>
          <w:bCs/>
          <w:sz w:val="20"/>
          <w:szCs w:val="20"/>
          <w:lang w:val="en-US"/>
        </w:rPr>
        <w:t>S</w:t>
      </w:r>
      <w:r w:rsidR="00CF160A">
        <w:rPr>
          <w:rFonts w:ascii="Arial" w:hAnsi="Arial" w:cs="Arial"/>
          <w:b/>
          <w:bCs/>
          <w:sz w:val="20"/>
          <w:szCs w:val="20"/>
          <w:lang w:val="en-US"/>
        </w:rPr>
        <w:t>Index:</w:t>
      </w:r>
      <w:r>
        <w:rPr>
          <w:rFonts w:ascii="Arial" w:hAnsi="Arial" w:cs="Arial"/>
          <w:b/>
          <w:bCs/>
          <w:sz w:val="20"/>
          <w:szCs w:val="20"/>
          <w:lang w:val="en-US"/>
        </w:rPr>
        <w:t xml:space="preserve"> Elaborated by me, 2015 = </w:t>
      </w:r>
      <w:r w:rsidR="00204F6D">
        <w:rPr>
          <w:rFonts w:ascii="Arial" w:hAnsi="Arial" w:cs="Arial"/>
          <w:b/>
          <w:bCs/>
          <w:sz w:val="20"/>
          <w:szCs w:val="20"/>
          <w:lang w:val="en-US"/>
        </w:rPr>
        <w:t>100</w:t>
      </w:r>
    </w:p>
    <w:p w:rsidR="00745621" w:rsidRDefault="00745621">
      <w:pPr>
        <w:rPr>
          <w:lang w:val="en-US"/>
        </w:rPr>
      </w:pPr>
    </w:p>
    <w:p w:rsidR="00745621" w:rsidRPr="00204F6D" w:rsidRDefault="00745621" w:rsidP="00745621">
      <w:pPr>
        <w:rPr>
          <w:rFonts w:ascii="Arial" w:hAnsi="Arial" w:cs="Arial"/>
          <w:b/>
          <w:bCs/>
          <w:sz w:val="20"/>
          <w:szCs w:val="20"/>
          <w:lang w:val="en-US"/>
        </w:rPr>
      </w:pPr>
      <w:r w:rsidRPr="00745621">
        <w:rPr>
          <w:rFonts w:ascii="Arial" w:hAnsi="Arial" w:cs="Arial"/>
          <w:b/>
          <w:bCs/>
          <w:sz w:val="20"/>
          <w:szCs w:val="20"/>
          <w:lang w:val="en-US"/>
        </w:rPr>
        <w:t>IR3TIB01ESQ156N</w:t>
      </w:r>
    </w:p>
    <w:p w:rsidR="00745621" w:rsidRDefault="00745621" w:rsidP="00745621">
      <w:pPr>
        <w:rPr>
          <w:rFonts w:ascii="Arial" w:hAnsi="Arial" w:cs="Arial"/>
          <w:b/>
          <w:bCs/>
          <w:sz w:val="20"/>
          <w:szCs w:val="20"/>
          <w:lang w:val="en-US"/>
        </w:rPr>
      </w:pPr>
      <w:r w:rsidRPr="00745621">
        <w:rPr>
          <w:rFonts w:ascii="Arial" w:hAnsi="Arial" w:cs="Arial"/>
          <w:b/>
          <w:bCs/>
          <w:sz w:val="20"/>
          <w:szCs w:val="20"/>
          <w:lang w:val="en-US"/>
        </w:rPr>
        <w:t>3-Month or 90-day Rates and Yields: Interbank Rates for Spain, Percent, Quarterly, Not Seasonally Adjusted</w:t>
      </w:r>
    </w:p>
    <w:p w:rsidR="00745621" w:rsidRPr="00CF160A" w:rsidRDefault="00745621">
      <w:pPr>
        <w:rPr>
          <w:lang w:val="en-US"/>
        </w:rPr>
      </w:pPr>
    </w:p>
    <w:p w:rsidR="00745621" w:rsidRPr="00204F6D" w:rsidRDefault="00745621" w:rsidP="00745621">
      <w:pPr>
        <w:rPr>
          <w:rFonts w:ascii="Arial" w:hAnsi="Arial" w:cs="Arial"/>
          <w:b/>
          <w:bCs/>
          <w:sz w:val="20"/>
          <w:szCs w:val="20"/>
          <w:lang w:val="en-US"/>
        </w:rPr>
      </w:pPr>
      <w:r w:rsidRPr="00745621">
        <w:rPr>
          <w:rFonts w:ascii="Arial" w:hAnsi="Arial" w:cs="Arial"/>
          <w:b/>
          <w:bCs/>
          <w:sz w:val="20"/>
          <w:szCs w:val="20"/>
          <w:lang w:val="en-US"/>
        </w:rPr>
        <w:t>LFWA64TTESQ647S</w:t>
      </w:r>
    </w:p>
    <w:p w:rsidR="00745621" w:rsidRPr="00204F6D" w:rsidRDefault="00745621" w:rsidP="00745621">
      <w:pPr>
        <w:rPr>
          <w:rFonts w:ascii="Arial" w:hAnsi="Arial" w:cs="Arial"/>
          <w:b/>
          <w:bCs/>
          <w:sz w:val="20"/>
          <w:szCs w:val="20"/>
          <w:lang w:val="en-US"/>
        </w:rPr>
      </w:pPr>
      <w:r w:rsidRPr="00745621">
        <w:rPr>
          <w:rFonts w:ascii="Arial" w:hAnsi="Arial" w:cs="Arial"/>
          <w:b/>
          <w:bCs/>
          <w:sz w:val="20"/>
          <w:szCs w:val="20"/>
          <w:lang w:val="en-US"/>
        </w:rPr>
        <w:t xml:space="preserve">Working Age Population: Aged 15-64: All Persons for Spain, </w:t>
      </w:r>
      <w:r w:rsidRPr="00745621">
        <w:rPr>
          <w:rFonts w:ascii="Arial" w:hAnsi="Arial" w:cs="Arial"/>
          <w:b/>
          <w:bCs/>
          <w:color w:val="FF0000"/>
          <w:sz w:val="20"/>
          <w:szCs w:val="20"/>
          <w:lang w:val="en-US"/>
        </w:rPr>
        <w:t>Persons</w:t>
      </w:r>
      <w:r w:rsidRPr="00745621">
        <w:rPr>
          <w:rFonts w:ascii="Arial" w:hAnsi="Arial" w:cs="Arial"/>
          <w:b/>
          <w:bCs/>
          <w:sz w:val="20"/>
          <w:szCs w:val="20"/>
          <w:lang w:val="en-US"/>
        </w:rPr>
        <w:t>, Quarterly, Seasonally Adjusted</w:t>
      </w:r>
    </w:p>
    <w:p w:rsidR="00745621" w:rsidRDefault="00745621">
      <w:pPr>
        <w:rPr>
          <w:lang w:val="en-US"/>
        </w:rPr>
      </w:pPr>
    </w:p>
    <w:p w:rsidR="00204F6D" w:rsidRPr="00204F6D" w:rsidRDefault="00204F6D" w:rsidP="00204F6D">
      <w:pPr>
        <w:rPr>
          <w:rFonts w:ascii="Arial" w:hAnsi="Arial" w:cs="Arial"/>
          <w:b/>
          <w:bCs/>
          <w:sz w:val="20"/>
          <w:szCs w:val="20"/>
          <w:lang w:val="en-US"/>
        </w:rPr>
      </w:pPr>
      <w:r>
        <w:rPr>
          <w:lang w:val="en-US"/>
        </w:rPr>
        <w:t xml:space="preserve"> </w:t>
      </w:r>
      <w:r w:rsidRPr="00745621">
        <w:rPr>
          <w:rFonts w:ascii="Arial" w:hAnsi="Arial" w:cs="Arial"/>
          <w:b/>
          <w:bCs/>
          <w:sz w:val="20"/>
          <w:szCs w:val="20"/>
          <w:lang w:val="en-US"/>
        </w:rPr>
        <w:t>LFWA64TTESQ647S</w:t>
      </w:r>
      <w:r>
        <w:rPr>
          <w:rFonts w:ascii="Arial" w:hAnsi="Arial" w:cs="Arial"/>
          <w:b/>
          <w:bCs/>
          <w:sz w:val="20"/>
          <w:szCs w:val="20"/>
          <w:lang w:val="en-US"/>
        </w:rPr>
        <w:t xml:space="preserve">Index: Elaborated by me, 2015 = </w:t>
      </w:r>
      <w:r w:rsidR="00AE5AAC">
        <w:rPr>
          <w:rFonts w:ascii="Arial" w:hAnsi="Arial" w:cs="Arial"/>
          <w:b/>
          <w:bCs/>
          <w:sz w:val="20"/>
          <w:szCs w:val="20"/>
          <w:lang w:val="en-US"/>
        </w:rPr>
        <w:t>1</w:t>
      </w:r>
    </w:p>
    <w:p w:rsidR="00D8291E" w:rsidRDefault="00D8291E">
      <w:pPr>
        <w:rPr>
          <w:lang w:val="en-US"/>
        </w:rPr>
      </w:pPr>
    </w:p>
    <w:p w:rsidR="00745621" w:rsidRPr="00D8291E" w:rsidRDefault="00745621" w:rsidP="00745621">
      <w:pPr>
        <w:rPr>
          <w:rFonts w:ascii="Arial" w:hAnsi="Arial" w:cs="Arial"/>
          <w:b/>
          <w:bCs/>
          <w:sz w:val="20"/>
          <w:szCs w:val="20"/>
          <w:lang w:val="en-US"/>
        </w:rPr>
      </w:pPr>
      <w:r w:rsidRPr="00745621">
        <w:rPr>
          <w:rFonts w:ascii="Arial" w:hAnsi="Arial" w:cs="Arial"/>
          <w:b/>
          <w:bCs/>
          <w:sz w:val="20"/>
          <w:szCs w:val="20"/>
          <w:lang w:val="en-US"/>
        </w:rPr>
        <w:t>LCEATT01ESQ661S</w:t>
      </w:r>
    </w:p>
    <w:p w:rsidR="00745621" w:rsidRDefault="00745621" w:rsidP="00745621">
      <w:pPr>
        <w:rPr>
          <w:rFonts w:ascii="Arial" w:hAnsi="Arial" w:cs="Arial"/>
          <w:b/>
          <w:bCs/>
          <w:sz w:val="20"/>
          <w:szCs w:val="20"/>
          <w:lang w:val="en-US"/>
        </w:rPr>
      </w:pPr>
      <w:r w:rsidRPr="00745621">
        <w:rPr>
          <w:rFonts w:ascii="Arial" w:hAnsi="Arial" w:cs="Arial"/>
          <w:b/>
          <w:bCs/>
          <w:sz w:val="20"/>
          <w:szCs w:val="20"/>
          <w:lang w:val="en-US"/>
        </w:rPr>
        <w:t>Hourly Earnings: All Activities for Spain, Index 2015=100, Quarterly, Seasonally Adjusted</w:t>
      </w:r>
    </w:p>
    <w:p w:rsidR="005A5AC1" w:rsidRDefault="005A5AC1" w:rsidP="00745621">
      <w:pPr>
        <w:rPr>
          <w:rFonts w:ascii="Arial" w:hAnsi="Arial" w:cs="Arial"/>
          <w:b/>
          <w:bCs/>
          <w:sz w:val="20"/>
          <w:szCs w:val="20"/>
          <w:lang w:val="en-US"/>
        </w:rPr>
      </w:pPr>
    </w:p>
    <w:p w:rsidR="005A5AC1" w:rsidRPr="00D603B2" w:rsidRDefault="005A5AC1" w:rsidP="005A5AC1">
      <w:pPr>
        <w:rPr>
          <w:rFonts w:ascii="Arial" w:hAnsi="Arial" w:cs="Arial"/>
          <w:sz w:val="22"/>
          <w:szCs w:val="22"/>
          <w:lang w:val="en-US"/>
        </w:rPr>
      </w:pPr>
      <w:r w:rsidRPr="00D603B2">
        <w:rPr>
          <w:rFonts w:ascii="Arial" w:hAnsi="Arial" w:cs="Arial"/>
          <w:sz w:val="22"/>
          <w:szCs w:val="22"/>
          <w:lang w:val="en-US"/>
        </w:rPr>
        <w:t>LFSQ_EWHAIS</w:t>
      </w:r>
    </w:p>
    <w:p w:rsidR="005A5AC1" w:rsidRPr="00D603B2" w:rsidRDefault="005A5AC1" w:rsidP="005A5AC1">
      <w:pPr>
        <w:rPr>
          <w:rFonts w:ascii="Arial" w:hAnsi="Arial" w:cs="Arial"/>
          <w:sz w:val="20"/>
          <w:szCs w:val="20"/>
          <w:lang w:val="en-US"/>
        </w:rPr>
      </w:pPr>
      <w:r w:rsidRPr="00E127BD">
        <w:rPr>
          <w:rFonts w:ascii="Arial" w:hAnsi="Arial" w:cs="Arial"/>
          <w:sz w:val="20"/>
          <w:szCs w:val="20"/>
          <w:lang w:val="en-US"/>
        </w:rPr>
        <w:t>Average number of actual weekly hours of work in main job</w:t>
      </w:r>
      <w:r w:rsidRPr="00D603B2">
        <w:rPr>
          <w:rFonts w:ascii="Arial" w:hAnsi="Arial" w:cs="Arial"/>
          <w:sz w:val="20"/>
          <w:szCs w:val="20"/>
          <w:lang w:val="en-US"/>
        </w:rPr>
        <w:t xml:space="preserve">. Total, </w:t>
      </w:r>
    </w:p>
    <w:p w:rsidR="005A5AC1" w:rsidRPr="005A5AC1" w:rsidRDefault="005A5AC1" w:rsidP="00745621">
      <w:pPr>
        <w:rPr>
          <w:rFonts w:ascii="Arial" w:hAnsi="Arial" w:cs="Arial"/>
          <w:sz w:val="20"/>
          <w:szCs w:val="20"/>
          <w:lang w:val="en-US"/>
        </w:rPr>
      </w:pPr>
      <w:r w:rsidRPr="002F1D84">
        <w:rPr>
          <w:rFonts w:ascii="Arial" w:hAnsi="Arial" w:cs="Arial"/>
          <w:sz w:val="20"/>
          <w:szCs w:val="20"/>
          <w:lang w:val="en-US"/>
        </w:rPr>
        <w:t>Source of data: Eurostat</w:t>
      </w:r>
    </w:p>
    <w:p w:rsidR="00E127BD" w:rsidRDefault="00E127BD" w:rsidP="00E127BD">
      <w:pPr>
        <w:rPr>
          <w:rFonts w:ascii="Arial" w:hAnsi="Arial" w:cs="Arial"/>
          <w:sz w:val="22"/>
          <w:szCs w:val="22"/>
          <w:lang w:val="en-US"/>
        </w:rPr>
      </w:pPr>
    </w:p>
    <w:p w:rsidR="00E127BD" w:rsidRDefault="00E127BD" w:rsidP="00E127BD">
      <w:pPr>
        <w:rPr>
          <w:rFonts w:ascii="Arial" w:hAnsi="Arial" w:cs="Arial"/>
          <w:b/>
          <w:bCs/>
          <w:sz w:val="20"/>
          <w:szCs w:val="20"/>
          <w:lang w:val="en-US"/>
        </w:rPr>
      </w:pPr>
      <w:r w:rsidRPr="00E127BD">
        <w:rPr>
          <w:rFonts w:ascii="Arial" w:hAnsi="Arial" w:cs="Arial"/>
          <w:b/>
          <w:bCs/>
          <w:sz w:val="22"/>
          <w:szCs w:val="22"/>
          <w:lang w:val="en-US"/>
        </w:rPr>
        <w:t xml:space="preserve">LFSQ_EWHAISIndex: </w:t>
      </w:r>
      <w:r>
        <w:rPr>
          <w:rFonts w:ascii="Arial" w:hAnsi="Arial" w:cs="Arial"/>
          <w:b/>
          <w:bCs/>
          <w:sz w:val="20"/>
          <w:szCs w:val="20"/>
          <w:lang w:val="en-US"/>
        </w:rPr>
        <w:t>Elaborated by me, 2015 = 100</w:t>
      </w:r>
    </w:p>
    <w:p w:rsidR="00D603B2" w:rsidRDefault="00D603B2" w:rsidP="00E127BD">
      <w:pPr>
        <w:rPr>
          <w:rFonts w:ascii="Arial" w:hAnsi="Arial" w:cs="Arial"/>
          <w:b/>
          <w:bCs/>
          <w:sz w:val="20"/>
          <w:szCs w:val="20"/>
          <w:lang w:val="en-US"/>
        </w:rPr>
      </w:pPr>
    </w:p>
    <w:p w:rsidR="006102EF" w:rsidRDefault="006102EF" w:rsidP="00CF160A">
      <w:pPr>
        <w:rPr>
          <w:rFonts w:ascii="Arial" w:hAnsi="Arial" w:cs="Arial"/>
          <w:sz w:val="20"/>
          <w:szCs w:val="20"/>
          <w:lang w:val="en-US"/>
        </w:rPr>
      </w:pPr>
    </w:p>
    <w:p w:rsidR="006102EF" w:rsidRDefault="006102EF" w:rsidP="00CF160A">
      <w:pPr>
        <w:rPr>
          <w:rFonts w:ascii="Arial" w:hAnsi="Arial" w:cs="Arial"/>
          <w:sz w:val="20"/>
          <w:szCs w:val="20"/>
          <w:lang w:val="en-US"/>
        </w:rPr>
      </w:pPr>
      <w:r>
        <w:rPr>
          <w:rFonts w:ascii="Arial" w:hAnsi="Arial" w:cs="Arial"/>
          <w:sz w:val="20"/>
          <w:szCs w:val="20"/>
          <w:lang w:val="en-US"/>
        </w:rPr>
        <w:t xml:space="preserve">Definition of data variables: </w:t>
      </w:r>
    </w:p>
    <w:p w:rsidR="006102EF" w:rsidRDefault="006102EF" w:rsidP="00CF160A">
      <w:pPr>
        <w:rPr>
          <w:rFonts w:ascii="Arial" w:hAnsi="Arial" w:cs="Arial"/>
          <w:sz w:val="20"/>
          <w:szCs w:val="20"/>
          <w:lang w:val="en-US"/>
        </w:rPr>
      </w:pPr>
    </w:p>
    <w:p w:rsidR="006102EF" w:rsidRDefault="006102EF" w:rsidP="006102EF">
      <w:pPr>
        <w:rPr>
          <w:lang w:val="en-US"/>
        </w:rPr>
      </w:pPr>
      <w:r>
        <w:rPr>
          <w:lang w:val="en-US"/>
        </w:rPr>
        <w:t>Definition of data variables</w:t>
      </w:r>
    </w:p>
    <w:p w:rsidR="006102EF" w:rsidRPr="00AB51A8" w:rsidRDefault="006102EF" w:rsidP="006102EF">
      <w:pPr>
        <w:rPr>
          <w:lang w:val="en-US"/>
        </w:rPr>
      </w:pPr>
    </w:p>
    <w:p w:rsidR="006102EF" w:rsidRPr="002C53A6" w:rsidRDefault="002C53A6" w:rsidP="006102EF">
      <w:pPr>
        <w:rPr>
          <w:lang w:val="en-US"/>
        </w:rPr>
      </w:pPr>
      <w:r w:rsidRPr="002C53A6">
        <w:rPr>
          <w:b/>
          <w:bCs/>
          <w:lang w:val="en-US"/>
        </w:rPr>
        <w:t>C</w:t>
      </w:r>
      <w:r w:rsidR="006102EF" w:rsidRPr="002C53A6">
        <w:rPr>
          <w:b/>
          <w:bCs/>
          <w:lang w:val="en-US"/>
        </w:rPr>
        <w:t>onsumption</w:t>
      </w:r>
      <w:r w:rsidR="006102EF" w:rsidRPr="002C53A6">
        <w:rPr>
          <w:lang w:val="en-US"/>
        </w:rPr>
        <w:t xml:space="preserve"> = LN ((ESPPFCEQDSMEI/ESPGDPDEFQISMEI)/ LFWA64TTESQ647SIndex) *100</w:t>
      </w:r>
    </w:p>
    <w:p w:rsidR="006102EF" w:rsidRPr="002C53A6" w:rsidRDefault="006102EF" w:rsidP="006102EF">
      <w:pPr>
        <w:rPr>
          <w:lang w:val="en-US"/>
        </w:rPr>
      </w:pPr>
      <w:r w:rsidRPr="002C53A6">
        <w:rPr>
          <w:b/>
          <w:bCs/>
          <w:lang w:val="en-US"/>
        </w:rPr>
        <w:t>Investment</w:t>
      </w:r>
      <w:r w:rsidRPr="002C53A6">
        <w:rPr>
          <w:lang w:val="en-US"/>
        </w:rPr>
        <w:t xml:space="preserve"> = LN </w:t>
      </w:r>
      <w:r w:rsidR="002C53A6" w:rsidRPr="002C53A6">
        <w:rPr>
          <w:lang w:val="en-US"/>
        </w:rPr>
        <w:t>((ESPGFCFQDSMEI</w:t>
      </w:r>
      <w:r w:rsidRPr="002C53A6">
        <w:rPr>
          <w:color w:val="000000"/>
          <w:lang w:val="en-US"/>
        </w:rPr>
        <w:t>/ ESPGDPDEFQISMEI)/ LFWA64TTESQ647SIndex) *100</w:t>
      </w:r>
    </w:p>
    <w:p w:rsidR="00BC5C44" w:rsidRPr="002C53A6" w:rsidRDefault="006102EF" w:rsidP="00BC5C44">
      <w:pPr>
        <w:rPr>
          <w:color w:val="000000"/>
          <w:lang w:val="en-US"/>
        </w:rPr>
      </w:pPr>
      <w:r w:rsidRPr="002C53A6">
        <w:rPr>
          <w:b/>
          <w:bCs/>
          <w:color w:val="000000"/>
          <w:lang w:val="en-US"/>
        </w:rPr>
        <w:t>Output</w:t>
      </w:r>
      <w:r w:rsidRPr="002C53A6">
        <w:rPr>
          <w:color w:val="000000"/>
          <w:lang w:val="en-US"/>
        </w:rPr>
        <w:t xml:space="preserve"> </w:t>
      </w:r>
      <w:r w:rsidR="00BC5C44" w:rsidRPr="002C53A6">
        <w:rPr>
          <w:color w:val="000000"/>
          <w:lang w:val="en-US"/>
        </w:rPr>
        <w:t xml:space="preserve">= </w:t>
      </w:r>
      <w:r w:rsidR="002C53A6" w:rsidRPr="002C53A6">
        <w:rPr>
          <w:color w:val="000000"/>
          <w:lang w:val="en-US"/>
        </w:rPr>
        <w:t>LN ((CLVMNACSCAB</w:t>
      </w:r>
      <w:r w:rsidR="00BC5C44" w:rsidRPr="002C53A6">
        <w:rPr>
          <w:color w:val="000000"/>
          <w:lang w:val="en-US"/>
        </w:rPr>
        <w:t>1GQES/ LFWA64TTESQ647</w:t>
      </w:r>
      <w:r w:rsidR="002C53A6" w:rsidRPr="002C53A6">
        <w:rPr>
          <w:color w:val="000000"/>
          <w:lang w:val="en-US"/>
        </w:rPr>
        <w:t>SIndex) *</w:t>
      </w:r>
      <w:r w:rsidR="00BC5C44" w:rsidRPr="002C53A6">
        <w:rPr>
          <w:color w:val="000000"/>
          <w:lang w:val="en-US"/>
        </w:rPr>
        <w:t>100</w:t>
      </w:r>
    </w:p>
    <w:p w:rsidR="00BC5C44" w:rsidRPr="002C53A6" w:rsidRDefault="00BC5C44" w:rsidP="00BC5C44">
      <w:pPr>
        <w:rPr>
          <w:color w:val="000000"/>
          <w:lang w:val="en-US"/>
        </w:rPr>
      </w:pPr>
      <w:r w:rsidRPr="002C53A6">
        <w:rPr>
          <w:b/>
          <w:bCs/>
          <w:color w:val="000000"/>
          <w:lang w:val="en-US"/>
        </w:rPr>
        <w:t>Hours</w:t>
      </w:r>
      <w:r w:rsidRPr="002C53A6">
        <w:rPr>
          <w:color w:val="000000"/>
          <w:lang w:val="en-US"/>
        </w:rPr>
        <w:t xml:space="preserve">= </w:t>
      </w:r>
      <w:r w:rsidR="002C53A6" w:rsidRPr="002C53A6">
        <w:rPr>
          <w:color w:val="000000"/>
          <w:lang w:val="en-US"/>
        </w:rPr>
        <w:t>LN (</w:t>
      </w:r>
      <w:r w:rsidRPr="002C53A6">
        <w:rPr>
          <w:color w:val="000000"/>
          <w:lang w:val="en-US"/>
        </w:rPr>
        <w:t>(</w:t>
      </w:r>
      <w:r w:rsidRPr="002C53A6">
        <w:rPr>
          <w:lang w:val="en-US"/>
        </w:rPr>
        <w:t>LFSQ_EWHAISindex*</w:t>
      </w:r>
      <w:r w:rsidRPr="002C53A6">
        <w:rPr>
          <w:color w:val="000000"/>
          <w:lang w:val="en-US"/>
        </w:rPr>
        <w:t xml:space="preserve"> LFEMTTTTESQ647SIndex/100)/ LFWA64TTESQ647</w:t>
      </w:r>
      <w:r w:rsidR="002C53A6" w:rsidRPr="002C53A6">
        <w:rPr>
          <w:color w:val="000000"/>
          <w:lang w:val="en-US"/>
        </w:rPr>
        <w:t>SIndex) *</w:t>
      </w:r>
      <w:r w:rsidRPr="002C53A6">
        <w:rPr>
          <w:color w:val="000000"/>
          <w:lang w:val="en-US"/>
        </w:rPr>
        <w:t>100</w:t>
      </w:r>
    </w:p>
    <w:p w:rsidR="00BC5C44" w:rsidRPr="002C53A6" w:rsidRDefault="00BC5C44" w:rsidP="00BC5C44">
      <w:pPr>
        <w:rPr>
          <w:color w:val="000000"/>
          <w:lang w:val="en-US"/>
        </w:rPr>
      </w:pPr>
      <w:r w:rsidRPr="002C53A6">
        <w:rPr>
          <w:b/>
          <w:bCs/>
          <w:color w:val="000000"/>
          <w:lang w:val="en-US"/>
        </w:rPr>
        <w:t>Inflation</w:t>
      </w:r>
      <w:r w:rsidRPr="002C53A6">
        <w:rPr>
          <w:color w:val="000000"/>
          <w:lang w:val="en-US"/>
        </w:rPr>
        <w:t xml:space="preserve"> = </w:t>
      </w:r>
      <w:proofErr w:type="gramStart"/>
      <w:r w:rsidRPr="002C53A6">
        <w:rPr>
          <w:color w:val="000000"/>
          <w:lang w:val="en-US"/>
        </w:rPr>
        <w:t>LN(</w:t>
      </w:r>
      <w:proofErr w:type="gramEnd"/>
      <w:r w:rsidRPr="002C53A6">
        <w:rPr>
          <w:color w:val="000000"/>
          <w:lang w:val="en-US"/>
        </w:rPr>
        <w:t>ESPGDPDEFQISMEI</w:t>
      </w:r>
      <w:r w:rsidR="00495214">
        <w:rPr>
          <w:color w:val="000000"/>
          <w:lang w:val="en-US"/>
        </w:rPr>
        <w:t>/</w:t>
      </w:r>
      <w:r w:rsidR="002C53A6" w:rsidRPr="002C53A6">
        <w:rPr>
          <w:color w:val="000000"/>
          <w:lang w:val="en-US"/>
        </w:rPr>
        <w:t>ESPGDPDEFQISMEI (</w:t>
      </w:r>
      <w:r w:rsidRPr="002C53A6">
        <w:rPr>
          <w:color w:val="000000"/>
          <w:lang w:val="en-US"/>
        </w:rPr>
        <w:t>-1</w:t>
      </w:r>
      <w:r w:rsidR="002C53A6" w:rsidRPr="002C53A6">
        <w:rPr>
          <w:color w:val="000000"/>
          <w:lang w:val="en-US"/>
        </w:rPr>
        <w:t>)) *</w:t>
      </w:r>
      <w:r w:rsidRPr="002C53A6">
        <w:rPr>
          <w:color w:val="000000"/>
          <w:lang w:val="en-US"/>
        </w:rPr>
        <w:t>100</w:t>
      </w:r>
    </w:p>
    <w:p w:rsidR="00BC5C44" w:rsidRPr="002C53A6" w:rsidRDefault="00BC5C44" w:rsidP="00BC5C44">
      <w:pPr>
        <w:rPr>
          <w:color w:val="000000"/>
          <w:lang w:val="en-US"/>
        </w:rPr>
      </w:pPr>
      <w:r w:rsidRPr="002C53A6">
        <w:rPr>
          <w:b/>
          <w:bCs/>
          <w:color w:val="000000"/>
          <w:lang w:val="en-US"/>
        </w:rPr>
        <w:t>Real</w:t>
      </w:r>
      <w:r w:rsidRPr="002C53A6">
        <w:rPr>
          <w:color w:val="000000"/>
          <w:lang w:val="en-US"/>
        </w:rPr>
        <w:t xml:space="preserve"> wage = LN(LCEATT01ESQ661S)/(ESPGDPDEFQISMEI)*100</w:t>
      </w:r>
    </w:p>
    <w:p w:rsidR="00CF160A" w:rsidRPr="002F1D84" w:rsidRDefault="00BC5C44">
      <w:pPr>
        <w:rPr>
          <w:color w:val="000000"/>
          <w:lang w:val="en-US"/>
        </w:rPr>
      </w:pPr>
      <w:r w:rsidRPr="002C53A6">
        <w:rPr>
          <w:b/>
          <w:bCs/>
          <w:color w:val="000000"/>
          <w:lang w:val="en-US"/>
        </w:rPr>
        <w:lastRenderedPageBreak/>
        <w:t>Interest</w:t>
      </w:r>
      <w:r w:rsidRPr="002C53A6">
        <w:rPr>
          <w:color w:val="000000"/>
          <w:lang w:val="en-US"/>
        </w:rPr>
        <w:t xml:space="preserve"> </w:t>
      </w:r>
      <w:r w:rsidRPr="002C53A6">
        <w:rPr>
          <w:b/>
          <w:bCs/>
          <w:color w:val="000000"/>
          <w:lang w:val="en-US"/>
        </w:rPr>
        <w:t>rate</w:t>
      </w:r>
      <w:r w:rsidRPr="002C53A6">
        <w:rPr>
          <w:color w:val="000000"/>
          <w:lang w:val="en-US"/>
        </w:rPr>
        <w:t xml:space="preserve"> = </w:t>
      </w:r>
      <w:r w:rsidRPr="002F1D84">
        <w:rPr>
          <w:color w:val="000000"/>
          <w:lang w:val="en-US"/>
        </w:rPr>
        <w:t>IR3TIB01ESQ156N/4</w:t>
      </w:r>
    </w:p>
    <w:p w:rsidR="002C53A6" w:rsidRPr="002F1D84" w:rsidRDefault="002C53A6">
      <w:pPr>
        <w:rPr>
          <w:color w:val="000000"/>
          <w:lang w:val="en-US"/>
        </w:rPr>
      </w:pPr>
    </w:p>
    <w:p w:rsidR="006102EF" w:rsidRPr="00BC5C44" w:rsidRDefault="006102EF">
      <w:pPr>
        <w:rPr>
          <w:lang w:val="en-US"/>
        </w:rPr>
      </w:pPr>
    </w:p>
    <w:p w:rsidR="006102EF" w:rsidRDefault="006102EF" w:rsidP="006102EF">
      <w:pPr>
        <w:rPr>
          <w:b/>
          <w:lang w:val="en-US"/>
        </w:rPr>
      </w:pPr>
      <w:r>
        <w:rPr>
          <w:b/>
          <w:lang w:val="en-US"/>
        </w:rPr>
        <w:t>DATA FOR THE US MODEL</w:t>
      </w:r>
    </w:p>
    <w:p w:rsidR="006102EF" w:rsidRDefault="006102EF" w:rsidP="006102EF">
      <w:pPr>
        <w:rPr>
          <w:b/>
          <w:lang w:val="en-US"/>
        </w:rPr>
      </w:pPr>
    </w:p>
    <w:p w:rsidR="006102EF" w:rsidRDefault="006102EF" w:rsidP="006102EF">
      <w:pPr>
        <w:rPr>
          <w:b/>
          <w:lang w:val="en-US"/>
        </w:rPr>
      </w:pPr>
    </w:p>
    <w:p w:rsidR="006102EF" w:rsidRPr="00D461AC" w:rsidRDefault="006102EF" w:rsidP="006102EF">
      <w:pPr>
        <w:rPr>
          <w:b/>
          <w:lang w:val="en-US"/>
        </w:rPr>
      </w:pPr>
      <w:r w:rsidRPr="00D461AC">
        <w:rPr>
          <w:b/>
          <w:lang w:val="en-US"/>
        </w:rPr>
        <w:t xml:space="preserve">Data </w:t>
      </w:r>
      <w:r w:rsidR="002C53A6" w:rsidRPr="00D461AC">
        <w:rPr>
          <w:b/>
          <w:lang w:val="en-US"/>
        </w:rPr>
        <w:t>documentation</w:t>
      </w:r>
      <w:r w:rsidR="002C53A6">
        <w:rPr>
          <w:b/>
          <w:lang w:val="en-US"/>
        </w:rPr>
        <w:t>:</w:t>
      </w:r>
      <w:r>
        <w:rPr>
          <w:b/>
          <w:lang w:val="en-US"/>
        </w:rPr>
        <w:t xml:space="preserve"> see usmodel_data.xls and usmodel_data.mat</w:t>
      </w:r>
    </w:p>
    <w:p w:rsidR="006102EF" w:rsidRDefault="006102EF" w:rsidP="006102EF">
      <w:pPr>
        <w:rPr>
          <w:lang w:val="en-US"/>
        </w:rPr>
      </w:pPr>
    </w:p>
    <w:p w:rsidR="006102EF" w:rsidRDefault="006102EF" w:rsidP="006102EF">
      <w:pPr>
        <w:rPr>
          <w:lang w:val="en-US"/>
        </w:rPr>
      </w:pPr>
      <w:r>
        <w:rPr>
          <w:lang w:val="en-US"/>
        </w:rPr>
        <w:t>Definition of data variables</w:t>
      </w:r>
    </w:p>
    <w:p w:rsidR="006102EF" w:rsidRPr="00AB51A8" w:rsidRDefault="006102EF" w:rsidP="006102EF">
      <w:pPr>
        <w:rPr>
          <w:lang w:val="en-US"/>
        </w:rPr>
      </w:pPr>
    </w:p>
    <w:p w:rsidR="006102EF" w:rsidRPr="00AB51A8" w:rsidRDefault="006102EF" w:rsidP="006102EF">
      <w:pPr>
        <w:rPr>
          <w:lang w:val="en-US"/>
        </w:rPr>
      </w:pPr>
      <w:r w:rsidRPr="00AB51A8">
        <w:rPr>
          <w:lang w:val="en-US"/>
        </w:rPr>
        <w:t>c</w:t>
      </w:r>
      <w:r>
        <w:rPr>
          <w:lang w:val="en-US"/>
        </w:rPr>
        <w:t>onsumption</w:t>
      </w:r>
      <w:r w:rsidRPr="00AB51A8">
        <w:rPr>
          <w:lang w:val="en-US"/>
        </w:rPr>
        <w:t xml:space="preserve">    </w:t>
      </w:r>
      <w:r>
        <w:rPr>
          <w:lang w:val="en-US"/>
        </w:rPr>
        <w:tab/>
      </w:r>
      <w:r w:rsidRPr="00AB51A8">
        <w:rPr>
          <w:lang w:val="en-US"/>
        </w:rPr>
        <w:t xml:space="preserve">= </w:t>
      </w:r>
      <w:r w:rsidR="002C53A6" w:rsidRPr="00AB51A8">
        <w:rPr>
          <w:lang w:val="en-US"/>
        </w:rPr>
        <w:t>LN ((PCEC</w:t>
      </w:r>
      <w:r w:rsidRPr="00AB51A8">
        <w:rPr>
          <w:lang w:val="en-US"/>
        </w:rPr>
        <w:t xml:space="preserve"> / </w:t>
      </w:r>
      <w:r w:rsidR="002C53A6" w:rsidRPr="00AB51A8">
        <w:rPr>
          <w:lang w:val="en-US"/>
        </w:rPr>
        <w:t>GDPDEF)</w:t>
      </w:r>
      <w:r w:rsidRPr="00AB51A8">
        <w:rPr>
          <w:lang w:val="en-US"/>
        </w:rPr>
        <w:t xml:space="preserve"> / </w:t>
      </w:r>
      <w:r w:rsidR="002C53A6" w:rsidRPr="00AB51A8">
        <w:rPr>
          <w:lang w:val="en-US"/>
        </w:rPr>
        <w:t>LNSindex)</w:t>
      </w:r>
      <w:r w:rsidRPr="00AB51A8">
        <w:rPr>
          <w:lang w:val="en-US"/>
        </w:rPr>
        <w:t xml:space="preserve"> * 100</w:t>
      </w:r>
      <w:r w:rsidRPr="00AB51A8">
        <w:rPr>
          <w:lang w:val="en-US"/>
        </w:rPr>
        <w:tab/>
      </w:r>
    </w:p>
    <w:p w:rsidR="006102EF" w:rsidRPr="00D461AC" w:rsidRDefault="006102EF" w:rsidP="006102EF">
      <w:pPr>
        <w:rPr>
          <w:lang w:val="en-US"/>
        </w:rPr>
      </w:pPr>
      <w:r w:rsidRPr="00D461AC">
        <w:rPr>
          <w:lang w:val="en-US"/>
        </w:rPr>
        <w:t xml:space="preserve">investment     </w:t>
      </w:r>
      <w:r>
        <w:rPr>
          <w:lang w:val="en-US"/>
        </w:rPr>
        <w:t xml:space="preserve">  </w:t>
      </w:r>
      <w:r w:rsidRPr="00D461AC">
        <w:rPr>
          <w:lang w:val="en-US"/>
        </w:rPr>
        <w:tab/>
        <w:t xml:space="preserve">= </w:t>
      </w:r>
      <w:r w:rsidR="002C53A6" w:rsidRPr="00D461AC">
        <w:rPr>
          <w:lang w:val="en-US"/>
        </w:rPr>
        <w:t>LN ((FPI /</w:t>
      </w:r>
      <w:r w:rsidRPr="00D461AC">
        <w:rPr>
          <w:lang w:val="en-US"/>
        </w:rPr>
        <w:t xml:space="preserve"> </w:t>
      </w:r>
      <w:r w:rsidR="002C53A6" w:rsidRPr="00D461AC">
        <w:rPr>
          <w:lang w:val="en-US"/>
        </w:rPr>
        <w:t>GDPDEF)</w:t>
      </w:r>
      <w:r w:rsidRPr="00D461AC">
        <w:rPr>
          <w:lang w:val="en-US"/>
        </w:rPr>
        <w:t xml:space="preserve"> / </w:t>
      </w:r>
      <w:r w:rsidR="002C53A6" w:rsidRPr="00D461AC">
        <w:rPr>
          <w:lang w:val="en-US"/>
        </w:rPr>
        <w:t>LNSindex)</w:t>
      </w:r>
      <w:r w:rsidRPr="00D461AC">
        <w:rPr>
          <w:lang w:val="en-US"/>
        </w:rPr>
        <w:t xml:space="preserve"> * 100</w:t>
      </w:r>
      <w:r w:rsidRPr="00D461AC">
        <w:rPr>
          <w:lang w:val="en-US"/>
        </w:rPr>
        <w:tab/>
      </w:r>
    </w:p>
    <w:p w:rsidR="006102EF" w:rsidRPr="00D461AC" w:rsidRDefault="006102EF" w:rsidP="006102EF">
      <w:pPr>
        <w:rPr>
          <w:lang w:val="en-US"/>
        </w:rPr>
      </w:pPr>
      <w:r w:rsidRPr="00D461AC">
        <w:rPr>
          <w:lang w:val="en-US"/>
        </w:rPr>
        <w:t xml:space="preserve">output     </w:t>
      </w:r>
      <w:r w:rsidRPr="00D461AC">
        <w:rPr>
          <w:lang w:val="en-US"/>
        </w:rPr>
        <w:tab/>
      </w:r>
      <w:r w:rsidRPr="00D461AC">
        <w:rPr>
          <w:lang w:val="en-US"/>
        </w:rPr>
        <w:tab/>
        <w:t xml:space="preserve">= </w:t>
      </w:r>
      <w:r w:rsidR="002C53A6" w:rsidRPr="00D461AC">
        <w:rPr>
          <w:lang w:val="en-US"/>
        </w:rPr>
        <w:t>LN (GDPC</w:t>
      </w:r>
      <w:r w:rsidRPr="00D461AC">
        <w:rPr>
          <w:lang w:val="en-US"/>
        </w:rPr>
        <w:t xml:space="preserve">96 / </w:t>
      </w:r>
      <w:r w:rsidR="002C53A6" w:rsidRPr="00D461AC">
        <w:rPr>
          <w:lang w:val="en-US"/>
        </w:rPr>
        <w:t>LNSindex)</w:t>
      </w:r>
      <w:r w:rsidRPr="00D461AC">
        <w:rPr>
          <w:lang w:val="en-US"/>
        </w:rPr>
        <w:t xml:space="preserve"> * 100</w:t>
      </w:r>
      <w:r w:rsidRPr="00D461AC">
        <w:rPr>
          <w:lang w:val="en-US"/>
        </w:rPr>
        <w:tab/>
      </w:r>
    </w:p>
    <w:p w:rsidR="006102EF" w:rsidRPr="00D461AC" w:rsidRDefault="006102EF" w:rsidP="006102EF">
      <w:pPr>
        <w:rPr>
          <w:lang w:val="en-US"/>
        </w:rPr>
      </w:pPr>
      <w:r w:rsidRPr="00D461AC">
        <w:rPr>
          <w:lang w:val="en-US"/>
        </w:rPr>
        <w:t xml:space="preserve">hours     </w:t>
      </w:r>
      <w:r w:rsidRPr="00D461AC">
        <w:rPr>
          <w:lang w:val="en-US"/>
        </w:rPr>
        <w:tab/>
      </w:r>
      <w:r w:rsidRPr="00D461AC">
        <w:rPr>
          <w:lang w:val="en-US"/>
        </w:rPr>
        <w:tab/>
        <w:t xml:space="preserve">= </w:t>
      </w:r>
      <w:r w:rsidR="002C53A6" w:rsidRPr="00D461AC">
        <w:rPr>
          <w:lang w:val="en-US"/>
        </w:rPr>
        <w:t>LN ((</w:t>
      </w:r>
      <w:r w:rsidRPr="00D461AC">
        <w:rPr>
          <w:lang w:val="en-US"/>
        </w:rPr>
        <w:t xml:space="preserve">PRS85006023 * CE16OV / </w:t>
      </w:r>
      <w:r w:rsidR="002C53A6" w:rsidRPr="00D461AC">
        <w:rPr>
          <w:lang w:val="en-US"/>
        </w:rPr>
        <w:t>100)</w:t>
      </w:r>
      <w:r w:rsidRPr="00D461AC">
        <w:rPr>
          <w:lang w:val="en-US"/>
        </w:rPr>
        <w:t xml:space="preserve"> / </w:t>
      </w:r>
      <w:r w:rsidR="002C53A6" w:rsidRPr="00D461AC">
        <w:rPr>
          <w:lang w:val="en-US"/>
        </w:rPr>
        <w:t>LNSindex)</w:t>
      </w:r>
      <w:r w:rsidRPr="00D461AC">
        <w:rPr>
          <w:lang w:val="en-US"/>
        </w:rPr>
        <w:t xml:space="preserve"> * 100</w:t>
      </w:r>
      <w:r w:rsidRPr="00D461AC">
        <w:rPr>
          <w:lang w:val="en-US"/>
        </w:rPr>
        <w:tab/>
      </w:r>
    </w:p>
    <w:p w:rsidR="006102EF" w:rsidRPr="00D461AC" w:rsidRDefault="006102EF" w:rsidP="006102EF">
      <w:pPr>
        <w:rPr>
          <w:rFonts w:cs="Arial"/>
          <w:lang w:val="en-US"/>
        </w:rPr>
      </w:pPr>
      <w:r w:rsidRPr="00D461AC">
        <w:rPr>
          <w:rFonts w:cs="Arial"/>
          <w:lang w:val="en-US"/>
        </w:rPr>
        <w:t xml:space="preserve">inflation </w:t>
      </w:r>
      <w:r w:rsidRPr="00D461AC">
        <w:rPr>
          <w:rFonts w:cs="Arial"/>
          <w:lang w:val="en-US"/>
        </w:rPr>
        <w:tab/>
      </w:r>
      <w:r w:rsidRPr="00D461AC">
        <w:rPr>
          <w:rFonts w:cs="Arial"/>
          <w:lang w:val="en-US"/>
        </w:rPr>
        <w:tab/>
        <w:t xml:space="preserve">= </w:t>
      </w:r>
      <w:r w:rsidR="002C53A6" w:rsidRPr="00D461AC">
        <w:rPr>
          <w:rFonts w:cs="Arial"/>
          <w:lang w:val="en-US"/>
        </w:rPr>
        <w:t>LN (GDPDEF</w:t>
      </w:r>
      <w:r w:rsidR="006F7D19">
        <w:rPr>
          <w:rFonts w:cs="Arial"/>
          <w:lang w:val="en-US"/>
        </w:rPr>
        <w:t xml:space="preserve"> </w:t>
      </w:r>
      <w:r w:rsidR="002C53A6">
        <w:rPr>
          <w:rFonts w:cs="Arial"/>
          <w:lang w:val="en-US"/>
        </w:rPr>
        <w:t xml:space="preserve">/ </w:t>
      </w:r>
      <w:r w:rsidR="002C53A6" w:rsidRPr="00D461AC">
        <w:rPr>
          <w:rFonts w:cs="Arial"/>
          <w:lang w:val="en-US"/>
        </w:rPr>
        <w:t>GDPDEF (</w:t>
      </w:r>
      <w:r w:rsidRPr="00D461AC">
        <w:rPr>
          <w:rFonts w:cs="Arial"/>
          <w:lang w:val="en-US"/>
        </w:rPr>
        <w:t>-1</w:t>
      </w:r>
      <w:r w:rsidR="002C53A6" w:rsidRPr="00D461AC">
        <w:rPr>
          <w:rFonts w:cs="Arial"/>
          <w:lang w:val="en-US"/>
        </w:rPr>
        <w:t>))</w:t>
      </w:r>
      <w:r w:rsidRPr="00D461AC">
        <w:rPr>
          <w:rFonts w:cs="Arial"/>
          <w:lang w:val="en-US"/>
        </w:rPr>
        <w:t xml:space="preserve"> * 100</w:t>
      </w:r>
    </w:p>
    <w:p w:rsidR="006102EF" w:rsidRPr="00D461AC" w:rsidRDefault="006102EF" w:rsidP="006102EF">
      <w:pPr>
        <w:rPr>
          <w:lang w:val="en-US"/>
        </w:rPr>
      </w:pPr>
      <w:r w:rsidRPr="00D461AC">
        <w:rPr>
          <w:lang w:val="en-US"/>
        </w:rPr>
        <w:t xml:space="preserve">real wage   </w:t>
      </w:r>
      <w:r w:rsidRPr="00D461AC">
        <w:rPr>
          <w:lang w:val="en-US"/>
        </w:rPr>
        <w:tab/>
      </w:r>
      <w:r w:rsidRPr="00D461AC">
        <w:rPr>
          <w:lang w:val="en-US"/>
        </w:rPr>
        <w:tab/>
        <w:t xml:space="preserve">= </w:t>
      </w:r>
      <w:r w:rsidR="002C53A6" w:rsidRPr="00D461AC">
        <w:rPr>
          <w:lang w:val="en-US"/>
        </w:rPr>
        <w:t>LN (PRS</w:t>
      </w:r>
      <w:r w:rsidRPr="00D461AC">
        <w:rPr>
          <w:lang w:val="en-US"/>
        </w:rPr>
        <w:t xml:space="preserve">85006103 / </w:t>
      </w:r>
      <w:r w:rsidR="002C53A6" w:rsidRPr="00D461AC">
        <w:rPr>
          <w:lang w:val="en-US"/>
        </w:rPr>
        <w:t>GDPDEF)</w:t>
      </w:r>
      <w:r w:rsidRPr="00D461AC">
        <w:rPr>
          <w:lang w:val="en-US"/>
        </w:rPr>
        <w:t xml:space="preserve"> * 100</w:t>
      </w:r>
      <w:r w:rsidRPr="00D461AC">
        <w:rPr>
          <w:lang w:val="en-US"/>
        </w:rPr>
        <w:tab/>
      </w:r>
    </w:p>
    <w:p w:rsidR="006102EF" w:rsidRPr="00D461AC" w:rsidRDefault="006102EF" w:rsidP="006102EF">
      <w:pPr>
        <w:rPr>
          <w:lang w:val="en-US"/>
        </w:rPr>
      </w:pPr>
      <w:r w:rsidRPr="00D461AC">
        <w:rPr>
          <w:lang w:val="en-US"/>
        </w:rPr>
        <w:t xml:space="preserve">interest rate    </w:t>
      </w:r>
      <w:r>
        <w:rPr>
          <w:lang w:val="en-US"/>
        </w:rPr>
        <w:t xml:space="preserve"> </w:t>
      </w:r>
      <w:r w:rsidRPr="00D461AC">
        <w:rPr>
          <w:lang w:val="en-US"/>
        </w:rPr>
        <w:tab/>
        <w:t>= Federal Funds Rate / 4</w:t>
      </w:r>
    </w:p>
    <w:p w:rsidR="006102EF" w:rsidRPr="00D461AC" w:rsidRDefault="006102EF" w:rsidP="006102EF">
      <w:pPr>
        <w:rPr>
          <w:lang w:val="en-US"/>
        </w:rPr>
      </w:pPr>
    </w:p>
    <w:p w:rsidR="006102EF" w:rsidRPr="00D461AC" w:rsidRDefault="006102EF" w:rsidP="006102EF">
      <w:pPr>
        <w:rPr>
          <w:lang w:val="en-US"/>
        </w:rPr>
      </w:pPr>
      <w:r w:rsidRPr="00D461AC">
        <w:rPr>
          <w:lang w:val="en-US"/>
        </w:rPr>
        <w:t>Source of the original data</w:t>
      </w:r>
    </w:p>
    <w:p w:rsidR="006102EF" w:rsidRPr="00D461AC" w:rsidRDefault="006102EF" w:rsidP="006102EF">
      <w:pPr>
        <w:rPr>
          <w:lang w:val="en-US"/>
        </w:rPr>
      </w:pPr>
    </w:p>
    <w:p w:rsidR="006102EF" w:rsidRPr="00D461AC" w:rsidRDefault="006102EF" w:rsidP="006102EF">
      <w:pPr>
        <w:rPr>
          <w:lang w:val="en-US"/>
        </w:rPr>
      </w:pPr>
      <w:r w:rsidRPr="00D461AC">
        <w:rPr>
          <w:lang w:val="en-US"/>
        </w:rPr>
        <w:t>GDPC</w:t>
      </w:r>
      <w:r w:rsidR="002C53A6" w:rsidRPr="00D461AC">
        <w:rPr>
          <w:lang w:val="en-US"/>
        </w:rPr>
        <w:t>96:</w:t>
      </w:r>
      <w:r w:rsidRPr="00D461AC">
        <w:rPr>
          <w:lang w:val="en-US"/>
        </w:rPr>
        <w:t xml:space="preserve"> Real Gross Domestic Product - Billions of Chained 1996 Dollars, Seasonally Adjusted Annual Rate</w:t>
      </w:r>
    </w:p>
    <w:p w:rsidR="006102EF" w:rsidRPr="00D461AC" w:rsidRDefault="006102EF" w:rsidP="006102EF">
      <w:pPr>
        <w:rPr>
          <w:lang w:val="en-US"/>
        </w:rPr>
      </w:pPr>
      <w:r w:rsidRPr="00D461AC">
        <w:rPr>
          <w:lang w:val="en-US"/>
        </w:rPr>
        <w:t>Source: U.S. Department of Commerce, Bureau of Economic Analysis</w:t>
      </w:r>
    </w:p>
    <w:p w:rsidR="006102EF" w:rsidRPr="00D461AC" w:rsidRDefault="006102EF" w:rsidP="006102EF">
      <w:pPr>
        <w:rPr>
          <w:lang w:val="en-US"/>
        </w:rPr>
      </w:pPr>
    </w:p>
    <w:p w:rsidR="006102EF" w:rsidRPr="00D461AC" w:rsidRDefault="002C53A6" w:rsidP="006102EF">
      <w:pPr>
        <w:rPr>
          <w:lang w:val="en-US"/>
        </w:rPr>
      </w:pPr>
      <w:r w:rsidRPr="00D461AC">
        <w:rPr>
          <w:lang w:val="en-US"/>
        </w:rPr>
        <w:t>GDPDEF:</w:t>
      </w:r>
      <w:r w:rsidR="006102EF" w:rsidRPr="00D461AC">
        <w:rPr>
          <w:lang w:val="en-US"/>
        </w:rPr>
        <w:t xml:space="preserve"> Gross Domestic Product - Implicit Price Deflator - 1996=100, Seasonally Adjusted</w:t>
      </w:r>
    </w:p>
    <w:p w:rsidR="006102EF" w:rsidRPr="00D461AC" w:rsidRDefault="006102EF" w:rsidP="006102EF">
      <w:pPr>
        <w:rPr>
          <w:lang w:val="en-US"/>
        </w:rPr>
      </w:pPr>
      <w:r w:rsidRPr="00D461AC">
        <w:rPr>
          <w:lang w:val="en-US"/>
        </w:rPr>
        <w:t>Source: U.S. Department of Commerce, Bureau of Economic Analysis</w:t>
      </w:r>
      <w:r w:rsidRPr="00D461AC">
        <w:rPr>
          <w:lang w:val="en-US"/>
        </w:rPr>
        <w:tab/>
      </w:r>
    </w:p>
    <w:p w:rsidR="006102EF" w:rsidRPr="00D461AC" w:rsidRDefault="006102EF" w:rsidP="006102EF">
      <w:pPr>
        <w:rPr>
          <w:lang w:val="en-US"/>
        </w:rPr>
      </w:pPr>
    </w:p>
    <w:p w:rsidR="006102EF" w:rsidRPr="00D461AC" w:rsidRDefault="002C53A6" w:rsidP="006102EF">
      <w:pPr>
        <w:rPr>
          <w:lang w:val="en-US"/>
        </w:rPr>
      </w:pPr>
      <w:r w:rsidRPr="00D461AC">
        <w:rPr>
          <w:lang w:val="en-US"/>
        </w:rPr>
        <w:t>PCEC:</w:t>
      </w:r>
      <w:r w:rsidR="006102EF" w:rsidRPr="00D461AC">
        <w:rPr>
          <w:lang w:val="en-US"/>
        </w:rPr>
        <w:t xml:space="preserve"> Personal Consumption Expenditures - Billions of Dollars, Seasonally Adjusted Annual Rate </w:t>
      </w:r>
    </w:p>
    <w:p w:rsidR="006102EF" w:rsidRPr="00D461AC" w:rsidRDefault="006102EF" w:rsidP="006102EF">
      <w:pPr>
        <w:rPr>
          <w:lang w:val="en-US"/>
        </w:rPr>
      </w:pPr>
      <w:r w:rsidRPr="00D461AC">
        <w:rPr>
          <w:lang w:val="en-US"/>
        </w:rPr>
        <w:t>Source: U.S. Department of Commerce, Bureau of Economic Analysis</w:t>
      </w:r>
    </w:p>
    <w:p w:rsidR="006102EF" w:rsidRPr="00D461AC" w:rsidRDefault="006102EF" w:rsidP="006102EF">
      <w:pPr>
        <w:rPr>
          <w:lang w:val="en-US"/>
        </w:rPr>
      </w:pPr>
    </w:p>
    <w:p w:rsidR="006102EF" w:rsidRPr="00D461AC" w:rsidRDefault="002C53A6" w:rsidP="006102EF">
      <w:pPr>
        <w:rPr>
          <w:lang w:val="en-US"/>
        </w:rPr>
      </w:pPr>
      <w:r w:rsidRPr="00D461AC">
        <w:rPr>
          <w:lang w:val="en-US"/>
        </w:rPr>
        <w:t>FPI:</w:t>
      </w:r>
      <w:r w:rsidR="006102EF" w:rsidRPr="00D461AC">
        <w:rPr>
          <w:lang w:val="en-US"/>
        </w:rPr>
        <w:t xml:space="preserve"> Fixed Private Investment - Billions of Dollars, Seasonally Adjusted Annual Rate</w:t>
      </w:r>
    </w:p>
    <w:p w:rsidR="006102EF" w:rsidRPr="00D461AC" w:rsidRDefault="006102EF" w:rsidP="006102EF">
      <w:pPr>
        <w:rPr>
          <w:lang w:val="en-US"/>
        </w:rPr>
      </w:pPr>
      <w:r w:rsidRPr="00D461AC">
        <w:rPr>
          <w:lang w:val="en-US"/>
        </w:rPr>
        <w:t>Source: U.S. Department of Commerce, Bureau of Economic Analysis</w:t>
      </w:r>
      <w:r w:rsidRPr="00D461AC">
        <w:rPr>
          <w:lang w:val="en-US"/>
        </w:rPr>
        <w:tab/>
      </w:r>
      <w:r w:rsidRPr="00D461AC">
        <w:rPr>
          <w:lang w:val="en-US"/>
        </w:rPr>
        <w:tab/>
      </w:r>
    </w:p>
    <w:p w:rsidR="006102EF" w:rsidRPr="00D461AC" w:rsidRDefault="006102EF" w:rsidP="006102EF">
      <w:pPr>
        <w:rPr>
          <w:lang w:val="en-US"/>
        </w:rPr>
      </w:pPr>
    </w:p>
    <w:p w:rsidR="006102EF" w:rsidRPr="00D461AC" w:rsidRDefault="006102EF" w:rsidP="006102EF">
      <w:pPr>
        <w:rPr>
          <w:lang w:val="en-US"/>
        </w:rPr>
      </w:pPr>
      <w:r w:rsidRPr="00D461AC">
        <w:rPr>
          <w:lang w:val="en-US"/>
        </w:rPr>
        <w:t>CE16</w:t>
      </w:r>
      <w:r w:rsidR="002C53A6" w:rsidRPr="00D461AC">
        <w:rPr>
          <w:lang w:val="en-US"/>
        </w:rPr>
        <w:t>OV:</w:t>
      </w:r>
      <w:r w:rsidRPr="00D461AC">
        <w:rPr>
          <w:lang w:val="en-US"/>
        </w:rPr>
        <w:t xml:space="preserve"> Civilian Employment: Sixteen Years &amp; Over, Thousands, Seasonally Adjusted</w:t>
      </w:r>
    </w:p>
    <w:p w:rsidR="006102EF" w:rsidRPr="00D461AC" w:rsidRDefault="006102EF" w:rsidP="006102EF">
      <w:pPr>
        <w:rPr>
          <w:lang w:val="en-US"/>
        </w:rPr>
      </w:pPr>
      <w:r w:rsidRPr="00D461AC">
        <w:rPr>
          <w:lang w:val="en-US"/>
        </w:rPr>
        <w:t>Source:</w:t>
      </w:r>
      <w:r w:rsidRPr="00D461AC">
        <w:rPr>
          <w:lang w:val="en-US"/>
        </w:rPr>
        <w:tab/>
        <w:t xml:space="preserve">U.S. Department </w:t>
      </w:r>
      <w:r w:rsidRPr="00D461AC">
        <w:rPr>
          <w:rFonts w:cs="Arial"/>
          <w:lang w:val="en-US" w:eastAsia="nl-NL"/>
        </w:rPr>
        <w:t>of Labor: Bureau of Labor Statistics</w:t>
      </w:r>
    </w:p>
    <w:p w:rsidR="006102EF" w:rsidRPr="00D461AC" w:rsidRDefault="006102EF" w:rsidP="006102EF">
      <w:pPr>
        <w:rPr>
          <w:lang w:val="en-US"/>
        </w:rPr>
      </w:pPr>
    </w:p>
    <w:p w:rsidR="006102EF" w:rsidRPr="00D461AC" w:rsidRDefault="006102EF" w:rsidP="006102EF">
      <w:pPr>
        <w:rPr>
          <w:lang w:val="en-US"/>
        </w:rPr>
      </w:pPr>
      <w:r w:rsidRPr="00D461AC">
        <w:rPr>
          <w:lang w:val="en-US"/>
        </w:rPr>
        <w:t xml:space="preserve">CE16OV </w:t>
      </w:r>
      <w:r w:rsidR="002C53A6" w:rsidRPr="00D461AC">
        <w:rPr>
          <w:lang w:val="en-US"/>
        </w:rPr>
        <w:t>index:</w:t>
      </w:r>
      <w:r w:rsidRPr="00D461AC">
        <w:rPr>
          <w:lang w:val="en-US"/>
        </w:rPr>
        <w:t xml:space="preserve"> CE16OV (</w:t>
      </w:r>
      <w:r w:rsidR="002C53A6" w:rsidRPr="00D461AC">
        <w:rPr>
          <w:lang w:val="en-US"/>
        </w:rPr>
        <w:t>1992:3) =</w:t>
      </w:r>
      <w:r w:rsidRPr="00D461AC">
        <w:rPr>
          <w:lang w:val="en-US"/>
        </w:rPr>
        <w:t>1</w:t>
      </w:r>
    </w:p>
    <w:p w:rsidR="006102EF" w:rsidRPr="00D461AC" w:rsidRDefault="006102EF" w:rsidP="006102EF">
      <w:pPr>
        <w:rPr>
          <w:lang w:val="en-US"/>
        </w:rPr>
      </w:pPr>
    </w:p>
    <w:p w:rsidR="006102EF" w:rsidRPr="00D461AC" w:rsidRDefault="006102EF" w:rsidP="006102EF">
      <w:pPr>
        <w:rPr>
          <w:lang w:val="en-US"/>
        </w:rPr>
      </w:pPr>
      <w:r w:rsidRPr="00D461AC">
        <w:rPr>
          <w:lang w:val="en-US"/>
        </w:rPr>
        <w:t xml:space="preserve">Federal Funds </w:t>
      </w:r>
      <w:r w:rsidR="002C53A6" w:rsidRPr="00D461AC">
        <w:rPr>
          <w:lang w:val="en-US"/>
        </w:rPr>
        <w:t>Rate:</w:t>
      </w:r>
      <w:r w:rsidRPr="00D461AC">
        <w:rPr>
          <w:lang w:val="en-US"/>
        </w:rPr>
        <w:t xml:space="preserve"> Averages of</w:t>
      </w:r>
      <w:r w:rsidRPr="00D461AC">
        <w:rPr>
          <w:lang w:val="en-US"/>
        </w:rPr>
        <w:tab/>
        <w:t>Daily Figures - Percent</w:t>
      </w:r>
      <w:r w:rsidRPr="00D461AC">
        <w:rPr>
          <w:lang w:val="en-US"/>
        </w:rPr>
        <w:tab/>
      </w:r>
      <w:r w:rsidRPr="00D461AC">
        <w:rPr>
          <w:lang w:val="en-US"/>
        </w:rPr>
        <w:tab/>
      </w:r>
    </w:p>
    <w:p w:rsidR="006102EF" w:rsidRPr="00D461AC" w:rsidRDefault="006102EF" w:rsidP="006102EF">
      <w:pPr>
        <w:rPr>
          <w:lang w:val="en-US"/>
        </w:rPr>
      </w:pPr>
      <w:r w:rsidRPr="00D461AC">
        <w:rPr>
          <w:lang w:val="en-US"/>
        </w:rPr>
        <w:t>Source: Board of Governors of the Federal Reserve System</w:t>
      </w:r>
    </w:p>
    <w:p w:rsidR="006102EF" w:rsidRPr="00D461AC" w:rsidRDefault="006102EF" w:rsidP="006102EF">
      <w:pPr>
        <w:rPr>
          <w:lang w:val="en-US"/>
        </w:rPr>
      </w:pPr>
      <w:r w:rsidRPr="00D461AC">
        <w:rPr>
          <w:lang w:val="en-US"/>
        </w:rPr>
        <w:t>(Before 1954: 3-Month Treasury</w:t>
      </w:r>
      <w:r w:rsidRPr="00D461AC">
        <w:rPr>
          <w:lang w:val="en-US"/>
        </w:rPr>
        <w:tab/>
        <w:t>Bill</w:t>
      </w:r>
      <w:r w:rsidRPr="00D461AC">
        <w:rPr>
          <w:lang w:val="en-US"/>
        </w:rPr>
        <w:tab/>
        <w:t>Rate, Secondary Market Averages of Business Days, Discount Basis)</w:t>
      </w:r>
    </w:p>
    <w:p w:rsidR="006102EF" w:rsidRPr="00D461AC" w:rsidRDefault="006102EF" w:rsidP="006102EF">
      <w:pPr>
        <w:rPr>
          <w:lang w:val="en-US"/>
        </w:rPr>
      </w:pPr>
    </w:p>
    <w:p w:rsidR="006102EF" w:rsidRPr="00D461AC" w:rsidRDefault="006102EF" w:rsidP="006102EF">
      <w:pPr>
        <w:rPr>
          <w:lang w:val="en-US"/>
        </w:rPr>
      </w:pPr>
      <w:r w:rsidRPr="00D461AC">
        <w:rPr>
          <w:lang w:val="en-US"/>
        </w:rPr>
        <w:t>LFU</w:t>
      </w:r>
      <w:r w:rsidR="002C53A6" w:rsidRPr="00D461AC">
        <w:rPr>
          <w:lang w:val="en-US"/>
        </w:rPr>
        <w:t>800000000:</w:t>
      </w:r>
      <w:r w:rsidRPr="00D461AC">
        <w:rPr>
          <w:lang w:val="en-US"/>
        </w:rPr>
        <w:t xml:space="preserve"> Population level - 16 Years and Older - Not Seasonally Adjusted</w:t>
      </w:r>
    </w:p>
    <w:p w:rsidR="006102EF" w:rsidRPr="00D461AC" w:rsidRDefault="006102EF" w:rsidP="006102EF">
      <w:pPr>
        <w:rPr>
          <w:rFonts w:cs="Arial"/>
          <w:lang w:val="en-US" w:eastAsia="nl-NL"/>
        </w:rPr>
      </w:pPr>
      <w:r w:rsidRPr="00D461AC">
        <w:rPr>
          <w:rFonts w:cs="Arial"/>
          <w:lang w:val="en-US" w:eastAsia="nl-NL"/>
        </w:rPr>
        <w:t>Source: U.S. Bureau of Labor Statistics</w:t>
      </w:r>
    </w:p>
    <w:p w:rsidR="006102EF" w:rsidRPr="00D461AC" w:rsidRDefault="006102EF" w:rsidP="006102EF">
      <w:pPr>
        <w:rPr>
          <w:rFonts w:cs="Arial"/>
          <w:lang w:val="en-US" w:eastAsia="nl-NL"/>
        </w:rPr>
      </w:pPr>
    </w:p>
    <w:p w:rsidR="006102EF" w:rsidRPr="00D461AC" w:rsidRDefault="006102EF" w:rsidP="006102EF">
      <w:pPr>
        <w:rPr>
          <w:lang w:val="en-US"/>
        </w:rPr>
      </w:pPr>
      <w:r w:rsidRPr="00D461AC">
        <w:rPr>
          <w:rFonts w:cs="Arial"/>
          <w:lang w:val="en-US" w:eastAsia="nl-NL"/>
        </w:rPr>
        <w:lastRenderedPageBreak/>
        <w:t>LNS</w:t>
      </w:r>
      <w:r w:rsidR="002C53A6" w:rsidRPr="00D461AC">
        <w:rPr>
          <w:rFonts w:cs="Arial"/>
          <w:lang w:val="en-US" w:eastAsia="nl-NL"/>
        </w:rPr>
        <w:t>10000000:</w:t>
      </w:r>
      <w:r w:rsidRPr="00D461AC">
        <w:rPr>
          <w:rFonts w:cs="Arial"/>
          <w:lang w:val="en-US" w:eastAsia="nl-NL"/>
        </w:rPr>
        <w:t xml:space="preserve"> Labor Force </w:t>
      </w:r>
      <w:r w:rsidR="002C53A6" w:rsidRPr="00D461AC">
        <w:rPr>
          <w:rFonts w:cs="Arial"/>
          <w:lang w:val="en-US" w:eastAsia="nl-NL"/>
        </w:rPr>
        <w:t>Status:</w:t>
      </w:r>
      <w:r w:rsidRPr="00D461AC">
        <w:rPr>
          <w:rFonts w:cs="Arial"/>
          <w:lang w:val="en-US" w:eastAsia="nl-NL"/>
        </w:rPr>
        <w:t xml:space="preserve"> Civilian noninstitutional population - </w:t>
      </w:r>
      <w:r w:rsidR="002C53A6" w:rsidRPr="00D461AC">
        <w:rPr>
          <w:rFonts w:cs="Arial"/>
          <w:lang w:val="en-US" w:eastAsia="nl-NL"/>
        </w:rPr>
        <w:t>Age:</w:t>
      </w:r>
      <w:r w:rsidRPr="00D461AC">
        <w:rPr>
          <w:rFonts w:cs="Arial"/>
          <w:lang w:val="en-US" w:eastAsia="nl-NL"/>
        </w:rPr>
        <w:t xml:space="preserve"> 16 years and over - Seasonally Adjusted - Number in thous</w:t>
      </w:r>
      <w:r w:rsidRPr="00D461AC">
        <w:rPr>
          <w:lang w:val="en-US"/>
        </w:rPr>
        <w:t xml:space="preserve">ands      </w:t>
      </w:r>
      <w:r w:rsidRPr="00D461AC">
        <w:rPr>
          <w:lang w:val="en-US"/>
        </w:rPr>
        <w:tab/>
      </w:r>
      <w:r w:rsidRPr="00D461AC">
        <w:rPr>
          <w:lang w:val="en-US"/>
        </w:rPr>
        <w:tab/>
      </w:r>
      <w:r w:rsidRPr="00D461AC">
        <w:rPr>
          <w:lang w:val="en-US"/>
        </w:rPr>
        <w:tab/>
      </w:r>
    </w:p>
    <w:p w:rsidR="006102EF" w:rsidRPr="00D461AC" w:rsidRDefault="006102EF" w:rsidP="006102EF">
      <w:pPr>
        <w:rPr>
          <w:rFonts w:cs="Arial"/>
          <w:lang w:val="en-US" w:eastAsia="nl-NL"/>
        </w:rPr>
      </w:pPr>
      <w:r w:rsidRPr="00D461AC">
        <w:rPr>
          <w:rFonts w:cs="Arial"/>
          <w:lang w:val="en-US" w:eastAsia="nl-NL"/>
        </w:rPr>
        <w:t>Source: U.S. Bureau of Labor Statistics</w:t>
      </w:r>
    </w:p>
    <w:p w:rsidR="006102EF" w:rsidRPr="00D461AC" w:rsidRDefault="006102EF" w:rsidP="006102EF">
      <w:pPr>
        <w:rPr>
          <w:lang w:val="en-US"/>
        </w:rPr>
      </w:pPr>
      <w:r w:rsidRPr="00D461AC">
        <w:rPr>
          <w:lang w:val="en-US"/>
        </w:rPr>
        <w:t>(Before 1976: LFU</w:t>
      </w:r>
      <w:r w:rsidR="002C53A6" w:rsidRPr="00D461AC">
        <w:rPr>
          <w:lang w:val="en-US"/>
        </w:rPr>
        <w:t>800000000:</w:t>
      </w:r>
      <w:r w:rsidRPr="00D461AC">
        <w:rPr>
          <w:lang w:val="en-US"/>
        </w:rPr>
        <w:t xml:space="preserve"> Population level - 16 Years and Older) </w:t>
      </w:r>
    </w:p>
    <w:p w:rsidR="006102EF" w:rsidRPr="00D461AC" w:rsidRDefault="006102EF" w:rsidP="006102EF">
      <w:pPr>
        <w:rPr>
          <w:lang w:val="en-US"/>
        </w:rPr>
      </w:pPr>
    </w:p>
    <w:p w:rsidR="006102EF" w:rsidRPr="00D461AC" w:rsidRDefault="002C53A6" w:rsidP="006102EF">
      <w:pPr>
        <w:rPr>
          <w:lang w:val="en-US"/>
        </w:rPr>
      </w:pPr>
      <w:r w:rsidRPr="00D461AC">
        <w:rPr>
          <w:lang w:val="en-US"/>
        </w:rPr>
        <w:t>LNSindex:</w:t>
      </w:r>
      <w:r w:rsidR="006102EF" w:rsidRPr="00D461AC">
        <w:rPr>
          <w:lang w:val="en-US"/>
        </w:rPr>
        <w:t xml:space="preserve"> </w:t>
      </w:r>
      <w:r w:rsidR="006102EF" w:rsidRPr="00D461AC">
        <w:rPr>
          <w:rFonts w:cs="Arial"/>
          <w:lang w:val="en-US" w:eastAsia="nl-NL"/>
        </w:rPr>
        <w:t>LNS10000000(</w:t>
      </w:r>
      <w:r w:rsidRPr="00D461AC">
        <w:rPr>
          <w:rFonts w:cs="Arial"/>
          <w:lang w:val="en-US" w:eastAsia="nl-NL"/>
        </w:rPr>
        <w:t>1</w:t>
      </w:r>
      <w:r w:rsidRPr="00D461AC">
        <w:rPr>
          <w:lang w:val="en-US"/>
        </w:rPr>
        <w:t>992:3) =</w:t>
      </w:r>
      <w:r w:rsidR="006102EF" w:rsidRPr="00D461AC">
        <w:rPr>
          <w:lang w:val="en-US"/>
        </w:rPr>
        <w:t>1</w:t>
      </w:r>
    </w:p>
    <w:p w:rsidR="006102EF" w:rsidRPr="00D461AC" w:rsidRDefault="006102EF" w:rsidP="006102EF">
      <w:pPr>
        <w:rPr>
          <w:lang w:val="en-US"/>
        </w:rPr>
      </w:pPr>
    </w:p>
    <w:p w:rsidR="006102EF" w:rsidRPr="00D461AC" w:rsidRDefault="006102EF" w:rsidP="006102EF">
      <w:pPr>
        <w:rPr>
          <w:lang w:val="en-US"/>
        </w:rPr>
      </w:pPr>
      <w:r w:rsidRPr="00D461AC">
        <w:rPr>
          <w:lang w:val="en-US"/>
        </w:rPr>
        <w:t xml:space="preserve">PRS85006023 - Nonfarm Business, All Persons, Average Weekly Hours </w:t>
      </w:r>
      <w:r w:rsidR="002C53A6" w:rsidRPr="00D461AC">
        <w:rPr>
          <w:lang w:val="en-US"/>
        </w:rPr>
        <w:t>Duration:</w:t>
      </w:r>
      <w:r w:rsidRPr="00D461AC">
        <w:rPr>
          <w:lang w:val="en-US"/>
        </w:rPr>
        <w:t xml:space="preserve"> index, 1992 = 100, Seasonally Adjusted</w:t>
      </w:r>
      <w:r w:rsidRPr="00D461AC">
        <w:rPr>
          <w:lang w:val="en-US"/>
        </w:rPr>
        <w:tab/>
      </w:r>
      <w:r w:rsidRPr="00D461AC">
        <w:rPr>
          <w:lang w:val="en-US"/>
        </w:rPr>
        <w:tab/>
      </w:r>
      <w:r w:rsidRPr="00D461AC">
        <w:rPr>
          <w:lang w:val="en-US"/>
        </w:rPr>
        <w:tab/>
      </w:r>
    </w:p>
    <w:p w:rsidR="006102EF" w:rsidRPr="00D461AC" w:rsidRDefault="002C53A6" w:rsidP="006102EF">
      <w:pPr>
        <w:rPr>
          <w:lang w:val="en-US"/>
        </w:rPr>
      </w:pPr>
      <w:r w:rsidRPr="00D461AC">
        <w:rPr>
          <w:lang w:val="en-US"/>
        </w:rPr>
        <w:t>Source:</w:t>
      </w:r>
      <w:r w:rsidR="006102EF" w:rsidRPr="00D461AC">
        <w:rPr>
          <w:lang w:val="en-US"/>
        </w:rPr>
        <w:t xml:space="preserve"> U.S. Department of Labor</w:t>
      </w:r>
    </w:p>
    <w:p w:rsidR="006102EF" w:rsidRPr="00D461AC" w:rsidRDefault="006102EF" w:rsidP="006102EF">
      <w:pPr>
        <w:rPr>
          <w:lang w:val="en-US"/>
        </w:rPr>
      </w:pPr>
    </w:p>
    <w:p w:rsidR="006102EF" w:rsidRPr="00D461AC" w:rsidRDefault="006102EF" w:rsidP="006102EF">
      <w:pPr>
        <w:rPr>
          <w:lang w:val="en-US"/>
        </w:rPr>
      </w:pPr>
      <w:r w:rsidRPr="00D461AC">
        <w:rPr>
          <w:lang w:val="en-US"/>
        </w:rPr>
        <w:t xml:space="preserve">PRS85006103 - Nonfarm Business, All Persons, Hourly Compensation </w:t>
      </w:r>
      <w:r w:rsidR="002C53A6" w:rsidRPr="00D461AC">
        <w:rPr>
          <w:lang w:val="en-US"/>
        </w:rPr>
        <w:t>Duration:</w:t>
      </w:r>
      <w:r w:rsidRPr="00D461AC">
        <w:rPr>
          <w:lang w:val="en-US"/>
        </w:rPr>
        <w:t xml:space="preserve"> index, 1992 = 100, Seasonally Adjusted</w:t>
      </w:r>
      <w:r w:rsidRPr="00D461AC">
        <w:rPr>
          <w:lang w:val="en-US"/>
        </w:rPr>
        <w:tab/>
      </w:r>
      <w:r w:rsidRPr="00D461AC">
        <w:rPr>
          <w:lang w:val="en-US"/>
        </w:rPr>
        <w:tab/>
      </w:r>
    </w:p>
    <w:p w:rsidR="006102EF" w:rsidRPr="00D461AC" w:rsidRDefault="002C53A6" w:rsidP="006102EF">
      <w:pPr>
        <w:rPr>
          <w:lang w:val="en-US"/>
        </w:rPr>
      </w:pPr>
      <w:r w:rsidRPr="00D461AC">
        <w:rPr>
          <w:lang w:val="en-US"/>
        </w:rPr>
        <w:t>Source:</w:t>
      </w:r>
      <w:r w:rsidR="006102EF" w:rsidRPr="00D461AC">
        <w:rPr>
          <w:lang w:val="en-US"/>
        </w:rPr>
        <w:t xml:space="preserve"> U.S. Department of Labor</w:t>
      </w:r>
    </w:p>
    <w:p w:rsidR="006102EF" w:rsidRDefault="006102EF" w:rsidP="006102EF">
      <w:pPr>
        <w:rPr>
          <w:lang w:val="en-US"/>
        </w:rPr>
      </w:pPr>
    </w:p>
    <w:p w:rsidR="002C53A6" w:rsidRDefault="002C53A6" w:rsidP="006102EF">
      <w:pPr>
        <w:rPr>
          <w:lang w:val="en-US"/>
        </w:rPr>
      </w:pPr>
      <w:r>
        <w:rPr>
          <w:lang w:val="en-US"/>
        </w:rPr>
        <w:t xml:space="preserve">NOTES ON THE DATA </w:t>
      </w:r>
    </w:p>
    <w:p w:rsidR="002C53A6" w:rsidRDefault="002C53A6" w:rsidP="006102EF">
      <w:pPr>
        <w:rPr>
          <w:lang w:val="en-US"/>
        </w:rPr>
      </w:pPr>
    </w:p>
    <w:p w:rsidR="002C53A6" w:rsidRDefault="002C53A6" w:rsidP="002C53A6">
      <w:pPr>
        <w:pStyle w:val="Prrafodelista"/>
        <w:numPr>
          <w:ilvl w:val="0"/>
          <w:numId w:val="1"/>
        </w:numPr>
        <w:rPr>
          <w:lang w:val="en-US"/>
        </w:rPr>
      </w:pPr>
      <w:r>
        <w:rPr>
          <w:lang w:val="en-US"/>
        </w:rPr>
        <w:t xml:space="preserve">In the excel data of Smets and Wouters, the inflation is computed as reflected in my formula. However, in his file explaining the data he states that inflation is calculated under the inflation formula provided in data for US model. </w:t>
      </w:r>
    </w:p>
    <w:p w:rsidR="002C53A6" w:rsidRDefault="002C53A6" w:rsidP="006102EF">
      <w:pPr>
        <w:pStyle w:val="Prrafodelista"/>
        <w:numPr>
          <w:ilvl w:val="0"/>
          <w:numId w:val="1"/>
        </w:numPr>
        <w:rPr>
          <w:lang w:val="en-US"/>
        </w:rPr>
      </w:pPr>
      <w:r>
        <w:rPr>
          <w:lang w:val="en-US"/>
        </w:rPr>
        <w:t>The red highlights in my series provides differences with the data of S&amp;W07</w:t>
      </w:r>
    </w:p>
    <w:p w:rsidR="005C7670" w:rsidRDefault="005C7670" w:rsidP="006102EF">
      <w:pPr>
        <w:pStyle w:val="Prrafodelista"/>
        <w:numPr>
          <w:ilvl w:val="0"/>
          <w:numId w:val="1"/>
        </w:numPr>
        <w:rPr>
          <w:lang w:val="en-US"/>
        </w:rPr>
      </w:pPr>
      <w:r>
        <w:rPr>
          <w:lang w:val="en-US"/>
        </w:rPr>
        <w:t xml:space="preserve">I had a mistake on computing one of my indexes, now is corrected. </w:t>
      </w:r>
    </w:p>
    <w:p w:rsidR="005C7670" w:rsidRDefault="005C7670" w:rsidP="006102EF">
      <w:pPr>
        <w:pStyle w:val="Prrafodelista"/>
        <w:numPr>
          <w:ilvl w:val="0"/>
          <w:numId w:val="1"/>
        </w:numPr>
        <w:rPr>
          <w:lang w:val="en-US"/>
        </w:rPr>
      </w:pPr>
      <w:r>
        <w:rPr>
          <w:lang w:val="en-US"/>
        </w:rPr>
        <w:t xml:space="preserve">I believe it may be a mistake that my GDP units are in millions while my gross fixed capital formation and private final consumption expenditure are </w:t>
      </w:r>
      <w:r w:rsidR="00334654">
        <w:rPr>
          <w:lang w:val="en-US"/>
        </w:rPr>
        <w:t xml:space="preserve">in euros. Is that a problem? </w:t>
      </w:r>
    </w:p>
    <w:p w:rsidR="005C7670" w:rsidRDefault="005C7670" w:rsidP="00B0000A">
      <w:pPr>
        <w:rPr>
          <w:lang w:val="en-US"/>
        </w:rPr>
      </w:pPr>
    </w:p>
    <w:p w:rsidR="001F3A08" w:rsidRDefault="00B0000A" w:rsidP="00B0000A">
      <w:pPr>
        <w:rPr>
          <w:lang w:val="en-US"/>
        </w:rPr>
      </w:pPr>
      <w:r>
        <w:rPr>
          <w:lang w:val="en-US"/>
        </w:rPr>
        <w:t xml:space="preserve">After this changes, my next step is to reconstruct the .mat file with the updated variables. Then I will recompute the matrixes of correlation for the US and ESP data. </w:t>
      </w:r>
    </w:p>
    <w:p w:rsidR="00B0000A" w:rsidRDefault="00B0000A" w:rsidP="00B0000A">
      <w:pPr>
        <w:rPr>
          <w:lang w:val="en-US"/>
        </w:rPr>
      </w:pPr>
      <w:r>
        <w:rPr>
          <w:lang w:val="en-US"/>
        </w:rPr>
        <w:t xml:space="preserve">Finally, I will re-plot the graphs. </w:t>
      </w:r>
    </w:p>
    <w:p w:rsidR="00B0000A" w:rsidRDefault="00B0000A" w:rsidP="00B0000A">
      <w:pPr>
        <w:rPr>
          <w:lang w:val="en-US"/>
        </w:rPr>
      </w:pPr>
    </w:p>
    <w:p w:rsidR="00B0000A" w:rsidRDefault="001F3A08" w:rsidP="00B0000A">
      <w:pPr>
        <w:rPr>
          <w:lang w:val="en-US"/>
        </w:rPr>
      </w:pPr>
      <w:r>
        <w:rPr>
          <w:lang w:val="en-US"/>
        </w:rPr>
        <w:t>After plotting the matrix of correlations, I have seen and improvement on the data respect the wrong previous data. However, it seems that the variables “</w:t>
      </w:r>
      <w:proofErr w:type="spellStart"/>
      <w:r w:rsidRPr="001F3A08">
        <w:rPr>
          <w:i/>
          <w:iCs/>
          <w:lang w:val="en-US"/>
        </w:rPr>
        <w:t>labobs</w:t>
      </w:r>
      <w:proofErr w:type="spellEnd"/>
      <w:r w:rsidRPr="001F3A08">
        <w:rPr>
          <w:i/>
          <w:iCs/>
          <w:lang w:val="en-US"/>
        </w:rPr>
        <w:t>”</w:t>
      </w:r>
      <w:r>
        <w:rPr>
          <w:lang w:val="en-US"/>
        </w:rPr>
        <w:t xml:space="preserve"> (log of hours worked) and “</w:t>
      </w:r>
      <w:proofErr w:type="spellStart"/>
      <w:r w:rsidRPr="001F3A08">
        <w:rPr>
          <w:i/>
          <w:iCs/>
          <w:lang w:val="en-US"/>
        </w:rPr>
        <w:t>dw</w:t>
      </w:r>
      <w:proofErr w:type="spellEnd"/>
      <w:r>
        <w:rPr>
          <w:lang w:val="en-US"/>
        </w:rPr>
        <w:t xml:space="preserve">” (wage growth rate) are creating a problem on my data respect the S&amp;W07: </w:t>
      </w: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p>
    <w:p w:rsidR="001F3A08" w:rsidRDefault="001F3A08" w:rsidP="00B0000A">
      <w:pPr>
        <w:rPr>
          <w:lang w:val="en-US"/>
        </w:rPr>
      </w:pPr>
      <w:r>
        <w:rPr>
          <w:noProof/>
          <w:lang w:val="en-US"/>
        </w:rPr>
        <w:lastRenderedPageBreak/>
        <w:drawing>
          <wp:inline distT="0" distB="0" distL="0" distR="0">
            <wp:extent cx="5728532" cy="2255551"/>
            <wp:effectExtent l="0" t="0" r="0" b="5080"/>
            <wp:docPr id="1" name="Imagen 1" descr="Spanish data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cor corrected.png"/>
                    <pic:cNvPicPr/>
                  </pic:nvPicPr>
                  <pic:blipFill>
                    <a:blip r:embed="rId6">
                      <a:extLst>
                        <a:ext uri="{28A0092B-C50C-407E-A947-70E740481C1C}">
                          <a14:useLocalDpi xmlns:a14="http://schemas.microsoft.com/office/drawing/2010/main" val="0"/>
                        </a:ext>
                      </a:extLst>
                    </a:blip>
                    <a:stretch>
                      <a:fillRect/>
                    </a:stretch>
                  </pic:blipFill>
                  <pic:spPr>
                    <a:xfrm>
                      <a:off x="0" y="0"/>
                      <a:ext cx="5755408" cy="2266133"/>
                    </a:xfrm>
                    <a:prstGeom prst="rect">
                      <a:avLst/>
                    </a:prstGeom>
                  </pic:spPr>
                </pic:pic>
              </a:graphicData>
            </a:graphic>
          </wp:inline>
        </w:drawing>
      </w:r>
    </w:p>
    <w:p w:rsidR="001F3A08" w:rsidRDefault="001F3A08" w:rsidP="00B0000A">
      <w:pPr>
        <w:rPr>
          <w:lang w:val="en-US"/>
        </w:rPr>
      </w:pPr>
    </w:p>
    <w:p w:rsidR="001F3A08" w:rsidRDefault="001F3A08" w:rsidP="00B0000A">
      <w:pPr>
        <w:rPr>
          <w:lang w:val="en-US"/>
        </w:rPr>
      </w:pPr>
      <w:r>
        <w:rPr>
          <w:noProof/>
          <w:lang w:val="en-US"/>
        </w:rPr>
        <w:drawing>
          <wp:inline distT="0" distB="0" distL="0" distR="0">
            <wp:extent cx="5707580" cy="2248644"/>
            <wp:effectExtent l="0" t="0" r="0" b="0"/>
            <wp:docPr id="2" name="Imagen 2" descr="U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cor.png"/>
                    <pic:cNvPicPr/>
                  </pic:nvPicPr>
                  <pic:blipFill>
                    <a:blip r:embed="rId7">
                      <a:extLst>
                        <a:ext uri="{28A0092B-C50C-407E-A947-70E740481C1C}">
                          <a14:useLocalDpi xmlns:a14="http://schemas.microsoft.com/office/drawing/2010/main" val="0"/>
                        </a:ext>
                      </a:extLst>
                    </a:blip>
                    <a:stretch>
                      <a:fillRect/>
                    </a:stretch>
                  </pic:blipFill>
                  <pic:spPr>
                    <a:xfrm>
                      <a:off x="0" y="0"/>
                      <a:ext cx="5718939" cy="2253119"/>
                    </a:xfrm>
                    <a:prstGeom prst="rect">
                      <a:avLst/>
                    </a:prstGeom>
                  </pic:spPr>
                </pic:pic>
              </a:graphicData>
            </a:graphic>
          </wp:inline>
        </w:drawing>
      </w:r>
    </w:p>
    <w:p w:rsidR="001F3A08" w:rsidRDefault="001F3A08" w:rsidP="00B0000A">
      <w:pPr>
        <w:rPr>
          <w:lang w:val="en-US"/>
        </w:rPr>
      </w:pPr>
    </w:p>
    <w:p w:rsidR="001F3A08" w:rsidRDefault="00416A74" w:rsidP="006102EF">
      <w:pPr>
        <w:rPr>
          <w:lang w:val="en-US"/>
        </w:rPr>
      </w:pPr>
      <w:r>
        <w:rPr>
          <w:lang w:val="en-US"/>
        </w:rPr>
        <w:t xml:space="preserve">Because the results were weird if have revised the data and discovered that the output was not deflated by the GDP deflator when calculated. Correcting this mistake and computing the correlation matrix give me: </w:t>
      </w:r>
    </w:p>
    <w:p w:rsidR="00416A74" w:rsidRDefault="00416A74" w:rsidP="006102EF">
      <w:pPr>
        <w:rPr>
          <w:lang w:val="en-US"/>
        </w:rPr>
      </w:pPr>
    </w:p>
    <w:p w:rsidR="00416A74" w:rsidRDefault="00DC7DAC" w:rsidP="006102EF">
      <w:pPr>
        <w:rPr>
          <w:lang w:val="en-US"/>
        </w:rPr>
      </w:pPr>
      <w:r>
        <w:rPr>
          <w:noProof/>
          <w:lang w:val="en-US"/>
        </w:rPr>
        <w:drawing>
          <wp:inline distT="0" distB="0" distL="0" distR="0">
            <wp:extent cx="6069280" cy="2458994"/>
            <wp:effectExtent l="0" t="0" r="1905"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11-23 a les 16.50.40.png"/>
                    <pic:cNvPicPr/>
                  </pic:nvPicPr>
                  <pic:blipFill>
                    <a:blip r:embed="rId8">
                      <a:extLst>
                        <a:ext uri="{28A0092B-C50C-407E-A947-70E740481C1C}">
                          <a14:useLocalDpi xmlns:a14="http://schemas.microsoft.com/office/drawing/2010/main" val="0"/>
                        </a:ext>
                      </a:extLst>
                    </a:blip>
                    <a:stretch>
                      <a:fillRect/>
                    </a:stretch>
                  </pic:blipFill>
                  <pic:spPr>
                    <a:xfrm>
                      <a:off x="0" y="0"/>
                      <a:ext cx="6086532" cy="2465984"/>
                    </a:xfrm>
                    <a:prstGeom prst="rect">
                      <a:avLst/>
                    </a:prstGeom>
                  </pic:spPr>
                </pic:pic>
              </a:graphicData>
            </a:graphic>
          </wp:inline>
        </w:drawing>
      </w:r>
    </w:p>
    <w:p w:rsidR="001F3A08" w:rsidRDefault="001F3A08" w:rsidP="006102EF">
      <w:pPr>
        <w:rPr>
          <w:lang w:val="en-US"/>
        </w:rPr>
      </w:pPr>
    </w:p>
    <w:p w:rsidR="006102EF" w:rsidRPr="00C174A0" w:rsidRDefault="006102EF" w:rsidP="006102EF">
      <w:pPr>
        <w:rPr>
          <w:lang w:val="en-US"/>
        </w:rPr>
      </w:pPr>
      <w:bookmarkStart w:id="0" w:name="_GoBack"/>
      <w:bookmarkEnd w:id="0"/>
      <w:r>
        <w:rPr>
          <w:lang w:val="en-US"/>
        </w:rPr>
        <w:br w:type="page"/>
      </w:r>
    </w:p>
    <w:sectPr w:rsidR="006102EF" w:rsidRPr="00C174A0" w:rsidSect="00751DE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52FD0"/>
    <w:multiLevelType w:val="hybridMultilevel"/>
    <w:tmpl w:val="8414697C"/>
    <w:lvl w:ilvl="0" w:tplc="040A0001">
      <w:start w:val="2"/>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A0"/>
    <w:rsid w:val="0005518B"/>
    <w:rsid w:val="001F3A08"/>
    <w:rsid w:val="00204F6D"/>
    <w:rsid w:val="002C53A6"/>
    <w:rsid w:val="002F1D84"/>
    <w:rsid w:val="00334654"/>
    <w:rsid w:val="003641CA"/>
    <w:rsid w:val="003D28B9"/>
    <w:rsid w:val="003D6E28"/>
    <w:rsid w:val="00416A74"/>
    <w:rsid w:val="00495214"/>
    <w:rsid w:val="005A5AC1"/>
    <w:rsid w:val="005C7670"/>
    <w:rsid w:val="006102EF"/>
    <w:rsid w:val="006F7D19"/>
    <w:rsid w:val="00745621"/>
    <w:rsid w:val="00751DE3"/>
    <w:rsid w:val="00826446"/>
    <w:rsid w:val="009067C0"/>
    <w:rsid w:val="00935E33"/>
    <w:rsid w:val="00977E0B"/>
    <w:rsid w:val="00AD173E"/>
    <w:rsid w:val="00AE5AAC"/>
    <w:rsid w:val="00B0000A"/>
    <w:rsid w:val="00BC5C44"/>
    <w:rsid w:val="00C174A0"/>
    <w:rsid w:val="00C850E4"/>
    <w:rsid w:val="00CF160A"/>
    <w:rsid w:val="00D603B2"/>
    <w:rsid w:val="00D8291E"/>
    <w:rsid w:val="00DC7DAC"/>
    <w:rsid w:val="00DD4BF4"/>
    <w:rsid w:val="00E127BD"/>
    <w:rsid w:val="00EF6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B1344AD"/>
  <w15:chartTrackingRefBased/>
  <w15:docId w15:val="{944B572F-1129-FF49-BE7E-7A02B166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2EF"/>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3007">
      <w:bodyDiv w:val="1"/>
      <w:marLeft w:val="0"/>
      <w:marRight w:val="0"/>
      <w:marTop w:val="0"/>
      <w:marBottom w:val="0"/>
      <w:divBdr>
        <w:top w:val="none" w:sz="0" w:space="0" w:color="auto"/>
        <w:left w:val="none" w:sz="0" w:space="0" w:color="auto"/>
        <w:bottom w:val="none" w:sz="0" w:space="0" w:color="auto"/>
        <w:right w:val="none" w:sz="0" w:space="0" w:color="auto"/>
      </w:divBdr>
    </w:div>
    <w:div w:id="84230930">
      <w:bodyDiv w:val="1"/>
      <w:marLeft w:val="0"/>
      <w:marRight w:val="0"/>
      <w:marTop w:val="0"/>
      <w:marBottom w:val="0"/>
      <w:divBdr>
        <w:top w:val="none" w:sz="0" w:space="0" w:color="auto"/>
        <w:left w:val="none" w:sz="0" w:space="0" w:color="auto"/>
        <w:bottom w:val="none" w:sz="0" w:space="0" w:color="auto"/>
        <w:right w:val="none" w:sz="0" w:space="0" w:color="auto"/>
      </w:divBdr>
    </w:div>
    <w:div w:id="90863152">
      <w:bodyDiv w:val="1"/>
      <w:marLeft w:val="0"/>
      <w:marRight w:val="0"/>
      <w:marTop w:val="0"/>
      <w:marBottom w:val="0"/>
      <w:divBdr>
        <w:top w:val="none" w:sz="0" w:space="0" w:color="auto"/>
        <w:left w:val="none" w:sz="0" w:space="0" w:color="auto"/>
        <w:bottom w:val="none" w:sz="0" w:space="0" w:color="auto"/>
        <w:right w:val="none" w:sz="0" w:space="0" w:color="auto"/>
      </w:divBdr>
    </w:div>
    <w:div w:id="221527117">
      <w:bodyDiv w:val="1"/>
      <w:marLeft w:val="0"/>
      <w:marRight w:val="0"/>
      <w:marTop w:val="0"/>
      <w:marBottom w:val="0"/>
      <w:divBdr>
        <w:top w:val="none" w:sz="0" w:space="0" w:color="auto"/>
        <w:left w:val="none" w:sz="0" w:space="0" w:color="auto"/>
        <w:bottom w:val="none" w:sz="0" w:space="0" w:color="auto"/>
        <w:right w:val="none" w:sz="0" w:space="0" w:color="auto"/>
      </w:divBdr>
    </w:div>
    <w:div w:id="287322538">
      <w:bodyDiv w:val="1"/>
      <w:marLeft w:val="0"/>
      <w:marRight w:val="0"/>
      <w:marTop w:val="0"/>
      <w:marBottom w:val="0"/>
      <w:divBdr>
        <w:top w:val="none" w:sz="0" w:space="0" w:color="auto"/>
        <w:left w:val="none" w:sz="0" w:space="0" w:color="auto"/>
        <w:bottom w:val="none" w:sz="0" w:space="0" w:color="auto"/>
        <w:right w:val="none" w:sz="0" w:space="0" w:color="auto"/>
      </w:divBdr>
    </w:div>
    <w:div w:id="306324940">
      <w:bodyDiv w:val="1"/>
      <w:marLeft w:val="0"/>
      <w:marRight w:val="0"/>
      <w:marTop w:val="0"/>
      <w:marBottom w:val="0"/>
      <w:divBdr>
        <w:top w:val="none" w:sz="0" w:space="0" w:color="auto"/>
        <w:left w:val="none" w:sz="0" w:space="0" w:color="auto"/>
        <w:bottom w:val="none" w:sz="0" w:space="0" w:color="auto"/>
        <w:right w:val="none" w:sz="0" w:space="0" w:color="auto"/>
      </w:divBdr>
    </w:div>
    <w:div w:id="357511626">
      <w:bodyDiv w:val="1"/>
      <w:marLeft w:val="0"/>
      <w:marRight w:val="0"/>
      <w:marTop w:val="0"/>
      <w:marBottom w:val="0"/>
      <w:divBdr>
        <w:top w:val="none" w:sz="0" w:space="0" w:color="auto"/>
        <w:left w:val="none" w:sz="0" w:space="0" w:color="auto"/>
        <w:bottom w:val="none" w:sz="0" w:space="0" w:color="auto"/>
        <w:right w:val="none" w:sz="0" w:space="0" w:color="auto"/>
      </w:divBdr>
    </w:div>
    <w:div w:id="595594237">
      <w:bodyDiv w:val="1"/>
      <w:marLeft w:val="0"/>
      <w:marRight w:val="0"/>
      <w:marTop w:val="0"/>
      <w:marBottom w:val="0"/>
      <w:divBdr>
        <w:top w:val="none" w:sz="0" w:space="0" w:color="auto"/>
        <w:left w:val="none" w:sz="0" w:space="0" w:color="auto"/>
        <w:bottom w:val="none" w:sz="0" w:space="0" w:color="auto"/>
        <w:right w:val="none" w:sz="0" w:space="0" w:color="auto"/>
      </w:divBdr>
    </w:div>
    <w:div w:id="640113894">
      <w:bodyDiv w:val="1"/>
      <w:marLeft w:val="0"/>
      <w:marRight w:val="0"/>
      <w:marTop w:val="0"/>
      <w:marBottom w:val="0"/>
      <w:divBdr>
        <w:top w:val="none" w:sz="0" w:space="0" w:color="auto"/>
        <w:left w:val="none" w:sz="0" w:space="0" w:color="auto"/>
        <w:bottom w:val="none" w:sz="0" w:space="0" w:color="auto"/>
        <w:right w:val="none" w:sz="0" w:space="0" w:color="auto"/>
      </w:divBdr>
    </w:div>
    <w:div w:id="665980741">
      <w:bodyDiv w:val="1"/>
      <w:marLeft w:val="0"/>
      <w:marRight w:val="0"/>
      <w:marTop w:val="0"/>
      <w:marBottom w:val="0"/>
      <w:divBdr>
        <w:top w:val="none" w:sz="0" w:space="0" w:color="auto"/>
        <w:left w:val="none" w:sz="0" w:space="0" w:color="auto"/>
        <w:bottom w:val="none" w:sz="0" w:space="0" w:color="auto"/>
        <w:right w:val="none" w:sz="0" w:space="0" w:color="auto"/>
      </w:divBdr>
    </w:div>
    <w:div w:id="684408258">
      <w:bodyDiv w:val="1"/>
      <w:marLeft w:val="0"/>
      <w:marRight w:val="0"/>
      <w:marTop w:val="0"/>
      <w:marBottom w:val="0"/>
      <w:divBdr>
        <w:top w:val="none" w:sz="0" w:space="0" w:color="auto"/>
        <w:left w:val="none" w:sz="0" w:space="0" w:color="auto"/>
        <w:bottom w:val="none" w:sz="0" w:space="0" w:color="auto"/>
        <w:right w:val="none" w:sz="0" w:space="0" w:color="auto"/>
      </w:divBdr>
    </w:div>
    <w:div w:id="734014397">
      <w:bodyDiv w:val="1"/>
      <w:marLeft w:val="0"/>
      <w:marRight w:val="0"/>
      <w:marTop w:val="0"/>
      <w:marBottom w:val="0"/>
      <w:divBdr>
        <w:top w:val="none" w:sz="0" w:space="0" w:color="auto"/>
        <w:left w:val="none" w:sz="0" w:space="0" w:color="auto"/>
        <w:bottom w:val="none" w:sz="0" w:space="0" w:color="auto"/>
        <w:right w:val="none" w:sz="0" w:space="0" w:color="auto"/>
      </w:divBdr>
    </w:div>
    <w:div w:id="738792555">
      <w:bodyDiv w:val="1"/>
      <w:marLeft w:val="0"/>
      <w:marRight w:val="0"/>
      <w:marTop w:val="0"/>
      <w:marBottom w:val="0"/>
      <w:divBdr>
        <w:top w:val="none" w:sz="0" w:space="0" w:color="auto"/>
        <w:left w:val="none" w:sz="0" w:space="0" w:color="auto"/>
        <w:bottom w:val="none" w:sz="0" w:space="0" w:color="auto"/>
        <w:right w:val="none" w:sz="0" w:space="0" w:color="auto"/>
      </w:divBdr>
    </w:div>
    <w:div w:id="845099354">
      <w:bodyDiv w:val="1"/>
      <w:marLeft w:val="0"/>
      <w:marRight w:val="0"/>
      <w:marTop w:val="0"/>
      <w:marBottom w:val="0"/>
      <w:divBdr>
        <w:top w:val="none" w:sz="0" w:space="0" w:color="auto"/>
        <w:left w:val="none" w:sz="0" w:space="0" w:color="auto"/>
        <w:bottom w:val="none" w:sz="0" w:space="0" w:color="auto"/>
        <w:right w:val="none" w:sz="0" w:space="0" w:color="auto"/>
      </w:divBdr>
    </w:div>
    <w:div w:id="885265461">
      <w:bodyDiv w:val="1"/>
      <w:marLeft w:val="0"/>
      <w:marRight w:val="0"/>
      <w:marTop w:val="0"/>
      <w:marBottom w:val="0"/>
      <w:divBdr>
        <w:top w:val="none" w:sz="0" w:space="0" w:color="auto"/>
        <w:left w:val="none" w:sz="0" w:space="0" w:color="auto"/>
        <w:bottom w:val="none" w:sz="0" w:space="0" w:color="auto"/>
        <w:right w:val="none" w:sz="0" w:space="0" w:color="auto"/>
      </w:divBdr>
    </w:div>
    <w:div w:id="911348940">
      <w:bodyDiv w:val="1"/>
      <w:marLeft w:val="0"/>
      <w:marRight w:val="0"/>
      <w:marTop w:val="0"/>
      <w:marBottom w:val="0"/>
      <w:divBdr>
        <w:top w:val="none" w:sz="0" w:space="0" w:color="auto"/>
        <w:left w:val="none" w:sz="0" w:space="0" w:color="auto"/>
        <w:bottom w:val="none" w:sz="0" w:space="0" w:color="auto"/>
        <w:right w:val="none" w:sz="0" w:space="0" w:color="auto"/>
      </w:divBdr>
    </w:div>
    <w:div w:id="921450746">
      <w:bodyDiv w:val="1"/>
      <w:marLeft w:val="0"/>
      <w:marRight w:val="0"/>
      <w:marTop w:val="0"/>
      <w:marBottom w:val="0"/>
      <w:divBdr>
        <w:top w:val="none" w:sz="0" w:space="0" w:color="auto"/>
        <w:left w:val="none" w:sz="0" w:space="0" w:color="auto"/>
        <w:bottom w:val="none" w:sz="0" w:space="0" w:color="auto"/>
        <w:right w:val="none" w:sz="0" w:space="0" w:color="auto"/>
      </w:divBdr>
    </w:div>
    <w:div w:id="922491057">
      <w:bodyDiv w:val="1"/>
      <w:marLeft w:val="0"/>
      <w:marRight w:val="0"/>
      <w:marTop w:val="0"/>
      <w:marBottom w:val="0"/>
      <w:divBdr>
        <w:top w:val="none" w:sz="0" w:space="0" w:color="auto"/>
        <w:left w:val="none" w:sz="0" w:space="0" w:color="auto"/>
        <w:bottom w:val="none" w:sz="0" w:space="0" w:color="auto"/>
        <w:right w:val="none" w:sz="0" w:space="0" w:color="auto"/>
      </w:divBdr>
    </w:div>
    <w:div w:id="1023093869">
      <w:bodyDiv w:val="1"/>
      <w:marLeft w:val="0"/>
      <w:marRight w:val="0"/>
      <w:marTop w:val="0"/>
      <w:marBottom w:val="0"/>
      <w:divBdr>
        <w:top w:val="none" w:sz="0" w:space="0" w:color="auto"/>
        <w:left w:val="none" w:sz="0" w:space="0" w:color="auto"/>
        <w:bottom w:val="none" w:sz="0" w:space="0" w:color="auto"/>
        <w:right w:val="none" w:sz="0" w:space="0" w:color="auto"/>
      </w:divBdr>
    </w:div>
    <w:div w:id="1096633410">
      <w:bodyDiv w:val="1"/>
      <w:marLeft w:val="0"/>
      <w:marRight w:val="0"/>
      <w:marTop w:val="0"/>
      <w:marBottom w:val="0"/>
      <w:divBdr>
        <w:top w:val="none" w:sz="0" w:space="0" w:color="auto"/>
        <w:left w:val="none" w:sz="0" w:space="0" w:color="auto"/>
        <w:bottom w:val="none" w:sz="0" w:space="0" w:color="auto"/>
        <w:right w:val="none" w:sz="0" w:space="0" w:color="auto"/>
      </w:divBdr>
    </w:div>
    <w:div w:id="1154490865">
      <w:bodyDiv w:val="1"/>
      <w:marLeft w:val="0"/>
      <w:marRight w:val="0"/>
      <w:marTop w:val="0"/>
      <w:marBottom w:val="0"/>
      <w:divBdr>
        <w:top w:val="none" w:sz="0" w:space="0" w:color="auto"/>
        <w:left w:val="none" w:sz="0" w:space="0" w:color="auto"/>
        <w:bottom w:val="none" w:sz="0" w:space="0" w:color="auto"/>
        <w:right w:val="none" w:sz="0" w:space="0" w:color="auto"/>
      </w:divBdr>
    </w:div>
    <w:div w:id="1160269202">
      <w:bodyDiv w:val="1"/>
      <w:marLeft w:val="0"/>
      <w:marRight w:val="0"/>
      <w:marTop w:val="0"/>
      <w:marBottom w:val="0"/>
      <w:divBdr>
        <w:top w:val="none" w:sz="0" w:space="0" w:color="auto"/>
        <w:left w:val="none" w:sz="0" w:space="0" w:color="auto"/>
        <w:bottom w:val="none" w:sz="0" w:space="0" w:color="auto"/>
        <w:right w:val="none" w:sz="0" w:space="0" w:color="auto"/>
      </w:divBdr>
    </w:div>
    <w:div w:id="1291352374">
      <w:bodyDiv w:val="1"/>
      <w:marLeft w:val="0"/>
      <w:marRight w:val="0"/>
      <w:marTop w:val="0"/>
      <w:marBottom w:val="0"/>
      <w:divBdr>
        <w:top w:val="none" w:sz="0" w:space="0" w:color="auto"/>
        <w:left w:val="none" w:sz="0" w:space="0" w:color="auto"/>
        <w:bottom w:val="none" w:sz="0" w:space="0" w:color="auto"/>
        <w:right w:val="none" w:sz="0" w:space="0" w:color="auto"/>
      </w:divBdr>
    </w:div>
    <w:div w:id="1348025733">
      <w:bodyDiv w:val="1"/>
      <w:marLeft w:val="0"/>
      <w:marRight w:val="0"/>
      <w:marTop w:val="0"/>
      <w:marBottom w:val="0"/>
      <w:divBdr>
        <w:top w:val="none" w:sz="0" w:space="0" w:color="auto"/>
        <w:left w:val="none" w:sz="0" w:space="0" w:color="auto"/>
        <w:bottom w:val="none" w:sz="0" w:space="0" w:color="auto"/>
        <w:right w:val="none" w:sz="0" w:space="0" w:color="auto"/>
      </w:divBdr>
    </w:div>
    <w:div w:id="1362900837">
      <w:bodyDiv w:val="1"/>
      <w:marLeft w:val="0"/>
      <w:marRight w:val="0"/>
      <w:marTop w:val="0"/>
      <w:marBottom w:val="0"/>
      <w:divBdr>
        <w:top w:val="none" w:sz="0" w:space="0" w:color="auto"/>
        <w:left w:val="none" w:sz="0" w:space="0" w:color="auto"/>
        <w:bottom w:val="none" w:sz="0" w:space="0" w:color="auto"/>
        <w:right w:val="none" w:sz="0" w:space="0" w:color="auto"/>
      </w:divBdr>
    </w:div>
    <w:div w:id="1452477921">
      <w:bodyDiv w:val="1"/>
      <w:marLeft w:val="0"/>
      <w:marRight w:val="0"/>
      <w:marTop w:val="0"/>
      <w:marBottom w:val="0"/>
      <w:divBdr>
        <w:top w:val="none" w:sz="0" w:space="0" w:color="auto"/>
        <w:left w:val="none" w:sz="0" w:space="0" w:color="auto"/>
        <w:bottom w:val="none" w:sz="0" w:space="0" w:color="auto"/>
        <w:right w:val="none" w:sz="0" w:space="0" w:color="auto"/>
      </w:divBdr>
    </w:div>
    <w:div w:id="1466586351">
      <w:bodyDiv w:val="1"/>
      <w:marLeft w:val="0"/>
      <w:marRight w:val="0"/>
      <w:marTop w:val="0"/>
      <w:marBottom w:val="0"/>
      <w:divBdr>
        <w:top w:val="none" w:sz="0" w:space="0" w:color="auto"/>
        <w:left w:val="none" w:sz="0" w:space="0" w:color="auto"/>
        <w:bottom w:val="none" w:sz="0" w:space="0" w:color="auto"/>
        <w:right w:val="none" w:sz="0" w:space="0" w:color="auto"/>
      </w:divBdr>
    </w:div>
    <w:div w:id="1532574093">
      <w:bodyDiv w:val="1"/>
      <w:marLeft w:val="0"/>
      <w:marRight w:val="0"/>
      <w:marTop w:val="0"/>
      <w:marBottom w:val="0"/>
      <w:divBdr>
        <w:top w:val="none" w:sz="0" w:space="0" w:color="auto"/>
        <w:left w:val="none" w:sz="0" w:space="0" w:color="auto"/>
        <w:bottom w:val="none" w:sz="0" w:space="0" w:color="auto"/>
        <w:right w:val="none" w:sz="0" w:space="0" w:color="auto"/>
      </w:divBdr>
    </w:div>
    <w:div w:id="1542746514">
      <w:bodyDiv w:val="1"/>
      <w:marLeft w:val="0"/>
      <w:marRight w:val="0"/>
      <w:marTop w:val="0"/>
      <w:marBottom w:val="0"/>
      <w:divBdr>
        <w:top w:val="none" w:sz="0" w:space="0" w:color="auto"/>
        <w:left w:val="none" w:sz="0" w:space="0" w:color="auto"/>
        <w:bottom w:val="none" w:sz="0" w:space="0" w:color="auto"/>
        <w:right w:val="none" w:sz="0" w:space="0" w:color="auto"/>
      </w:divBdr>
    </w:div>
    <w:div w:id="1564177157">
      <w:bodyDiv w:val="1"/>
      <w:marLeft w:val="0"/>
      <w:marRight w:val="0"/>
      <w:marTop w:val="0"/>
      <w:marBottom w:val="0"/>
      <w:divBdr>
        <w:top w:val="none" w:sz="0" w:space="0" w:color="auto"/>
        <w:left w:val="none" w:sz="0" w:space="0" w:color="auto"/>
        <w:bottom w:val="none" w:sz="0" w:space="0" w:color="auto"/>
        <w:right w:val="none" w:sz="0" w:space="0" w:color="auto"/>
      </w:divBdr>
    </w:div>
    <w:div w:id="1568151238">
      <w:bodyDiv w:val="1"/>
      <w:marLeft w:val="0"/>
      <w:marRight w:val="0"/>
      <w:marTop w:val="0"/>
      <w:marBottom w:val="0"/>
      <w:divBdr>
        <w:top w:val="none" w:sz="0" w:space="0" w:color="auto"/>
        <w:left w:val="none" w:sz="0" w:space="0" w:color="auto"/>
        <w:bottom w:val="none" w:sz="0" w:space="0" w:color="auto"/>
        <w:right w:val="none" w:sz="0" w:space="0" w:color="auto"/>
      </w:divBdr>
    </w:div>
    <w:div w:id="1576473802">
      <w:bodyDiv w:val="1"/>
      <w:marLeft w:val="0"/>
      <w:marRight w:val="0"/>
      <w:marTop w:val="0"/>
      <w:marBottom w:val="0"/>
      <w:divBdr>
        <w:top w:val="none" w:sz="0" w:space="0" w:color="auto"/>
        <w:left w:val="none" w:sz="0" w:space="0" w:color="auto"/>
        <w:bottom w:val="none" w:sz="0" w:space="0" w:color="auto"/>
        <w:right w:val="none" w:sz="0" w:space="0" w:color="auto"/>
      </w:divBdr>
    </w:div>
    <w:div w:id="1597909884">
      <w:bodyDiv w:val="1"/>
      <w:marLeft w:val="0"/>
      <w:marRight w:val="0"/>
      <w:marTop w:val="0"/>
      <w:marBottom w:val="0"/>
      <w:divBdr>
        <w:top w:val="none" w:sz="0" w:space="0" w:color="auto"/>
        <w:left w:val="none" w:sz="0" w:space="0" w:color="auto"/>
        <w:bottom w:val="none" w:sz="0" w:space="0" w:color="auto"/>
        <w:right w:val="none" w:sz="0" w:space="0" w:color="auto"/>
      </w:divBdr>
    </w:div>
    <w:div w:id="1625502435">
      <w:bodyDiv w:val="1"/>
      <w:marLeft w:val="0"/>
      <w:marRight w:val="0"/>
      <w:marTop w:val="0"/>
      <w:marBottom w:val="0"/>
      <w:divBdr>
        <w:top w:val="none" w:sz="0" w:space="0" w:color="auto"/>
        <w:left w:val="none" w:sz="0" w:space="0" w:color="auto"/>
        <w:bottom w:val="none" w:sz="0" w:space="0" w:color="auto"/>
        <w:right w:val="none" w:sz="0" w:space="0" w:color="auto"/>
      </w:divBdr>
    </w:div>
    <w:div w:id="1646547514">
      <w:bodyDiv w:val="1"/>
      <w:marLeft w:val="0"/>
      <w:marRight w:val="0"/>
      <w:marTop w:val="0"/>
      <w:marBottom w:val="0"/>
      <w:divBdr>
        <w:top w:val="none" w:sz="0" w:space="0" w:color="auto"/>
        <w:left w:val="none" w:sz="0" w:space="0" w:color="auto"/>
        <w:bottom w:val="none" w:sz="0" w:space="0" w:color="auto"/>
        <w:right w:val="none" w:sz="0" w:space="0" w:color="auto"/>
      </w:divBdr>
    </w:div>
    <w:div w:id="1753694882">
      <w:bodyDiv w:val="1"/>
      <w:marLeft w:val="0"/>
      <w:marRight w:val="0"/>
      <w:marTop w:val="0"/>
      <w:marBottom w:val="0"/>
      <w:divBdr>
        <w:top w:val="none" w:sz="0" w:space="0" w:color="auto"/>
        <w:left w:val="none" w:sz="0" w:space="0" w:color="auto"/>
        <w:bottom w:val="none" w:sz="0" w:space="0" w:color="auto"/>
        <w:right w:val="none" w:sz="0" w:space="0" w:color="auto"/>
      </w:divBdr>
    </w:div>
    <w:div w:id="1802840247">
      <w:bodyDiv w:val="1"/>
      <w:marLeft w:val="0"/>
      <w:marRight w:val="0"/>
      <w:marTop w:val="0"/>
      <w:marBottom w:val="0"/>
      <w:divBdr>
        <w:top w:val="none" w:sz="0" w:space="0" w:color="auto"/>
        <w:left w:val="none" w:sz="0" w:space="0" w:color="auto"/>
        <w:bottom w:val="none" w:sz="0" w:space="0" w:color="auto"/>
        <w:right w:val="none" w:sz="0" w:space="0" w:color="auto"/>
      </w:divBdr>
    </w:div>
    <w:div w:id="1823084483">
      <w:bodyDiv w:val="1"/>
      <w:marLeft w:val="0"/>
      <w:marRight w:val="0"/>
      <w:marTop w:val="0"/>
      <w:marBottom w:val="0"/>
      <w:divBdr>
        <w:top w:val="none" w:sz="0" w:space="0" w:color="auto"/>
        <w:left w:val="none" w:sz="0" w:space="0" w:color="auto"/>
        <w:bottom w:val="none" w:sz="0" w:space="0" w:color="auto"/>
        <w:right w:val="none" w:sz="0" w:space="0" w:color="auto"/>
      </w:divBdr>
    </w:div>
    <w:div w:id="1851026068">
      <w:bodyDiv w:val="1"/>
      <w:marLeft w:val="0"/>
      <w:marRight w:val="0"/>
      <w:marTop w:val="0"/>
      <w:marBottom w:val="0"/>
      <w:divBdr>
        <w:top w:val="none" w:sz="0" w:space="0" w:color="auto"/>
        <w:left w:val="none" w:sz="0" w:space="0" w:color="auto"/>
        <w:bottom w:val="none" w:sz="0" w:space="0" w:color="auto"/>
        <w:right w:val="none" w:sz="0" w:space="0" w:color="auto"/>
      </w:divBdr>
    </w:div>
    <w:div w:id="1871528610">
      <w:bodyDiv w:val="1"/>
      <w:marLeft w:val="0"/>
      <w:marRight w:val="0"/>
      <w:marTop w:val="0"/>
      <w:marBottom w:val="0"/>
      <w:divBdr>
        <w:top w:val="none" w:sz="0" w:space="0" w:color="auto"/>
        <w:left w:val="none" w:sz="0" w:space="0" w:color="auto"/>
        <w:bottom w:val="none" w:sz="0" w:space="0" w:color="auto"/>
        <w:right w:val="none" w:sz="0" w:space="0" w:color="auto"/>
      </w:divBdr>
    </w:div>
    <w:div w:id="1903641649">
      <w:bodyDiv w:val="1"/>
      <w:marLeft w:val="0"/>
      <w:marRight w:val="0"/>
      <w:marTop w:val="0"/>
      <w:marBottom w:val="0"/>
      <w:divBdr>
        <w:top w:val="none" w:sz="0" w:space="0" w:color="auto"/>
        <w:left w:val="none" w:sz="0" w:space="0" w:color="auto"/>
        <w:bottom w:val="none" w:sz="0" w:space="0" w:color="auto"/>
        <w:right w:val="none" w:sz="0" w:space="0" w:color="auto"/>
      </w:divBdr>
    </w:div>
    <w:div w:id="1918442249">
      <w:bodyDiv w:val="1"/>
      <w:marLeft w:val="0"/>
      <w:marRight w:val="0"/>
      <w:marTop w:val="0"/>
      <w:marBottom w:val="0"/>
      <w:divBdr>
        <w:top w:val="none" w:sz="0" w:space="0" w:color="auto"/>
        <w:left w:val="none" w:sz="0" w:space="0" w:color="auto"/>
        <w:bottom w:val="none" w:sz="0" w:space="0" w:color="auto"/>
        <w:right w:val="none" w:sz="0" w:space="0" w:color="auto"/>
      </w:divBdr>
    </w:div>
    <w:div w:id="1987128880">
      <w:bodyDiv w:val="1"/>
      <w:marLeft w:val="0"/>
      <w:marRight w:val="0"/>
      <w:marTop w:val="0"/>
      <w:marBottom w:val="0"/>
      <w:divBdr>
        <w:top w:val="none" w:sz="0" w:space="0" w:color="auto"/>
        <w:left w:val="none" w:sz="0" w:space="0" w:color="auto"/>
        <w:bottom w:val="none" w:sz="0" w:space="0" w:color="auto"/>
        <w:right w:val="none" w:sz="0" w:space="0" w:color="auto"/>
      </w:divBdr>
    </w:div>
    <w:div w:id="200654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ed.stlouisfed.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824</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2019-10-25T20:48:00Z</dcterms:created>
  <dcterms:modified xsi:type="dcterms:W3CDTF">2019-11-24T01:21:00Z</dcterms:modified>
</cp:coreProperties>
</file>