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4p1710pipdrp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samprtxd537e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samprtxd537e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samprtxd537e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qa67bg1r28p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qa67bg1r28p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how God created lights according to the Bible.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responsibilities of man towards God's creation.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moral teachings of Prophet Muhammed (SAW).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you can apply the moral teachings in (a) above in your daily life.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factors that can be considered when choosing a name for a chid.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for which naming ceremony is important in your community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w9jqrrbepi4w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w9jqrrbepi4w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forms of greeting in your community.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factors that should be considered when greeting someone.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moral benefits that can be derived from correct greetings.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benefits which Muslims can derive from their commitment to Allah.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of demonstrating commitment in life.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causes of substance abuse by students.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ways in which substance abuse can be prevented.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g13s88fjt81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g13s88fjt81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rules that are expected to be obeyed in your school.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for which hard work must be encouraged among people.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for which cheating should not be encouraged in the community.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functions which Religious Youth Organizations perform in your community.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