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niqzk41vtny4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Distinguish between the following terms: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Physical change and chemical change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Solution and suspension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as either a physical or chemical change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Common salt in water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Burning of charcoal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Melting of ice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Hydrochloric acid in sodium hydroxide solution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parasite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parasites and their hosts.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chemical symbols of the following elements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Oxygen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Chlorine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Aluminium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self-pollination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agents of pollination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the brightly coloured petals in insect pollination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digestion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end products of digestion of each of the following food substances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carbohydrates;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proteins;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fats and oils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enzyme present in saliva and state its function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By what process does the heat of the sun reach the earth?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aluminium bowl placed on a table is filled with hot water. Name the processes by which heat is lost by the bowl.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reason why wood is used as a handle for some cooking utensils.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separately the vegetative parts and reproductive parts of a flowering plant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alloys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alloys and state their constituents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friction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methods of reducing friction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rigid bar is used to lift a stone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diagram showing the effort, pivot and load positions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length of the bar is 100 cm and the pivot is placed 80 cm from the effort, calculate the load distance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excretion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organs in human beings which excrete the following waste products: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Sweat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Carbon dioxide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Urine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food chain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food chain using the following organisms: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Hawk, cassava leaf, lizard and grasshopper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conditions necessary for the germination of seed.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diseases which can be transmitted sexually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features which can be passed on from parents to children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various planets of the solar system in the order they occur starting with the planet nearest the sun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difference between the eclipse of the sun and the eclipse of the moon.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force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types of force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box is pulled by a force of 20 N through a distance of 8 m along a smooth floor.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work done by the force.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simple electrical circuits showing the following arrangements: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switch and a light bulb in series with two dry cells in series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switch and a light bulb in series with two dry cells in parallel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diseases that can be controlled by immunization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