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Creative Arts and Design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Creative Arts &amp; Design CCP Curriculum (B7–B9)</w:t>
        <w:br w:type="textWrapping"/>
        <w:t xml:space="preserve">- Integrates visual arts, music, drama, dance, and design thinking.</w:t>
        <w:br w:type="textWrapping"/>
        <w:t xml:space="preserve">- Aims at creativity, cultural preservation, and expression of Ghanaian identity.</w:t>
      </w:r>
    </w:p>
    <w:p w:rsidR="00000000" w:rsidDel="00000000" w:rsidP="00000000" w:rsidRDefault="00000000" w:rsidRPr="00000000" w14:paraId="00000011">
      <w:pPr>
        <w:rPr/>
      </w:pPr>
      <w:r w:rsidDel="00000000" w:rsidR="00000000" w:rsidRPr="00000000">
        <w:rPr>
          <w:rtl w:val="0"/>
        </w:rPr>
        <w:t xml:space="preserve">For RAG:</w:t>
        <w:br w:type="textWrapping"/>
        <w:t xml:space="preserve">- Tag standards under MUSIC, VISUAL_ART, DRAMA, DANCE, DESIGN.</w:t>
        <w:br w:type="textWrapping"/>
        <w:t xml:space="preserve">- Store rubrics for performance-based assessment in short, paraphrased form (e.g., criteria for rhythm, creativity, presentation).</w:t>
      </w:r>
    </w:p>
    <w:p w:rsidR="00000000" w:rsidDel="00000000" w:rsidP="00000000" w:rsidRDefault="00000000" w:rsidRPr="00000000" w14:paraId="00000012">
      <w:pPr>
        <w:rPr/>
      </w:pPr>
      <w:r w:rsidDel="00000000" w:rsidR="00000000" w:rsidRPr="00000000">
        <w:rPr>
          <w:rtl w:val="0"/>
        </w:rPr>
        <w:t xml:space="preserve">1B. Teacher Support</w:t>
        <w:br w:type="textWrapping"/>
        <w:t xml:space="preserve">- TRPs and Creative Arts teacher guides – scheme-of-learning templates, performance tasks, assessment rubrics.</w:t>
      </w:r>
    </w:p>
    <w:p w:rsidR="00000000" w:rsidDel="00000000" w:rsidP="00000000" w:rsidRDefault="00000000" w:rsidRPr="00000000" w14:paraId="00000013">
      <w:pPr>
        <w:rPr/>
      </w:pPr>
      <w:r w:rsidDel="00000000" w:rsidR="00000000" w:rsidRPr="00000000">
        <w:rPr>
          <w:rtl w:val="0"/>
        </w:rPr>
        <w:t xml:space="preserve">1C. Assessment &amp; Marking</w:t>
        <w:br w:type="textWrapping"/>
        <w:t xml:space="preserve">- School-based assessment dominates (performances, portfolios); national exams currently test more theory than practice.</w:t>
        <w:br w:type="textWrapping"/>
        <w:t xml:space="preserve">- Focus RAG on helping teachers design rich SBA tasks rather than only fact recall.</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