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Mathematics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Mathematics CCP Curriculum (B7–B9) – focus</w:t>
        <w:br/>
        <w:t>- Follows CCP Mathematics curriculum (NaCCA) for B7–B9.</w:t>
        <w:br/>
        <w:t>- Core themes span number &amp; numeration, algebraic processes, geometry &amp; mensuration, statistics &amp; probability, and everyday applications.</w:t>
      </w:r>
    </w:p>
    <w:p>
      <w:r>
        <w:t>For RAG:</w:t>
        <w:br/>
        <w:t>- Index each content standard and indicator against topic tags like: fractions, ratios, linear equations, sets, geometry, mensuration, statistics.</w:t>
        <w:br/>
        <w:t>- Store typical worked examples and common misconceptions (e.g., order of operations, unit conversion).</w:t>
      </w:r>
    </w:p>
    <w:p>
      <w:r>
        <w:t>1B. Mathematics Teacher Support</w:t>
        <w:br/>
        <w:t>- CCP Basic 7 Mathematics Teacher Resource Pack (TRP) – schemes of learning + suggested activities.</w:t>
        <w:br/>
        <w:t>- T-TEL Mathematics Teacher Manuals (mainly SHS) – strong on inquiry, group work, and assessment tasks; reuse activity archetypes.</w:t>
      </w:r>
    </w:p>
    <w:p>
      <w:r>
        <w:t>1C. Mathematics Assessment &amp; Marking</w:t>
        <w:br/>
        <w:t>- BECE paper typically has: Objective (MCQ) + constructive-response paper.</w:t>
        <w:br/>
        <w:t>- Ensure you index marking points for each multi-step question (method marks + accuracy marks).</w:t>
        <w:br/>
        <w:t>- Build RAG answers that can surface both a full worked solution and the marking breakdown.</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