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ge2jba4efjsg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{Prime numbers less than 13}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{odd numbers less than 13}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members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members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Three school children share some oranges as follows: Akwasi gets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total, and the remainder is shared between Abena and Jantuah in the ratio 3:2. If Jantuah gets 24 oranges, how many does Akwasi get?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in which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6 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60°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9 cm. Measure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mediator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circle, centre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radius 5 cm. Measure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the point of intersection of the mediator and the circle in the triangular region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equation: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2x - 1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 - 2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completely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bp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-2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 value of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1)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m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table shows the distribution of votes in an election for class prefect.</w:t>
      </w:r>
    </w:p>
    <w:tbl>
      <w:tblPr>
        <w:tblStyle w:val="Table1"/>
        <w:tblW w:w="52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3135"/>
        <w:tblGridChange w:id="0">
          <w:tblGrid>
            <w:gridCol w:w="2100"/>
            <w:gridCol w:w="31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votes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Acquaye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Borquaye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Commey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pie chart to illustrate the distribution.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fraction of the votes was cast for Borquaye?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heights in cm of 10 school children are as follows: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165,   165,   155   159,    174,</w:t>
        <w:br w:type="textWrapping"/>
        <w:t xml:space="preserve">154,   169,   155,   155,   150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a frequency table for this data.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your table to find the mode and median of the distribution.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