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1D9E75" w:val="clear"/>
            <w:tcMar>
              <w:top w:type="dxa" w:w="320"/>
              <w:left w:type="dxa" w:w="400"/>
              <w:bottom w:type="dxa" w:w="320"/>
              <w:right w:type="dxa" w:w="400"/>
            </w:tcMar>
          </w:tcPr>
          <w:p>
            <w:pPr>
              <w:spacing w:after="80" w:before="0"/>
              <w:jc w:val="center"/>
            </w:pPr>
            <w:r>
              <w:rPr>
                <w:rFonts w:ascii="Arial" w:cs="Arial" w:eastAsia="Arial" w:hAnsi="Arial"/>
                <w:b/>
                <w:bCs/>
                <w:color w:val="FFFFFF"/>
                <w:sz w:val="40"/>
                <w:szCs w:val="40"/>
              </w:rPr>
              <w:t xml:space="preserve">Illumin360 vs Recruitment Agency</w:t>
            </w:r>
          </w:p>
          <w:p>
            <w:pPr>
              <w:spacing w:after="0" w:before="0"/>
              <w:jc w:val="center"/>
            </w:pPr>
            <w:r>
              <w:rPr>
                <w:rFonts w:ascii="Arial" w:cs="Arial" w:eastAsia="Arial" w:hAnsi="Arial"/>
                <w:i/>
                <w:iCs/>
                <w:color w:val="E1F5EE"/>
                <w:sz w:val="22"/>
                <w:szCs w:val="22"/>
              </w:rPr>
              <w:t xml:space="preserve">The conversation every employer will ask — and how to answer it with confidence</w:t>
            </w:r>
          </w:p>
        </w:tc>
      </w:tr>
    </w:tbl>
    <w:p>
      <w:pPr>
        <w:spacing w:after="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36"/>
        <w:gridCol w:w="2436"/>
        <w:gridCol w:w="2437"/>
        <w:gridCol w:w="2437"/>
      </w:tblGrid>
      <w:tr>
        <w:tc>
          <w:tcPr>
            <w:tcW w:type="dxa" w:w="2256"/>
            <w:tcBorders>
              <w:top w:val="single" w:color="D3D1C7" w:sz="1"/>
              <w:left w:val="single" w:color="D3D1C7" w:sz="1"/>
              <w:bottom w:val="single" w:color="D3D1C7" w:sz="1"/>
              <w:right w:val="single" w:color="D3D1C7" w:sz="1"/>
            </w:tcBorders>
            <w:shd w:fill="E1F5EE" w:val="clear"/>
            <w:tcMar>
              <w:top w:type="dxa" w:w="160"/>
              <w:left w:type="dxa" w:w="140"/>
              <w:bottom w:type="dxa" w:w="160"/>
              <w:right w:type="dxa" w:w="140"/>
            </w:tcMar>
          </w:tcPr>
          <w:p>
            <w:pPr>
              <w:spacing w:after="40" w:before="0"/>
              <w:jc w:val="center"/>
            </w:pPr>
            <w:r>
              <w:rPr>
                <w:rFonts w:ascii="Arial" w:cs="Arial" w:eastAsia="Arial" w:hAnsi="Arial"/>
                <w:b/>
                <w:bCs/>
                <w:color w:val="0F6E56"/>
                <w:sz w:val="40"/>
                <w:szCs w:val="40"/>
              </w:rPr>
              <w:t xml:space="preserve">NAD 1,725</w:t>
            </w:r>
          </w:p>
          <w:p>
            <w:pPr>
              <w:spacing w:after="0" w:before="0"/>
              <w:jc w:val="center"/>
            </w:pPr>
            <w:r>
              <w:rPr>
                <w:rFonts w:ascii="Arial" w:cs="Arial" w:eastAsia="Arial" w:hAnsi="Arial"/>
                <w:color w:val="0F6E56"/>
                <w:sz w:val="18"/>
                <w:szCs w:val="18"/>
              </w:rPr>
              <w:t xml:space="preserve">Flat fee per shortlist</w:t>
            </w:r>
          </w:p>
        </w:tc>
        <w:tc>
          <w:tcPr>
            <w:tcW w:type="dxa" w:w="2256"/>
            <w:tcBorders>
              <w:top w:val="single" w:color="D3D1C7" w:sz="1"/>
              <w:left w:val="single" w:color="D3D1C7" w:sz="1"/>
              <w:bottom w:val="single" w:color="D3D1C7" w:sz="1"/>
              <w:right w:val="single" w:color="D3D1C7" w:sz="1"/>
            </w:tcBorders>
            <w:shd w:fill="FAEEDA" w:val="clear"/>
            <w:tcMar>
              <w:top w:type="dxa" w:w="160"/>
              <w:left w:type="dxa" w:w="140"/>
              <w:bottom w:type="dxa" w:w="160"/>
              <w:right w:type="dxa" w:w="140"/>
            </w:tcMar>
          </w:tcPr>
          <w:p>
            <w:pPr>
              <w:spacing w:after="40" w:before="0"/>
              <w:jc w:val="center"/>
            </w:pPr>
            <w:r>
              <w:rPr>
                <w:rFonts w:ascii="Arial" w:cs="Arial" w:eastAsia="Arial" w:hAnsi="Arial"/>
                <w:b/>
                <w:bCs/>
                <w:color w:val="633806"/>
                <w:sz w:val="40"/>
                <w:szCs w:val="40"/>
              </w:rPr>
              <w:t xml:space="preserve">vs NAD 40k+</w:t>
            </w:r>
          </w:p>
          <w:p>
            <w:pPr>
              <w:spacing w:after="0" w:before="0"/>
              <w:jc w:val="center"/>
            </w:pPr>
            <w:r>
              <w:rPr>
                <w:rFonts w:ascii="Arial" w:cs="Arial" w:eastAsia="Arial" w:hAnsi="Arial"/>
                <w:color w:val="633806"/>
                <w:sz w:val="18"/>
                <w:szCs w:val="18"/>
              </w:rPr>
              <w:t xml:space="preserve">Typical agency fee per hire</w:t>
            </w:r>
          </w:p>
        </w:tc>
        <w:tc>
          <w:tcPr>
            <w:tcW w:type="dxa" w:w="2256"/>
            <w:tcBorders>
              <w:top w:val="single" w:color="D3D1C7" w:sz="1"/>
              <w:left w:val="single" w:color="D3D1C7" w:sz="1"/>
              <w:bottom w:val="single" w:color="D3D1C7" w:sz="1"/>
              <w:right w:val="single" w:color="D3D1C7" w:sz="1"/>
            </w:tcBorders>
            <w:shd w:fill="E6F1FB" w:val="clear"/>
            <w:tcMar>
              <w:top w:type="dxa" w:w="160"/>
              <w:left w:type="dxa" w:w="140"/>
              <w:bottom w:type="dxa" w:w="160"/>
              <w:right w:type="dxa" w:w="140"/>
            </w:tcMar>
          </w:tcPr>
          <w:p>
            <w:pPr>
              <w:spacing w:after="40" w:before="0"/>
              <w:jc w:val="center"/>
            </w:pPr>
            <w:r>
              <w:rPr>
                <w:rFonts w:ascii="Arial" w:cs="Arial" w:eastAsia="Arial" w:hAnsi="Arial"/>
                <w:b/>
                <w:bCs/>
                <w:color w:val="0C447C"/>
                <w:sz w:val="40"/>
                <w:szCs w:val="40"/>
              </w:rPr>
              <w:t xml:space="preserve">Hours</w:t>
            </w:r>
          </w:p>
          <w:p>
            <w:pPr>
              <w:spacing w:after="0" w:before="0"/>
              <w:jc w:val="center"/>
            </w:pPr>
            <w:r>
              <w:rPr>
                <w:rFonts w:ascii="Arial" w:cs="Arial" w:eastAsia="Arial" w:hAnsi="Arial"/>
                <w:color w:val="0C447C"/>
                <w:sz w:val="18"/>
                <w:szCs w:val="18"/>
              </w:rPr>
              <w:t xml:space="preserve">Not weeks — shortlist speed</w:t>
            </w:r>
          </w:p>
        </w:tc>
        <w:tc>
          <w:tcPr>
            <w:tcW w:type="dxa" w:w="2256"/>
            <w:tcBorders>
              <w:top w:val="single" w:color="D3D1C7" w:sz="1"/>
              <w:left w:val="single" w:color="D3D1C7" w:sz="1"/>
              <w:bottom w:val="single" w:color="D3D1C7" w:sz="1"/>
              <w:right w:val="single" w:color="D3D1C7" w:sz="1"/>
            </w:tcBorders>
            <w:shd w:fill="E1F5EE" w:val="clear"/>
            <w:tcMar>
              <w:top w:type="dxa" w:w="160"/>
              <w:left w:type="dxa" w:w="140"/>
              <w:bottom w:type="dxa" w:w="160"/>
              <w:right w:type="dxa" w:w="140"/>
            </w:tcMar>
          </w:tcPr>
          <w:p>
            <w:pPr>
              <w:spacing w:after="40" w:before="0"/>
              <w:jc w:val="center"/>
            </w:pPr>
            <w:r>
              <w:rPr>
                <w:rFonts w:ascii="Arial" w:cs="Arial" w:eastAsia="Arial" w:hAnsi="Arial"/>
                <w:b/>
                <w:bCs/>
                <w:color w:val="0F6E56"/>
                <w:sz w:val="40"/>
                <w:szCs w:val="40"/>
              </w:rPr>
              <w:t xml:space="preserve">100%</w:t>
            </w:r>
          </w:p>
          <w:p>
            <w:pPr>
              <w:spacing w:after="0" w:before="0"/>
              <w:jc w:val="center"/>
            </w:pPr>
            <w:r>
              <w:rPr>
                <w:rFonts w:ascii="Arial" w:cs="Arial" w:eastAsia="Arial" w:hAnsi="Arial"/>
                <w:color w:val="0F6E56"/>
                <w:sz w:val="18"/>
                <w:szCs w:val="18"/>
              </w:rPr>
              <w:t xml:space="preserve">Transparent AI scoring</w:t>
            </w:r>
          </w:p>
        </w:tc>
      </w:tr>
    </w:tbl>
    <w:p>
      <w:pPr>
        <w:spacing w:after="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single" w:color="1D9E75" w:sz="6"/>
              <w:left w:val="none" w:color="FFFFFF" w:sz="0"/>
              <w:bottom w:val="single" w:color="1D9E75" w:sz="6"/>
              <w:right w:val="none" w:color="FFFFFF" w:sz="0"/>
            </w:tcBorders>
            <w:shd w:fill="E1F5EE" w:val="clear"/>
            <w:tcMar>
              <w:top w:type="dxa" w:w="200"/>
              <w:left w:type="dxa" w:w="300"/>
              <w:bottom w:type="dxa" w:w="200"/>
              <w:right w:type="dxa" w:w="300"/>
            </w:tcMar>
          </w:tcPr>
          <w:p>
            <w:pPr>
              <w:jc w:val="center"/>
            </w:pPr>
            <w:r>
              <w:rPr>
                <w:rFonts w:ascii="Arial" w:cs="Arial" w:eastAsia="Arial" w:hAnsi="Arial"/>
                <w:b/>
                <w:bCs/>
                <w:color w:val="0F6E56"/>
                <w:sz w:val="24"/>
                <w:szCs w:val="24"/>
              </w:rPr>
              <w:t xml:space="preserve">The one-line answer:  </w:t>
            </w:r>
            <w:r>
              <w:rPr>
                <w:rFonts w:ascii="Arial" w:cs="Arial" w:eastAsia="Arial" w:hAnsi="Arial"/>
                <w:i/>
                <w:iCs/>
                <w:color w:val="0F6E56"/>
                <w:sz w:val="22"/>
                <w:szCs w:val="22"/>
              </w:rPr>
              <w:t xml:space="preserve">A recruitment agency works for you on one vacancy at a time and charges you a percentage of the salary. Illumin360 gives you direct access to a national talent pool, lets AI do the matching in minutes, and charges a flat fee — every time, for any vacancy.</w:t>
            </w:r>
          </w:p>
        </w:tc>
      </w:tr>
    </w:tbl>
    <w:p>
      <w:pPr>
        <w:spacing w:after="0" w:before="0"/>
      </w:pPr>
      <w:r>
        <w:t xml:space="preserve"/>
      </w:r>
    </w:p>
    <w:p>
      <w:pPr>
        <w:spacing w:after="80" w:before="100"/>
        <w:jc w:val="left"/>
      </w:pPr>
      <w:r>
        <w:rPr>
          <w:rFonts w:ascii="Arial" w:cs="Arial" w:eastAsia="Arial" w:hAnsi="Arial"/>
          <w:b/>
          <w:bCs/>
          <w:i w:val="false"/>
          <w:iCs w:val="false"/>
          <w:color w:val="2C2C2A"/>
          <w:sz w:val="22"/>
          <w:szCs w:val="22"/>
        </w:rPr>
        <w:t xml:space="preserve">The three points to always land in every employer conversation: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48"/>
        <w:gridCol w:w="3249"/>
        <w:gridCol w:w="3249"/>
      </w:tblGrid>
      <w:tr>
        <w:tc>
          <w:tcPr>
            <w:tcBorders>
              <w:top w:val="single" w:color="1D9E75" w:sz="8"/>
              <w:left w:val="none" w:color="FFFFFF" w:sz="0"/>
              <w:bottom w:val="none" w:color="FFFFFF" w:sz="0"/>
              <w:right w:val="single" w:color="D3D1C7" w:sz="1"/>
            </w:tcBorders>
            <w:shd w:fill="E1F5EE" w:val="clear"/>
            <w:tcMar>
              <w:top w:type="dxa" w:w="180"/>
              <w:left w:type="dxa" w:w="200"/>
              <w:bottom w:type="dxa" w:w="180"/>
              <w:right w:type="dxa" w:w="200"/>
            </w:tcMar>
          </w:tcPr>
          <w:p>
            <w:pPr>
              <w:spacing w:after="60" w:before="0"/>
              <w:jc w:val="center"/>
            </w:pPr>
            <w:r>
              <w:rPr>
                <w:rFonts w:ascii="Arial" w:cs="Arial" w:eastAsia="Arial" w:hAnsi="Arial"/>
                <w:b/>
                <w:bCs/>
                <w:color w:val="1D9E75"/>
                <w:sz w:val="48"/>
                <w:szCs w:val="48"/>
              </w:rPr>
              <w:t xml:space="preserve">01</w:t>
            </w:r>
          </w:p>
          <w:p>
            <w:pPr>
              <w:spacing w:after="60" w:before="0"/>
              <w:jc w:val="center"/>
            </w:pPr>
            <w:r>
              <w:rPr>
                <w:rFonts w:ascii="Arial" w:cs="Arial" w:eastAsia="Arial" w:hAnsi="Arial"/>
                <w:b/>
                <w:bCs/>
                <w:color w:val="0F6E56"/>
                <w:sz w:val="26"/>
                <w:szCs w:val="26"/>
              </w:rPr>
              <w:t xml:space="preserve">Cost</w:t>
            </w:r>
          </w:p>
          <w:p>
            <w:pPr>
              <w:spacing w:after="0" w:before="0"/>
              <w:jc w:val="center"/>
            </w:pPr>
            <w:r>
              <w:rPr>
                <w:rFonts w:ascii="Arial" w:cs="Arial" w:eastAsia="Arial" w:hAnsi="Arial"/>
                <w:color w:val="2C2C2A"/>
                <w:sz w:val="20"/>
                <w:szCs w:val="20"/>
              </w:rPr>
              <w:t xml:space="preserve">Agencies charge 15-25% of annual salary. On a NAD 200,000 salary that is NAD 30,000 to NAD 50,000 per hire. Illumin360 charges NAD 1,725. Flat. Every time.</w:t>
            </w:r>
          </w:p>
        </w:tc>
        <w:tc>
          <w:tcPr>
            <w:tcBorders>
              <w:top w:val="single" w:color="1D9E75" w:sz="8"/>
              <w:left w:val="single" w:color="D3D1C7" w:sz="1"/>
              <w:bottom w:val="none" w:color="FFFFFF" w:sz="0"/>
              <w:right w:val="single" w:color="D3D1C7" w:sz="1"/>
            </w:tcBorders>
            <w:shd w:fill="E1F5EE" w:val="clear"/>
            <w:tcMar>
              <w:top w:type="dxa" w:w="180"/>
              <w:left w:type="dxa" w:w="200"/>
              <w:bottom w:type="dxa" w:w="180"/>
              <w:right w:type="dxa" w:w="200"/>
            </w:tcMar>
          </w:tcPr>
          <w:p>
            <w:pPr>
              <w:spacing w:after="60" w:before="0"/>
              <w:jc w:val="center"/>
            </w:pPr>
            <w:r>
              <w:rPr>
                <w:rFonts w:ascii="Arial" w:cs="Arial" w:eastAsia="Arial" w:hAnsi="Arial"/>
                <w:b/>
                <w:bCs/>
                <w:color w:val="1D9E75"/>
                <w:sz w:val="48"/>
                <w:szCs w:val="48"/>
              </w:rPr>
              <w:t xml:space="preserve">02</w:t>
            </w:r>
          </w:p>
          <w:p>
            <w:pPr>
              <w:spacing w:after="60" w:before="0"/>
              <w:jc w:val="center"/>
            </w:pPr>
            <w:r>
              <w:rPr>
                <w:rFonts w:ascii="Arial" w:cs="Arial" w:eastAsia="Arial" w:hAnsi="Arial"/>
                <w:b/>
                <w:bCs/>
                <w:color w:val="0F6E56"/>
                <w:sz w:val="26"/>
                <w:szCs w:val="26"/>
              </w:rPr>
              <w:t xml:space="preserve">Speed</w:t>
            </w:r>
          </w:p>
          <w:p>
            <w:pPr>
              <w:spacing w:after="0" w:before="0"/>
              <w:jc w:val="center"/>
            </w:pPr>
            <w:r>
              <w:rPr>
                <w:rFonts w:ascii="Arial" w:cs="Arial" w:eastAsia="Arial" w:hAnsi="Arial"/>
                <w:color w:val="2C2C2A"/>
                <w:sz w:val="20"/>
                <w:szCs w:val="20"/>
              </w:rPr>
              <w:t xml:space="preserve">Agencies take days to weeks. Illumin360 generates a ranked shortlist in hours. You move faster and do not lose good candidates to competitors while you wait.</w:t>
            </w:r>
          </w:p>
        </w:tc>
        <w:tc>
          <w:tcPr>
            <w:tcBorders>
              <w:top w:val="single" w:color="1D9E75" w:sz="8"/>
              <w:left w:val="single" w:color="D3D1C7" w:sz="1"/>
              <w:bottom w:val="none" w:color="FFFFFF" w:sz="0"/>
              <w:right w:val="none" w:color="FFFFFF" w:sz="0"/>
            </w:tcBorders>
            <w:shd w:fill="E1F5EE" w:val="clear"/>
            <w:tcMar>
              <w:top w:type="dxa" w:w="180"/>
              <w:left w:type="dxa" w:w="200"/>
              <w:bottom w:type="dxa" w:w="180"/>
              <w:right w:type="dxa" w:w="200"/>
            </w:tcMar>
          </w:tcPr>
          <w:p>
            <w:pPr>
              <w:spacing w:after="60" w:before="0"/>
              <w:jc w:val="center"/>
            </w:pPr>
            <w:r>
              <w:rPr>
                <w:rFonts w:ascii="Arial" w:cs="Arial" w:eastAsia="Arial" w:hAnsi="Arial"/>
                <w:b/>
                <w:bCs/>
                <w:color w:val="1D9E75"/>
                <w:sz w:val="48"/>
                <w:szCs w:val="48"/>
              </w:rPr>
              <w:t xml:space="preserve">03</w:t>
            </w:r>
          </w:p>
          <w:p>
            <w:pPr>
              <w:spacing w:after="60" w:before="0"/>
              <w:jc w:val="center"/>
            </w:pPr>
            <w:r>
              <w:rPr>
                <w:rFonts w:ascii="Arial" w:cs="Arial" w:eastAsia="Arial" w:hAnsi="Arial"/>
                <w:b/>
                <w:bCs/>
                <w:color w:val="0F6E56"/>
                <w:sz w:val="26"/>
                <w:szCs w:val="26"/>
              </w:rPr>
              <w:t xml:space="preserve">Transparency</w:t>
            </w:r>
          </w:p>
          <w:p>
            <w:pPr>
              <w:spacing w:after="0" w:before="0"/>
              <w:jc w:val="center"/>
            </w:pPr>
            <w:r>
              <w:rPr>
                <w:rFonts w:ascii="Arial" w:cs="Arial" w:eastAsia="Arial" w:hAnsi="Arial"/>
                <w:color w:val="2C2C2A"/>
                <w:sz w:val="20"/>
                <w:szCs w:val="20"/>
              </w:rPr>
              <w:t xml:space="preserve">Every shortlisted candidate comes with a match score and an candidate analysis explaining exactly why they ranked where they did. No black box. No guessing.</w:t>
            </w:r>
          </w:p>
        </w:tc>
      </w:tr>
    </w:tbl>
    <w:p>
      <w:r>
        <w:br w:type="page"/>
      </w:r>
    </w:p>
    <w:p>
      <w:pPr>
        <w:spacing w:after="80" w:before="80"/>
        <w:jc w:val="left"/>
      </w:pPr>
      <w:r>
        <w:rPr>
          <w:rFonts w:ascii="Arial" w:cs="Arial" w:eastAsia="Arial" w:hAnsi="Arial"/>
          <w:b/>
          <w:bCs/>
          <w:i w:val="false"/>
          <w:iCs w:val="false"/>
          <w:color w:val="2C2C2A"/>
          <w:sz w:val="22"/>
          <w:szCs w:val="22"/>
        </w:rPr>
        <w:t xml:space="preserve">Side-by-side comparison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3213"/>
        <w:gridCol w:w="4733"/>
      </w:tblGrid>
      <w:tr>
        <w:tc>
          <w:tcPr>
            <w:tcW w:type="dxa" w:w="1800"/>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
            </w:r>
          </w:p>
        </w:tc>
        <w:tc>
          <w:tcPr>
            <w:tcW w:type="dxa" w:w="3213"/>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Recruitment agency</w:t>
            </w:r>
          </w:p>
        </w:tc>
        <w:tc>
          <w:tcPr>
            <w:tcW w:type="dxa" w:w="4733"/>
            <w:tcBorders>
              <w:top w:val="single" w:color="D3D1C7" w:sz="1"/>
              <w:left w:val="single" w:color="D3D1C7" w:sz="1"/>
              <w:bottom w:val="single" w:color="D3D1C7" w:sz="1"/>
              <w:right w:val="single" w:color="D3D1C7" w:sz="1"/>
            </w:tcBorders>
            <w:shd w:fill="1D9E75" w:val="clear"/>
            <w:tcMar>
              <w:top w:type="dxa" w:w="80"/>
              <w:left w:type="dxa" w:w="130"/>
              <w:bottom w:type="dxa" w:w="80"/>
              <w:right w:type="dxa" w:w="130"/>
            </w:tcMar>
          </w:tcPr>
          <w:p>
            <w:r>
              <w:rPr>
                <w:rFonts w:ascii="Arial" w:cs="Arial" w:eastAsia="Arial" w:hAnsi="Arial"/>
                <w:b/>
                <w:bCs/>
                <w:color w:val="FFFFFF"/>
                <w:sz w:val="19"/>
                <w:szCs w:val="19"/>
              </w:rPr>
              <w:t xml:space="preserve">Illumin360</w:t>
            </w:r>
          </w:p>
        </w:tc>
      </w:tr>
      <w:tr>
        <w:tc>
          <w:tcPr>
            <w:tcW w:type="dxa" w:w="1800"/>
            <w:tcBorders>
              <w:top w:val="single" w:color="D3D1C7" w:sz="1"/>
              <w:left w:val="single" w:color="D3D1C7" w:sz="1"/>
              <w:bottom w:val="single" w:color="D3D1C7" w:sz="1"/>
              <w:right w:val="single" w:color="D3D1C7" w:sz="1"/>
            </w:tcBorders>
            <w:shd w:fill="E1F5EE" w:val="clear"/>
            <w:tcMar>
              <w:top w:type="dxa" w:w="80"/>
              <w:left w:type="dxa" w:w="130"/>
              <w:bottom w:type="dxa" w:w="80"/>
              <w:right w:type="dxa" w:w="130"/>
            </w:tcMar>
          </w:tcPr>
          <w:p>
            <w:r>
              <w:rPr>
                <w:rFonts w:ascii="Arial" w:cs="Arial" w:eastAsia="Arial" w:hAnsi="Arial"/>
                <w:b/>
                <w:bCs/>
                <w:color w:val="0F6E56"/>
                <w:sz w:val="19"/>
                <w:szCs w:val="19"/>
              </w:rPr>
              <w:t xml:space="preserve">Cost</w:t>
            </w:r>
          </w:p>
        </w:tc>
        <w:tc>
          <w:tcPr>
            <w:tcW w:type="dxa" w:w="3213"/>
            <w:tcBorders>
              <w:top w:val="single" w:color="D3D1C7" w:sz="1"/>
              <w:left w:val="single" w:color="D3D1C7" w:sz="1"/>
              <w:bottom w:val="single" w:color="D3D1C7" w:sz="1"/>
              <w:right w:val="single" w:color="D3D1C7" w:sz="1"/>
            </w:tcBorders>
            <w:shd w:fill="E1F5EE" w:val="clear"/>
            <w:tcMar>
              <w:top w:type="dxa" w:w="80"/>
              <w:left w:type="dxa" w:w="130"/>
              <w:bottom w:type="dxa" w:w="80"/>
              <w:right w:type="dxa" w:w="130"/>
            </w:tcMar>
          </w:tcPr>
          <w:p>
            <w:r>
              <w:rPr>
                <w:rFonts w:ascii="Arial" w:cs="Arial" w:eastAsia="Arial" w:hAnsi="Arial"/>
                <w:i/>
                <w:iCs/>
                <w:color w:val="888780"/>
                <w:sz w:val="19"/>
                <w:szCs w:val="19"/>
              </w:rPr>
              <w:t xml:space="preserve">15-25% of annual salary per placement. On a NAD 200,000 role: NAD 30,000 to NAD 50,000.</w:t>
            </w:r>
          </w:p>
        </w:tc>
        <w:tc>
          <w:tcPr>
            <w:tcW w:type="dxa" w:w="4013"/>
            <w:tcBorders>
              <w:top w:val="single" w:color="D3D1C7" w:sz="1"/>
              <w:left w:val="single" w:color="D3D1C7" w:sz="1"/>
              <w:bottom w:val="single" w:color="D3D1C7" w:sz="1"/>
              <w:right w:val="single" w:color="D3D1C7" w:sz="1"/>
            </w:tcBorders>
            <w:shd w:fill="E1F5EE" w:val="clear"/>
            <w:tcMar>
              <w:top w:type="dxa" w:w="80"/>
              <w:left w:type="dxa" w:w="130"/>
              <w:bottom w:type="dxa" w:w="80"/>
              <w:right w:type="dxa" w:w="130"/>
            </w:tcMar>
          </w:tcPr>
          <w:p>
            <w:r>
              <w:rPr>
                <w:rFonts w:ascii="Arial" w:cs="Arial" w:eastAsia="Arial" w:hAnsi="Arial"/>
                <w:b/>
                <w:bCs/>
                <w:color w:val="0F6E56"/>
                <w:sz w:val="19"/>
                <w:szCs w:val="19"/>
              </w:rPr>
              <w:t xml:space="preserve">NAD 1,725 flat fee per shortlist report. Same price regardless of role seniority or salary level.</w:t>
            </w:r>
          </w:p>
        </w:tc>
      </w:tr>
      <w:tr>
        <w:tc>
          <w:tcPr>
            <w:tcW w:type="dxa" w:w="1800"/>
            <w:tcBorders>
              <w:top w:val="single" w:color="D3D1C7" w:sz="1"/>
              <w:left w:val="single" w:color="D3D1C7" w:sz="1"/>
              <w:bottom w:val="single" w:color="D3D1C7" w:sz="1"/>
              <w:right w:val="single" w:color="D3D1C7" w:sz="1"/>
            </w:tcBorders>
            <w:shd w:fill="F1EFE8" w:val="clear"/>
            <w:tcMar>
              <w:top w:type="dxa" w:w="80"/>
              <w:left w:type="dxa" w:w="130"/>
              <w:bottom w:type="dxa" w:w="80"/>
              <w:right w:type="dxa" w:w="130"/>
            </w:tcMar>
          </w:tcPr>
          <w:p>
            <w:r>
              <w:rPr>
                <w:rFonts w:ascii="Arial" w:cs="Arial" w:eastAsia="Arial" w:hAnsi="Arial"/>
                <w:b/>
                <w:bCs/>
                <w:color w:val="2C2C2A"/>
                <w:sz w:val="19"/>
                <w:szCs w:val="19"/>
              </w:rPr>
              <w:t xml:space="preserve">Speed</w:t>
            </w:r>
          </w:p>
        </w:tc>
        <w:tc>
          <w:tcPr>
            <w:tcW w:type="dxa" w:w="3213"/>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i/>
                <w:iCs/>
                <w:color w:val="888780"/>
                <w:sz w:val="19"/>
                <w:szCs w:val="19"/>
              </w:rPr>
              <w:t xml:space="preserve">Days to weeks — consultant sources, screens, and presents manually</w:t>
            </w:r>
          </w:p>
        </w:tc>
        <w:tc>
          <w:tcPr>
            <w:tcW w:type="dxa" w:w="4013"/>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val="false"/>
                <w:bCs w:val="false"/>
                <w:color w:val="2C2C2A"/>
                <w:sz w:val="19"/>
                <w:szCs w:val="19"/>
              </w:rPr>
              <w:t xml:space="preserve">Shortlist generated in hours. Internal portal closes at set time and AI processes immediately.</w:t>
            </w:r>
          </w:p>
        </w:tc>
      </w:tr>
      <w:tr>
        <w:tc>
          <w:tcPr>
            <w:tcW w:type="dxa" w:w="1800"/>
            <w:tcBorders>
              <w:top w:val="single" w:color="D3D1C7" w:sz="1"/>
              <w:left w:val="single" w:color="D3D1C7" w:sz="1"/>
              <w:bottom w:val="single" w:color="D3D1C7" w:sz="1"/>
              <w:right w:val="single" w:color="D3D1C7" w:sz="1"/>
            </w:tcBorders>
            <w:shd w:fill="E1F5EE" w:val="clear"/>
            <w:tcMar>
              <w:top w:type="dxa" w:w="80"/>
              <w:left w:type="dxa" w:w="130"/>
              <w:bottom w:type="dxa" w:w="80"/>
              <w:right w:type="dxa" w:w="130"/>
            </w:tcMar>
          </w:tcPr>
          <w:p>
            <w:r>
              <w:rPr>
                <w:rFonts w:ascii="Arial" w:cs="Arial" w:eastAsia="Arial" w:hAnsi="Arial"/>
                <w:b/>
                <w:bCs/>
                <w:color w:val="0F6E56"/>
                <w:sz w:val="19"/>
                <w:szCs w:val="19"/>
              </w:rPr>
              <w:t xml:space="preserve">Transparency</w:t>
            </w:r>
          </w:p>
        </w:tc>
        <w:tc>
          <w:tcPr>
            <w:tcW w:type="dxa" w:w="3213"/>
            <w:tcBorders>
              <w:top w:val="single" w:color="D3D1C7" w:sz="1"/>
              <w:left w:val="single" w:color="D3D1C7" w:sz="1"/>
              <w:bottom w:val="single" w:color="D3D1C7" w:sz="1"/>
              <w:right w:val="single" w:color="D3D1C7" w:sz="1"/>
            </w:tcBorders>
            <w:shd w:fill="E1F5EE" w:val="clear"/>
            <w:tcMar>
              <w:top w:type="dxa" w:w="80"/>
              <w:left w:type="dxa" w:w="130"/>
              <w:bottom w:type="dxa" w:w="80"/>
              <w:right w:type="dxa" w:w="130"/>
            </w:tcMar>
          </w:tcPr>
          <w:p>
            <w:r>
              <w:rPr>
                <w:rFonts w:ascii="Arial" w:cs="Arial" w:eastAsia="Arial" w:hAnsi="Arial"/>
                <w:i/>
                <w:iCs/>
                <w:color w:val="888780"/>
                <w:sz w:val="19"/>
                <w:szCs w:val="19"/>
              </w:rPr>
              <w:t xml:space="preserve">You see who the agency chooses to show you. No visibility into who else was considered or why.</w:t>
            </w:r>
          </w:p>
        </w:tc>
        <w:tc>
          <w:tcPr>
            <w:tcW w:type="dxa" w:w="4013"/>
            <w:tcBorders>
              <w:top w:val="single" w:color="D3D1C7" w:sz="1"/>
              <w:left w:val="single" w:color="D3D1C7" w:sz="1"/>
              <w:bottom w:val="single" w:color="D3D1C7" w:sz="1"/>
              <w:right w:val="single" w:color="D3D1C7" w:sz="1"/>
            </w:tcBorders>
            <w:shd w:fill="E1F5EE" w:val="clear"/>
            <w:tcMar>
              <w:top w:type="dxa" w:w="80"/>
              <w:left w:type="dxa" w:w="130"/>
              <w:bottom w:type="dxa" w:w="80"/>
              <w:right w:type="dxa" w:w="130"/>
            </w:tcMar>
          </w:tcPr>
          <w:p>
            <w:r>
              <w:rPr>
                <w:rFonts w:ascii="Arial" w:cs="Arial" w:eastAsia="Arial" w:hAnsi="Arial"/>
                <w:b/>
                <w:bCs/>
                <w:color w:val="0F6E56"/>
                <w:sz w:val="19"/>
                <w:szCs w:val="19"/>
              </w:rPr>
              <w:t xml:space="preserve">Every candidate shows a match score, sub-scores by factor, and a written candidate analysis for their ranking.</w:t>
            </w:r>
          </w:p>
        </w:tc>
      </w:tr>
      <w:tr>
        <w:tc>
          <w:tcPr>
            <w:tcW w:type="dxa" w:w="1800"/>
            <w:tcBorders>
              <w:top w:val="single" w:color="D3D1C7" w:sz="1"/>
              <w:left w:val="single" w:color="D3D1C7" w:sz="1"/>
              <w:bottom w:val="single" w:color="D3D1C7" w:sz="1"/>
              <w:right w:val="single" w:color="D3D1C7" w:sz="1"/>
            </w:tcBorders>
            <w:shd w:fill="F1EFE8" w:val="clear"/>
            <w:tcMar>
              <w:top w:type="dxa" w:w="80"/>
              <w:left w:type="dxa" w:w="130"/>
              <w:bottom w:type="dxa" w:w="80"/>
              <w:right w:type="dxa" w:w="130"/>
            </w:tcMar>
          </w:tcPr>
          <w:p>
            <w:r>
              <w:rPr>
                <w:rFonts w:ascii="Arial" w:cs="Arial" w:eastAsia="Arial" w:hAnsi="Arial"/>
                <w:b/>
                <w:bCs/>
                <w:color w:val="2C2C2A"/>
                <w:sz w:val="19"/>
                <w:szCs w:val="19"/>
              </w:rPr>
              <w:t xml:space="preserve">Candidate pool</w:t>
            </w:r>
          </w:p>
        </w:tc>
        <w:tc>
          <w:tcPr>
            <w:tcW w:type="dxa" w:w="3213"/>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i/>
                <w:iCs/>
                <w:color w:val="888780"/>
                <w:sz w:val="19"/>
                <w:szCs w:val="19"/>
              </w:rPr>
              <w:t xml:space="preserve">The agency's existing network and whoever responds to their job ads</w:t>
            </w:r>
          </w:p>
        </w:tc>
        <w:tc>
          <w:tcPr>
            <w:tcW w:type="dxa" w:w="4013"/>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val="false"/>
                <w:bCs w:val="false"/>
                <w:color w:val="2C2C2A"/>
                <w:sz w:val="19"/>
                <w:szCs w:val="19"/>
              </w:rPr>
              <w:t xml:space="preserve">Active national pool of subscribed professionals who have opted in to be found, plus your own uploaded CVs</w:t>
            </w:r>
          </w:p>
        </w:tc>
      </w:tr>
      <w:tr>
        <w:tc>
          <w:tcPr>
            <w:tcW w:type="dxa" w:w="1800"/>
            <w:tcBorders>
              <w:top w:val="single" w:color="D3D1C7" w:sz="1"/>
              <w:left w:val="single" w:color="D3D1C7" w:sz="1"/>
              <w:bottom w:val="single" w:color="D3D1C7" w:sz="1"/>
              <w:right w:val="single" w:color="D3D1C7" w:sz="1"/>
            </w:tcBorders>
            <w:shd w:fill="E1F5EE" w:val="clear"/>
            <w:tcMar>
              <w:top w:type="dxa" w:w="80"/>
              <w:left w:type="dxa" w:w="130"/>
              <w:bottom w:type="dxa" w:w="80"/>
              <w:right w:type="dxa" w:w="130"/>
            </w:tcMar>
          </w:tcPr>
          <w:p>
            <w:r>
              <w:rPr>
                <w:rFonts w:ascii="Arial" w:cs="Arial" w:eastAsia="Arial" w:hAnsi="Arial"/>
                <w:b/>
                <w:bCs/>
                <w:color w:val="0F6E56"/>
                <w:sz w:val="19"/>
                <w:szCs w:val="19"/>
              </w:rPr>
              <w:t xml:space="preserve">Internal vacancies</w:t>
            </w:r>
          </w:p>
        </w:tc>
        <w:tc>
          <w:tcPr>
            <w:tcW w:type="dxa" w:w="3213"/>
            <w:tcBorders>
              <w:top w:val="single" w:color="D3D1C7" w:sz="1"/>
              <w:left w:val="single" w:color="D3D1C7" w:sz="1"/>
              <w:bottom w:val="single" w:color="D3D1C7" w:sz="1"/>
              <w:right w:val="single" w:color="D3D1C7" w:sz="1"/>
            </w:tcBorders>
            <w:shd w:fill="E1F5EE" w:val="clear"/>
            <w:tcMar>
              <w:top w:type="dxa" w:w="80"/>
              <w:left w:type="dxa" w:w="130"/>
              <w:bottom w:type="dxa" w:w="80"/>
              <w:right w:type="dxa" w:w="130"/>
            </w:tcMar>
          </w:tcPr>
          <w:p>
            <w:r>
              <w:rPr>
                <w:rFonts w:ascii="Arial" w:cs="Arial" w:eastAsia="Arial" w:hAnsi="Arial"/>
                <w:i/>
                <w:iCs/>
                <w:color w:val="888780"/>
                <w:sz w:val="19"/>
                <w:szCs w:val="19"/>
              </w:rPr>
              <w:t xml:space="preserve">Agencies typically do not handle internal recruitment processes</w:t>
            </w:r>
          </w:p>
        </w:tc>
        <w:tc>
          <w:tcPr>
            <w:tcW w:type="dxa" w:w="4013"/>
            <w:tcBorders>
              <w:top w:val="single" w:color="D3D1C7" w:sz="1"/>
              <w:left w:val="single" w:color="D3D1C7" w:sz="1"/>
              <w:bottom w:val="single" w:color="D3D1C7" w:sz="1"/>
              <w:right w:val="single" w:color="D3D1C7" w:sz="1"/>
            </w:tcBorders>
            <w:shd w:fill="E1F5EE" w:val="clear"/>
            <w:tcMar>
              <w:top w:type="dxa" w:w="80"/>
              <w:left w:type="dxa" w:w="130"/>
              <w:bottom w:type="dxa" w:w="80"/>
              <w:right w:type="dxa" w:w="130"/>
            </w:tcMar>
          </w:tcPr>
          <w:p>
            <w:r>
              <w:rPr>
                <w:rFonts w:ascii="Arial" w:cs="Arial" w:eastAsia="Arial" w:hAnsi="Arial"/>
                <w:b/>
                <w:bCs/>
                <w:color w:val="0F6E56"/>
                <w:sz w:val="19"/>
                <w:szCs w:val="19"/>
              </w:rPr>
              <w:t xml:space="preserve">Generates a private branded portal — staff apply via a unique link. AI shortlists your own people.</w:t>
            </w:r>
          </w:p>
        </w:tc>
      </w:tr>
      <w:tr>
        <w:tc>
          <w:tcPr>
            <w:tcW w:type="dxa" w:w="1800"/>
            <w:tcBorders>
              <w:top w:val="single" w:color="D3D1C7" w:sz="1"/>
              <w:left w:val="single" w:color="D3D1C7" w:sz="1"/>
              <w:bottom w:val="single" w:color="D3D1C7" w:sz="1"/>
              <w:right w:val="single" w:color="D3D1C7" w:sz="1"/>
            </w:tcBorders>
            <w:shd w:fill="F1EFE8" w:val="clear"/>
            <w:tcMar>
              <w:top w:type="dxa" w:w="80"/>
              <w:left w:type="dxa" w:w="130"/>
              <w:bottom w:type="dxa" w:w="80"/>
              <w:right w:type="dxa" w:w="130"/>
            </w:tcMar>
          </w:tcPr>
          <w:p>
            <w:r>
              <w:rPr>
                <w:rFonts w:ascii="Arial" w:cs="Arial" w:eastAsia="Arial" w:hAnsi="Arial"/>
                <w:b/>
                <w:bCs/>
                <w:color w:val="2C2C2A"/>
                <w:sz w:val="19"/>
                <w:szCs w:val="19"/>
              </w:rPr>
              <w:t xml:space="preserve">Graduate pipeline</w:t>
            </w:r>
          </w:p>
        </w:tc>
        <w:tc>
          <w:tcPr>
            <w:tcW w:type="dxa" w:w="3213"/>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i/>
                <w:iCs/>
                <w:color w:val="888780"/>
                <w:sz w:val="19"/>
                <w:szCs w:val="19"/>
              </w:rPr>
              <w:t xml:space="preserve">Agencies rarely focus on pre-graduation talent</w:t>
            </w:r>
          </w:p>
        </w:tc>
        <w:tc>
          <w:tcPr>
            <w:tcW w:type="dxa" w:w="4013"/>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val="false"/>
                <w:bCs w:val="false"/>
                <w:color w:val="2C2C2A"/>
                <w:sz w:val="19"/>
                <w:szCs w:val="19"/>
              </w:rPr>
              <w:t xml:space="preserve">Student profiles — upcoming graduates discoverable before they hit the market. Free CSR programme.</w:t>
            </w:r>
          </w:p>
        </w:tc>
      </w:tr>
      <w:tr>
        <w:tc>
          <w:tcPr>
            <w:tcW w:type="dxa" w:w="1800"/>
            <w:tcBorders>
              <w:top w:val="single" w:color="D3D1C7" w:sz="1"/>
              <w:left w:val="single" w:color="D3D1C7" w:sz="1"/>
              <w:bottom w:val="single" w:color="D3D1C7" w:sz="1"/>
              <w:right w:val="single" w:color="D3D1C7" w:sz="1"/>
            </w:tcBorders>
            <w:shd w:fill="E1F5EE" w:val="clear"/>
            <w:tcMar>
              <w:top w:type="dxa" w:w="80"/>
              <w:left w:type="dxa" w:w="130"/>
              <w:bottom w:type="dxa" w:w="80"/>
              <w:right w:type="dxa" w:w="130"/>
            </w:tcMar>
          </w:tcPr>
          <w:p>
            <w:r>
              <w:rPr>
                <w:rFonts w:ascii="Arial" w:cs="Arial" w:eastAsia="Arial" w:hAnsi="Arial"/>
                <w:b/>
                <w:bCs/>
                <w:color w:val="0F6E56"/>
                <w:sz w:val="19"/>
                <w:szCs w:val="19"/>
              </w:rPr>
              <w:t xml:space="preserve">Bias risk</w:t>
            </w:r>
          </w:p>
        </w:tc>
        <w:tc>
          <w:tcPr>
            <w:tcW w:type="dxa" w:w="3213"/>
            <w:tcBorders>
              <w:top w:val="single" w:color="D3D1C7" w:sz="1"/>
              <w:left w:val="single" w:color="D3D1C7" w:sz="1"/>
              <w:bottom w:val="single" w:color="D3D1C7" w:sz="1"/>
              <w:right w:val="single" w:color="D3D1C7" w:sz="1"/>
            </w:tcBorders>
            <w:shd w:fill="E1F5EE" w:val="clear"/>
            <w:tcMar>
              <w:top w:type="dxa" w:w="80"/>
              <w:left w:type="dxa" w:w="130"/>
              <w:bottom w:type="dxa" w:w="80"/>
              <w:right w:type="dxa" w:w="130"/>
            </w:tcMar>
          </w:tcPr>
          <w:p>
            <w:r>
              <w:rPr>
                <w:rFonts w:ascii="Arial" w:cs="Arial" w:eastAsia="Arial" w:hAnsi="Arial"/>
                <w:i/>
                <w:iCs/>
                <w:color w:val="888780"/>
                <w:sz w:val="19"/>
                <w:szCs w:val="19"/>
              </w:rPr>
              <w:t xml:space="preserve">Human consultants have unconscious bias in candidate selection</w:t>
            </w:r>
          </w:p>
        </w:tc>
        <w:tc>
          <w:tcPr>
            <w:tcW w:type="dxa" w:w="4013"/>
            <w:tcBorders>
              <w:top w:val="single" w:color="D3D1C7" w:sz="1"/>
              <w:left w:val="single" w:color="D3D1C7" w:sz="1"/>
              <w:bottom w:val="single" w:color="D3D1C7" w:sz="1"/>
              <w:right w:val="single" w:color="D3D1C7" w:sz="1"/>
            </w:tcBorders>
            <w:shd w:fill="E1F5EE" w:val="clear"/>
            <w:tcMar>
              <w:top w:type="dxa" w:w="80"/>
              <w:left w:type="dxa" w:w="130"/>
              <w:bottom w:type="dxa" w:w="80"/>
              <w:right w:type="dxa" w:w="130"/>
            </w:tcMar>
          </w:tcPr>
          <w:p>
            <w:r>
              <w:rPr>
                <w:rFonts w:ascii="Arial" w:cs="Arial" w:eastAsia="Arial" w:hAnsi="Arial"/>
                <w:b/>
                <w:bCs/>
                <w:color w:val="0F6E56"/>
                <w:sz w:val="19"/>
                <w:szCs w:val="19"/>
              </w:rPr>
              <w:t xml:space="preserve">AI scoring is based entirely on documented qualifications, skills, experience, and fit</w:t>
            </w:r>
          </w:p>
        </w:tc>
      </w:tr>
      <w:tr>
        <w:tc>
          <w:tcPr>
            <w:tcW w:type="dxa" w:w="1800"/>
            <w:tcBorders>
              <w:top w:val="single" w:color="D3D1C7" w:sz="1"/>
              <w:left w:val="single" w:color="D3D1C7" w:sz="1"/>
              <w:bottom w:val="single" w:color="D3D1C7" w:sz="1"/>
              <w:right w:val="single" w:color="D3D1C7" w:sz="1"/>
            </w:tcBorders>
            <w:shd w:fill="F1EFE8" w:val="clear"/>
            <w:tcMar>
              <w:top w:type="dxa" w:w="80"/>
              <w:left w:type="dxa" w:w="130"/>
              <w:bottom w:type="dxa" w:w="80"/>
              <w:right w:type="dxa" w:w="130"/>
            </w:tcMar>
          </w:tcPr>
          <w:p>
            <w:r>
              <w:rPr>
                <w:rFonts w:ascii="Arial" w:cs="Arial" w:eastAsia="Arial" w:hAnsi="Arial"/>
                <w:b/>
                <w:bCs/>
                <w:color w:val="2C2C2A"/>
                <w:sz w:val="19"/>
                <w:szCs w:val="19"/>
              </w:rPr>
              <w:t xml:space="preserve">Repeat use</w:t>
            </w:r>
          </w:p>
        </w:tc>
        <w:tc>
          <w:tcPr>
            <w:tcW w:type="dxa" w:w="3213"/>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i/>
                <w:iCs/>
                <w:color w:val="888780"/>
                <w:sz w:val="19"/>
                <w:szCs w:val="19"/>
              </w:rPr>
              <w:t xml:space="preserve">Each new vacancy: new brief, new search, new full agency fee</w:t>
            </w:r>
          </w:p>
        </w:tc>
        <w:tc>
          <w:tcPr>
            <w:tcW w:type="dxa" w:w="4013"/>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val="false"/>
                <w:bCs w:val="false"/>
                <w:color w:val="2C2C2A"/>
                <w:sz w:val="19"/>
                <w:szCs w:val="19"/>
              </w:rPr>
              <w:t xml:space="preserve">New request in minutes. Same flat fee. Search the same pool again for a different role.</w:t>
            </w:r>
          </w:p>
        </w:tc>
      </w:tr>
      <w:tr>
        <w:tc>
          <w:tcPr>
            <w:tcW w:type="dxa" w:w="1800"/>
            <w:tcBorders>
              <w:top w:val="single" w:color="D3D1C7" w:sz="1"/>
              <w:left w:val="single" w:color="D3D1C7" w:sz="1"/>
              <w:bottom w:val="single" w:color="D3D1C7" w:sz="1"/>
              <w:right w:val="single" w:color="D3D1C7" w:sz="1"/>
            </w:tcBorders>
            <w:shd w:fill="E1F5EE" w:val="clear"/>
            <w:tcMar>
              <w:top w:type="dxa" w:w="80"/>
              <w:left w:type="dxa" w:w="130"/>
              <w:bottom w:type="dxa" w:w="80"/>
              <w:right w:type="dxa" w:w="130"/>
            </w:tcMar>
          </w:tcPr>
          <w:p>
            <w:r>
              <w:rPr>
                <w:rFonts w:ascii="Arial" w:cs="Arial" w:eastAsia="Arial" w:hAnsi="Arial"/>
                <w:b/>
                <w:bCs/>
                <w:color w:val="0F6E56"/>
                <w:sz w:val="19"/>
                <w:szCs w:val="19"/>
              </w:rPr>
              <w:t xml:space="preserve">Ownership</w:t>
            </w:r>
          </w:p>
        </w:tc>
        <w:tc>
          <w:tcPr>
            <w:tcW w:type="dxa" w:w="3213"/>
            <w:tcBorders>
              <w:top w:val="single" w:color="D3D1C7" w:sz="1"/>
              <w:left w:val="single" w:color="D3D1C7" w:sz="1"/>
              <w:bottom w:val="single" w:color="D3D1C7" w:sz="1"/>
              <w:right w:val="single" w:color="D3D1C7" w:sz="1"/>
            </w:tcBorders>
            <w:shd w:fill="E1F5EE" w:val="clear"/>
            <w:tcMar>
              <w:top w:type="dxa" w:w="80"/>
              <w:left w:type="dxa" w:w="130"/>
              <w:bottom w:type="dxa" w:w="80"/>
              <w:right w:type="dxa" w:w="130"/>
            </w:tcMar>
          </w:tcPr>
          <w:p>
            <w:r>
              <w:rPr>
                <w:rFonts w:ascii="Arial" w:cs="Arial" w:eastAsia="Arial" w:hAnsi="Arial"/>
                <w:i/>
                <w:iCs/>
                <w:color w:val="888780"/>
                <w:sz w:val="19"/>
                <w:szCs w:val="19"/>
              </w:rPr>
              <w:t xml:space="preserve">Agency owns the candidate relationships — stop using them, lose the access</w:t>
            </w:r>
          </w:p>
        </w:tc>
        <w:tc>
          <w:tcPr>
            <w:tcW w:type="dxa" w:w="4013"/>
            <w:tcBorders>
              <w:top w:val="single" w:color="D3D1C7" w:sz="1"/>
              <w:left w:val="single" w:color="D3D1C7" w:sz="1"/>
              <w:bottom w:val="single" w:color="D3D1C7" w:sz="1"/>
              <w:right w:val="single" w:color="D3D1C7" w:sz="1"/>
            </w:tcBorders>
            <w:shd w:fill="E1F5EE" w:val="clear"/>
            <w:tcMar>
              <w:top w:type="dxa" w:w="80"/>
              <w:left w:type="dxa" w:w="130"/>
              <w:bottom w:type="dxa" w:w="80"/>
              <w:right w:type="dxa" w:w="130"/>
            </w:tcMar>
          </w:tcPr>
          <w:p>
            <w:r>
              <w:rPr>
                <w:rFonts w:ascii="Arial" w:cs="Arial" w:eastAsia="Arial" w:hAnsi="Arial"/>
                <w:b/>
                <w:bCs/>
                <w:color w:val="0F6E56"/>
                <w:sz w:val="19"/>
                <w:szCs w:val="19"/>
              </w:rPr>
              <w:t xml:space="preserve">You own your request history, reports, and downloaded candidate details permanently</w:t>
            </w:r>
          </w:p>
        </w:tc>
      </w:tr>
      <w:tr>
        <w:tc>
          <w:tcPr>
            <w:tcW w:type="dxa" w:w="1800"/>
            <w:tcBorders>
              <w:top w:val="single" w:color="D3D1C7" w:sz="1"/>
              <w:left w:val="single" w:color="D3D1C7" w:sz="1"/>
              <w:bottom w:val="single" w:color="D3D1C7" w:sz="1"/>
              <w:right w:val="single" w:color="D3D1C7" w:sz="1"/>
            </w:tcBorders>
            <w:shd w:fill="F1EFE8" w:val="clear"/>
            <w:tcMar>
              <w:top w:type="dxa" w:w="80"/>
              <w:left w:type="dxa" w:w="130"/>
              <w:bottom w:type="dxa" w:w="80"/>
              <w:right w:type="dxa" w:w="130"/>
            </w:tcMar>
          </w:tcPr>
          <w:p>
            <w:r>
              <w:rPr>
                <w:rFonts w:ascii="Arial" w:cs="Arial" w:eastAsia="Arial" w:hAnsi="Arial"/>
                <w:b/>
                <w:bCs/>
                <w:color w:val="2C2C2A"/>
                <w:sz w:val="19"/>
                <w:szCs w:val="19"/>
              </w:rPr>
              <w:t xml:space="preserve">Control</w:t>
            </w:r>
          </w:p>
        </w:tc>
        <w:tc>
          <w:tcPr>
            <w:tcW w:type="dxa" w:w="3213"/>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i/>
                <w:iCs/>
                <w:color w:val="888780"/>
                <w:sz w:val="19"/>
                <w:szCs w:val="19"/>
              </w:rPr>
              <w:t xml:space="preserve">You depend on the agency's speed, effort, and priorities</w:t>
            </w:r>
          </w:p>
        </w:tc>
        <w:tc>
          <w:tcPr>
            <w:tcW w:type="dxa" w:w="4013"/>
            <w:tcBorders>
              <w:top w:val="single" w:color="D3D1C7" w:sz="1"/>
              <w:left w:val="single" w:color="D3D1C7" w:sz="1"/>
              <w:bottom w:val="single" w:color="D3D1C7" w:sz="1"/>
              <w:right w:val="single" w:color="D3D1C7" w:sz="1"/>
            </w:tcBorders>
            <w:shd w:fill="FFFFFF" w:val="clear"/>
            <w:tcMar>
              <w:top w:type="dxa" w:w="80"/>
              <w:left w:type="dxa" w:w="130"/>
              <w:bottom w:type="dxa" w:w="80"/>
              <w:right w:type="dxa" w:w="130"/>
            </w:tcMar>
          </w:tcPr>
          <w:p>
            <w:r>
              <w:rPr>
                <w:rFonts w:ascii="Arial" w:cs="Arial" w:eastAsia="Arial" w:hAnsi="Arial"/>
                <w:b w:val="false"/>
                <w:bCs w:val="false"/>
                <w:color w:val="2C2C2A"/>
                <w:sz w:val="19"/>
                <w:szCs w:val="19"/>
              </w:rPr>
              <w:t xml:space="preserve">You set the timeline, the filters, the shortlist size, and when the report is generated</w:t>
            </w:r>
          </w:p>
        </w:tc>
      </w:tr>
    </w:tbl>
    <w:p>
      <w:pPr>
        <w:spacing w:after="0" w:before="0"/>
      </w:pPr>
      <w:r>
        <w:t xml:space="preserve"/>
      </w:r>
    </w:p>
    <w:p>
      <w:pPr>
        <w:spacing w:after="80" w:before="100"/>
        <w:jc w:val="left"/>
      </w:pPr>
      <w:r>
        <w:rPr>
          <w:rFonts w:ascii="Arial" w:cs="Arial" w:eastAsia="Arial" w:hAnsi="Arial"/>
          <w:b/>
          <w:bCs/>
          <w:i w:val="false"/>
          <w:iCs w:val="false"/>
          <w:color w:val="2C2C2A"/>
          <w:sz w:val="22"/>
          <w:szCs w:val="22"/>
        </w:rPr>
        <w:t xml:space="preserve">Handling common employer objections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single" w:color="BA7517" w:sz="6"/>
              <w:left w:val="single" w:color="BA7517" w:sz="6"/>
              <w:bottom w:val="single" w:color="D3D1C7" w:sz="1"/>
              <w:right w:val="none" w:color="FFFFFF" w:sz="0"/>
            </w:tcBorders>
            <w:shd w:fill="FAEEDA" w:val="clear"/>
            <w:tcMar>
              <w:top w:type="dxa" w:w="120"/>
              <w:left w:type="dxa" w:w="200"/>
              <w:bottom w:type="dxa" w:w="60"/>
              <w:right w:type="dxa" w:w="200"/>
            </w:tcMar>
          </w:tcPr>
          <w:p>
            <w:pPr>
              <w:spacing w:after="80" w:before="60"/>
              <w:jc w:val="left"/>
            </w:pPr>
            <w:r>
              <w:rPr>
                <w:rFonts w:ascii="Arial" w:cs="Arial" w:eastAsia="Arial" w:hAnsi="Arial"/>
                <w:b/>
                <w:bCs/>
                <w:i w:val="false"/>
                <w:iCs w:val="false"/>
                <w:color w:val="633806"/>
                <w:sz w:val="22"/>
                <w:szCs w:val="22"/>
              </w:rPr>
              <w:t xml:space="preserve">"We have always used our agency and they know us well."</w:t>
            </w:r>
          </w:p>
        </w:tc>
      </w:tr>
      <w:tr>
        <w:tc>
          <w:tcPr>
            <w:tcBorders>
              <w:top w:val="single" w:color="D3D1C7" w:sz="1"/>
              <w:left w:val="single" w:color="1D9E75" w:sz="6"/>
              <w:bottom w:val="single" w:color="D3D1C7" w:sz="1"/>
              <w:right w:val="none" w:color="FFFFFF" w:sz="0"/>
            </w:tcBorders>
            <w:shd w:fill="E1F5EE" w:val="clear"/>
            <w:tcMar>
              <w:top w:type="dxa" w:w="80"/>
              <w:left w:type="dxa" w:w="200"/>
              <w:bottom w:type="dxa" w:w="120"/>
              <w:right w:type="dxa" w:w="200"/>
            </w:tcMar>
          </w:tcPr>
          <w:p>
            <w:pPr>
              <w:spacing w:after="80" w:before="60"/>
              <w:jc w:val="left"/>
            </w:pPr>
            <w:r>
              <w:rPr>
                <w:rFonts w:ascii="Arial" w:cs="Arial" w:eastAsia="Arial" w:hAnsi="Arial"/>
                <w:b w:val="false"/>
                <w:bCs w:val="false"/>
                <w:i/>
                <w:iCs/>
                <w:color w:val="0F6E56"/>
                <w:sz w:val="22"/>
                <w:szCs w:val="22"/>
              </w:rPr>
              <w:t xml:space="preserve">"That relationship is valuable for your most senior and specialised roles — and we are not here to replace it for those. But for your professional and mid-level roles, Illumin360 gives you the same quality of shortlist in hours at a fraction of the cost. Most employers use us alongside their agency — not instead of them."</w:t>
            </w:r>
          </w:p>
        </w:tc>
      </w:tr>
      <w:tr>
        <w:tc>
          <w:tcPr>
            <w:tcBorders>
              <w:top w:val="single" w:color="D3D1C7" w:sz="1"/>
              <w:left w:val="single" w:color="BA7517" w:sz="6"/>
              <w:bottom w:val="single" w:color="D3D1C7" w:sz="1"/>
              <w:right w:val="none" w:color="FFFFFF" w:sz="0"/>
            </w:tcBorders>
            <w:shd w:fill="FAEEDA" w:val="clear"/>
            <w:tcMar>
              <w:top w:type="dxa" w:w="120"/>
              <w:left w:type="dxa" w:w="200"/>
              <w:bottom w:type="dxa" w:w="60"/>
              <w:right w:type="dxa" w:w="200"/>
            </w:tcMar>
          </w:tcPr>
          <w:p>
            <w:pPr>
              <w:spacing w:after="80" w:before="60"/>
              <w:jc w:val="left"/>
            </w:pPr>
            <w:r>
              <w:rPr>
                <w:rFonts w:ascii="Arial" w:cs="Arial" w:eastAsia="Arial" w:hAnsi="Arial"/>
                <w:b/>
                <w:bCs/>
                <w:i w:val="false"/>
                <w:iCs w:val="false"/>
                <w:color w:val="633806"/>
                <w:sz w:val="22"/>
                <w:szCs w:val="22"/>
              </w:rPr>
              <w:t xml:space="preserve">"How do I know the candidates on your platform are quality?"</w:t>
            </w:r>
          </w:p>
        </w:tc>
      </w:tr>
      <w:tr>
        <w:tc>
          <w:tcPr>
            <w:tcBorders>
              <w:top w:val="single" w:color="D3D1C7" w:sz="1"/>
              <w:left w:val="single" w:color="1D9E75" w:sz="6"/>
              <w:bottom w:val="single" w:color="D3D1C7" w:sz="1"/>
              <w:right w:val="none" w:color="FFFFFF" w:sz="0"/>
            </w:tcBorders>
            <w:shd w:fill="E1F5EE" w:val="clear"/>
            <w:tcMar>
              <w:top w:type="dxa" w:w="80"/>
              <w:left w:type="dxa" w:w="200"/>
              <w:bottom w:type="dxa" w:w="120"/>
              <w:right w:type="dxa" w:w="200"/>
            </w:tcMar>
          </w:tcPr>
          <w:p>
            <w:pPr>
              <w:spacing w:after="80" w:before="60"/>
              <w:jc w:val="left"/>
            </w:pPr>
            <w:r>
              <w:rPr>
                <w:rFonts w:ascii="Arial" w:cs="Arial" w:eastAsia="Arial" w:hAnsi="Arial"/>
                <w:b w:val="false"/>
                <w:bCs w:val="false"/>
                <w:i/>
                <w:iCs/>
                <w:color w:val="0F6E56"/>
                <w:sz w:val="22"/>
                <w:szCs w:val="22"/>
              </w:rPr>
              <w:t xml:space="preserve">"Every candidate on the platform has subscribed and completed a full profile — that self-selection already filters out people who are not serious. We have university partnerships that bring in verified graduates from UNAM, NUST, and IUM. And because each candidate's profile shows their exact qualifications, experience, and skills, you can see the quality before you pay anything."</w:t>
            </w:r>
          </w:p>
        </w:tc>
      </w:tr>
      <w:tr>
        <w:tc>
          <w:tcPr>
            <w:tcBorders>
              <w:top w:val="single" w:color="D3D1C7" w:sz="1"/>
              <w:left w:val="single" w:color="BA7517" w:sz="6"/>
              <w:bottom w:val="single" w:color="D3D1C7" w:sz="1"/>
              <w:right w:val="none" w:color="FFFFFF" w:sz="0"/>
            </w:tcBorders>
            <w:shd w:fill="FAEEDA" w:val="clear"/>
            <w:tcMar>
              <w:top w:type="dxa" w:w="120"/>
              <w:left w:type="dxa" w:w="200"/>
              <w:bottom w:type="dxa" w:w="60"/>
              <w:right w:type="dxa" w:w="200"/>
            </w:tcMar>
          </w:tcPr>
          <w:p>
            <w:pPr>
              <w:spacing w:after="80" w:before="60"/>
              <w:jc w:val="left"/>
            </w:pPr>
            <w:r>
              <w:rPr>
                <w:rFonts w:ascii="Arial" w:cs="Arial" w:eastAsia="Arial" w:hAnsi="Arial"/>
                <w:b/>
                <w:bCs/>
                <w:i w:val="false"/>
                <w:iCs w:val="false"/>
                <w:color w:val="633806"/>
                <w:sz w:val="22"/>
                <w:szCs w:val="22"/>
              </w:rPr>
              <w:t xml:space="preserve">"Can it really replace a human recruiter's judgement?"</w:t>
            </w:r>
          </w:p>
        </w:tc>
      </w:tr>
      <w:tr>
        <w:tc>
          <w:tcPr>
            <w:tcBorders>
              <w:top w:val="single" w:color="D3D1C7" w:sz="1"/>
              <w:left w:val="single" w:color="1D9E75" w:sz="6"/>
              <w:bottom w:val="single" w:color="D3D1C7" w:sz="1"/>
              <w:right w:val="none" w:color="FFFFFF" w:sz="0"/>
            </w:tcBorders>
            <w:shd w:fill="E1F5EE" w:val="clear"/>
            <w:tcMar>
              <w:top w:type="dxa" w:w="80"/>
              <w:left w:type="dxa" w:w="200"/>
              <w:bottom w:type="dxa" w:w="120"/>
              <w:right w:type="dxa" w:w="200"/>
            </w:tcMar>
          </w:tcPr>
          <w:p>
            <w:pPr>
              <w:spacing w:after="80" w:before="60"/>
              <w:jc w:val="left"/>
            </w:pPr>
            <w:r>
              <w:rPr>
                <w:rFonts w:ascii="Arial" w:cs="Arial" w:eastAsia="Arial" w:hAnsi="Arial"/>
                <w:b w:val="false"/>
                <w:bCs w:val="false"/>
                <w:i/>
                <w:iCs/>
                <w:color w:val="0F6E56"/>
                <w:sz w:val="22"/>
                <w:szCs w:val="22"/>
              </w:rPr>
              <w:t xml:space="preserve">"Illumin360 handles the search and ranking stage — which is the most time-consuming and expensive part of recruitment. The judgement calls — interviews, culture fit, final decisions — those remain with you and your team. We make your team faster and better informed, not redundant."</w:t>
            </w:r>
          </w:p>
        </w:tc>
      </w:tr>
      <w:tr>
        <w:tc>
          <w:tcPr>
            <w:tcBorders>
              <w:top w:val="single" w:color="D3D1C7" w:sz="1"/>
              <w:left w:val="single" w:color="BA7517" w:sz="6"/>
              <w:bottom w:val="single" w:color="D3D1C7" w:sz="1"/>
              <w:right w:val="none" w:color="FFFFFF" w:sz="0"/>
            </w:tcBorders>
            <w:shd w:fill="FAEEDA" w:val="clear"/>
            <w:tcMar>
              <w:top w:type="dxa" w:w="120"/>
              <w:left w:type="dxa" w:w="200"/>
              <w:bottom w:type="dxa" w:w="60"/>
              <w:right w:type="dxa" w:w="200"/>
            </w:tcMar>
          </w:tcPr>
          <w:p>
            <w:pPr>
              <w:spacing w:after="80" w:before="60"/>
              <w:jc w:val="left"/>
            </w:pPr>
            <w:r>
              <w:rPr>
                <w:rFonts w:ascii="Arial" w:cs="Arial" w:eastAsia="Arial" w:hAnsi="Arial"/>
                <w:b/>
                <w:bCs/>
                <w:i w:val="false"/>
                <w:iCs w:val="false"/>
                <w:color w:val="633806"/>
                <w:sz w:val="22"/>
                <w:szCs w:val="22"/>
              </w:rPr>
              <w:t xml:space="preserve">"What if we don't find the right candidate on your platform?"</w:t>
            </w:r>
          </w:p>
        </w:tc>
      </w:tr>
      <w:tr>
        <w:tc>
          <w:tcPr>
            <w:tcBorders>
              <w:top w:val="single" w:color="D3D1C7" w:sz="1"/>
              <w:left w:val="single" w:color="1D9E75" w:sz="6"/>
              <w:bottom w:val="none" w:color="FFFFFF" w:sz="0"/>
              <w:right w:val="none" w:color="FFFFFF" w:sz="0"/>
            </w:tcBorders>
            <w:shd w:fill="E1F5EE" w:val="clear"/>
            <w:tcMar>
              <w:top w:type="dxa" w:w="80"/>
              <w:left w:type="dxa" w:w="200"/>
              <w:bottom w:type="dxa" w:w="120"/>
              <w:right w:type="dxa" w:w="200"/>
            </w:tcMar>
          </w:tcPr>
          <w:p>
            <w:pPr>
              <w:spacing w:after="80" w:before="60"/>
              <w:jc w:val="left"/>
            </w:pPr>
            <w:r>
              <w:rPr>
                <w:rFonts w:ascii="Arial" w:cs="Arial" w:eastAsia="Arial" w:hAnsi="Arial"/>
                <w:b w:val="false"/>
                <w:bCs w:val="false"/>
                <w:i/>
                <w:iCs/>
                <w:color w:val="0F6E56"/>
                <w:sz w:val="22"/>
                <w:szCs w:val="22"/>
              </w:rPr>
              <w:t xml:space="preserve">"You can also upload your own CVs — candidates you have already collected through your own advertising — and run them through the same Illumin360 matching engine. Or use our Combined mode to search both your CVs and our platform pool together. You are never limited to just what is on our platform."</w:t>
            </w:r>
          </w:p>
        </w:tc>
      </w:tr>
    </w:tbl>
    <w:p>
      <w:r>
        <w:br w:type="page"/>
      </w:r>
    </w:p>
    <w:p>
      <w:pPr>
        <w:spacing w:after="100" w:before="80"/>
        <w:jc w:val="left"/>
      </w:pPr>
      <w:r>
        <w:rPr>
          <w:rFonts w:ascii="Arial" w:cs="Arial" w:eastAsia="Arial" w:hAnsi="Arial"/>
          <w:b/>
          <w:bCs/>
          <w:i w:val="false"/>
          <w:iCs w:val="false"/>
          <w:color w:val="2C2C2A"/>
          <w:sz w:val="22"/>
          <w:szCs w:val="22"/>
        </w:rPr>
        <w:t xml:space="preserve">Full talking points — use these in presentations, calls, and meetings</w:t>
      </w:r>
    </w:p>
    <w:tbl>
      <w:tblPr>
        <w:tblW w:type="dxa" w:w="9026"/>
        <w:tblBorders>
          <w:top w:val="single" w:color="1D9E75" w:sz="2"/>
          <w:left w:val="single" w:color="1D9E75" w:sz="6"/>
          <w:bottom w:val="none" w:color="FFFFFF" w:sz="0"/>
          <w:right w:val="none" w:color="FFFFFF" w:sz="0"/>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1F5EE" w:val="clear"/>
            <w:tcMar>
              <w:top w:type="dxa" w:w="180"/>
              <w:left w:type="dxa" w:w="220"/>
              <w:bottom w:type="dxa" w:w="60"/>
              <w:right w:type="dxa" w:w="220"/>
            </w:tcMar>
          </w:tcPr>
          <w:p>
            <w:r>
              <w:rPr>
                <w:rFonts w:ascii="Arial" w:cs="Arial" w:eastAsia="Arial" w:hAnsi="Arial"/>
                <w:b/>
                <w:bCs/>
                <w:color w:val="1D9E75"/>
                <w:sz w:val="36"/>
                <w:szCs w:val="36"/>
              </w:rPr>
              <w:t xml:space="preserve">01  </w:t>
            </w:r>
            <w:r>
              <w:rPr>
                <w:rFonts w:ascii="Arial" w:cs="Arial" w:eastAsia="Arial" w:hAnsi="Arial"/>
                <w:b/>
                <w:bCs/>
                <w:color w:val="2C2C2A"/>
                <w:sz w:val="26"/>
                <w:szCs w:val="26"/>
              </w:rPr>
              <w:t xml:space="preserve">The cost argument</w:t>
            </w:r>
          </w:p>
        </w:tc>
      </w:tr>
      <w:tr>
        <w:tc>
          <w:tcPr>
            <w:tcBorders>
              <w:top w:val="none" w:color="FFFFFF" w:sz="0"/>
              <w:left w:val="none" w:color="FFFFFF" w:sz="0"/>
              <w:bottom w:val="none" w:color="FFFFFF" w:sz="0"/>
              <w:right w:val="none" w:color="FFFFFF" w:sz="0"/>
            </w:tcBorders>
            <w:shd w:fill="E1F5EE" w:val="clear"/>
            <w:tcMar>
              <w:top w:type="dxa" w:w="0"/>
              <w:left w:type="dxa" w:w="220"/>
              <w:bottom w:type="dxa" w:w="60"/>
              <w:right w:type="dxa" w:w="220"/>
            </w:tcMar>
          </w:tcPr>
          <w:p>
            <w:r>
              <w:rPr>
                <w:rFonts w:ascii="Arial" w:cs="Arial" w:eastAsia="Arial" w:hAnsi="Arial"/>
                <w:i w:val="false"/>
                <w:iCs w:val="false"/>
                <w:color w:val="2C2C2A"/>
                <w:sz w:val="21"/>
                <w:szCs w:val="21"/>
              </w:rPr>
              <w:t xml:space="preserve">Agencies charge between 15 and 25 percent of the candidate's annual salary. On most professional roles in Namibia that means one hire costs between NAD 30,000 and NAD 80,000 in agency fees alone — before the candidate's salary is even paid. Illumin360 charges a flat fee of NAD 1,725 per shortlist report, regardless of the role or the salary level. That saving on a single hire more than pays for a year's worth of recruitment requests on the platform.</w:t>
            </w:r>
          </w:p>
        </w:tc>
      </w:tr>
      <w:tr>
        <w:tc>
          <w:tcPr>
            <w:tcBorders>
              <w:top w:val="none" w:color="FFFFFF" w:sz="0"/>
              <w:left w:val="none" w:color="FFFFFF" w:sz="0"/>
              <w:bottom w:val="none" w:color="FFFFFF" w:sz="0"/>
              <w:right w:val="none" w:color="FFFFFF" w:sz="0"/>
            </w:tcBorders>
            <w:shd w:fill="E1F5EE" w:val="clear"/>
            <w:tcMar>
              <w:top w:type="dxa" w:w="20"/>
              <w:left w:type="dxa" w:w="280"/>
              <w:bottom w:type="dxa" w:w="20"/>
              <w:right w:type="dxa" w:w="220"/>
            </w:tcMar>
          </w:tcPr>
          <w:p>
            <w:r>
              <w:rPr>
                <w:rFonts w:ascii="Arial" w:cs="Arial" w:eastAsia="Arial" w:hAnsi="Arial"/>
                <w:b/>
                <w:bCs/>
                <w:color w:val="1D9E75"/>
                <w:sz w:val="20"/>
                <w:szCs w:val="20"/>
              </w:rPr>
              <w:t xml:space="preserve">•  </w:t>
            </w:r>
            <w:r>
              <w:rPr>
                <w:rFonts w:ascii="Arial" w:cs="Arial" w:eastAsia="Arial" w:hAnsi="Arial"/>
                <w:color w:val="2C2C2A"/>
                <w:sz w:val="20"/>
                <w:szCs w:val="20"/>
              </w:rPr>
              <w:t xml:space="preserve">Agency fee on a NAD 200,000 role: NAD 30,000 to NAD 50,000</w:t>
            </w:r>
          </w:p>
        </w:tc>
      </w:tr>
      <w:tr>
        <w:tc>
          <w:tcPr>
            <w:tcBorders>
              <w:top w:val="none" w:color="FFFFFF" w:sz="0"/>
              <w:left w:val="none" w:color="FFFFFF" w:sz="0"/>
              <w:bottom w:val="none" w:color="FFFFFF" w:sz="0"/>
              <w:right w:val="none" w:color="FFFFFF" w:sz="0"/>
            </w:tcBorders>
            <w:shd w:fill="E1F5EE" w:val="clear"/>
            <w:tcMar>
              <w:top w:type="dxa" w:w="20"/>
              <w:left w:type="dxa" w:w="280"/>
              <w:bottom w:type="dxa" w:w="20"/>
              <w:right w:type="dxa" w:w="220"/>
            </w:tcMar>
          </w:tcPr>
          <w:p>
            <w:r>
              <w:rPr>
                <w:rFonts w:ascii="Arial" w:cs="Arial" w:eastAsia="Arial" w:hAnsi="Arial"/>
                <w:b/>
                <w:bCs/>
                <w:color w:val="1D9E75"/>
                <w:sz w:val="20"/>
                <w:szCs w:val="20"/>
              </w:rPr>
              <w:t xml:space="preserve">•  </w:t>
            </w:r>
            <w:r>
              <w:rPr>
                <w:rFonts w:ascii="Arial" w:cs="Arial" w:eastAsia="Arial" w:hAnsi="Arial"/>
                <w:color w:val="2C2C2A"/>
                <w:sz w:val="20"/>
                <w:szCs w:val="20"/>
              </w:rPr>
              <w:t xml:space="preserve">Agency fee on a NAD 400,000 role: NAD 60,000 to NAD 100,000</w:t>
            </w:r>
          </w:p>
        </w:tc>
      </w:tr>
      <w:tr>
        <w:tc>
          <w:tcPr>
            <w:tcBorders>
              <w:top w:val="none" w:color="FFFFFF" w:sz="0"/>
              <w:left w:val="none" w:color="FFFFFF" w:sz="0"/>
              <w:bottom w:val="none" w:color="FFFFFF" w:sz="0"/>
              <w:right w:val="none" w:color="FFFFFF" w:sz="0"/>
            </w:tcBorders>
            <w:shd w:fill="E1F5EE" w:val="clear"/>
            <w:tcMar>
              <w:top w:type="dxa" w:w="20"/>
              <w:left w:type="dxa" w:w="280"/>
              <w:bottom w:type="dxa" w:w="20"/>
              <w:right w:type="dxa" w:w="220"/>
            </w:tcMar>
          </w:tcPr>
          <w:p>
            <w:r>
              <w:rPr>
                <w:rFonts w:ascii="Arial" w:cs="Arial" w:eastAsia="Arial" w:hAnsi="Arial"/>
                <w:b/>
                <w:bCs/>
                <w:color w:val="1D9E75"/>
                <w:sz w:val="20"/>
                <w:szCs w:val="20"/>
              </w:rPr>
              <w:t xml:space="preserve">•  </w:t>
            </w:r>
            <w:r>
              <w:rPr>
                <w:rFonts w:ascii="Arial" w:cs="Arial" w:eastAsia="Arial" w:hAnsi="Arial"/>
                <w:color w:val="2C2C2A"/>
                <w:sz w:val="20"/>
                <w:szCs w:val="20"/>
              </w:rPr>
              <w:t xml:space="preserve">Illumin360 shortlist report: NAD 1,725 — every time, for any role</w:t>
            </w:r>
          </w:p>
        </w:tc>
      </w:tr>
      <w:tr>
        <w:tc>
          <w:tcPr>
            <w:tcBorders>
              <w:top w:val="none" w:color="FFFFFF" w:sz="0"/>
              <w:left w:val="none" w:color="FFFFFF" w:sz="0"/>
              <w:bottom w:val="single" w:color="D3D1C7" w:sz="1"/>
              <w:right w:val="none" w:color="FFFFFF" w:sz="0"/>
            </w:tcBorders>
            <w:shd w:fill="E1F5EE" w:val="clear"/>
            <w:tcMar>
              <w:top w:type="dxa" w:w="20"/>
              <w:left w:type="dxa" w:w="280"/>
              <w:bottom w:type="dxa" w:w="180"/>
              <w:right w:type="dxa" w:w="220"/>
            </w:tcMar>
          </w:tcPr>
          <w:p>
            <w:r>
              <w:rPr>
                <w:rFonts w:ascii="Arial" w:cs="Arial" w:eastAsia="Arial" w:hAnsi="Arial"/>
                <w:b/>
                <w:bCs/>
                <w:color w:val="1D9E75"/>
                <w:sz w:val="20"/>
                <w:szCs w:val="20"/>
              </w:rPr>
              <w:t xml:space="preserve">•  </w:t>
            </w:r>
            <w:r>
              <w:rPr>
                <w:rFonts w:ascii="Arial" w:cs="Arial" w:eastAsia="Arial" w:hAnsi="Arial"/>
                <w:color w:val="2C2C2A"/>
                <w:sz w:val="20"/>
                <w:szCs w:val="20"/>
              </w:rPr>
              <w:t xml:space="preserve">Saving on a single mid-level hire: between NAD 28,000 and NAD 98,000</w:t>
            </w:r>
          </w:p>
        </w:tc>
      </w:tr>
    </w:tbl>
    <w:p>
      <w:pPr>
        <w:spacing w:after="0" w:before="0"/>
      </w:pPr>
      <w:r>
        <w:t xml:space="preserve"/>
      </w:r>
    </w:p>
    <w:tbl>
      <w:tblPr>
        <w:tblW w:type="dxa" w:w="9026"/>
        <w:tblBorders>
          <w:top w:val="single" w:color="185FA5" w:sz="2"/>
          <w:left w:val="single" w:color="185FA5" w:sz="6"/>
          <w:bottom w:val="none" w:color="FFFFFF" w:sz="0"/>
          <w:right w:val="none" w:color="FFFFFF" w:sz="0"/>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6F1FB" w:val="clear"/>
            <w:tcMar>
              <w:top w:type="dxa" w:w="180"/>
              <w:left w:type="dxa" w:w="220"/>
              <w:bottom w:type="dxa" w:w="60"/>
              <w:right w:type="dxa" w:w="220"/>
            </w:tcMar>
          </w:tcPr>
          <w:p>
            <w:r>
              <w:rPr>
                <w:rFonts w:ascii="Arial" w:cs="Arial" w:eastAsia="Arial" w:hAnsi="Arial"/>
                <w:b/>
                <w:bCs/>
                <w:color w:val="185FA5"/>
                <w:sz w:val="36"/>
                <w:szCs w:val="36"/>
              </w:rPr>
              <w:t xml:space="preserve">02  </w:t>
            </w:r>
            <w:r>
              <w:rPr>
                <w:rFonts w:ascii="Arial" w:cs="Arial" w:eastAsia="Arial" w:hAnsi="Arial"/>
                <w:b/>
                <w:bCs/>
                <w:color w:val="2C2C2A"/>
                <w:sz w:val="26"/>
                <w:szCs w:val="26"/>
              </w:rPr>
              <w:t xml:space="preserve">The speed argument</w:t>
            </w:r>
          </w:p>
        </w:tc>
      </w:tr>
      <w:tr>
        <w:tc>
          <w:tcPr>
            <w:tcBorders>
              <w:top w:val="none" w:color="FFFFFF" w:sz="0"/>
              <w:left w:val="none" w:color="FFFFFF" w:sz="0"/>
              <w:bottom w:val="none" w:color="FFFFFF" w:sz="0"/>
              <w:right w:val="none" w:color="FFFFFF" w:sz="0"/>
            </w:tcBorders>
            <w:shd w:fill="E6F1FB" w:val="clear"/>
            <w:tcMar>
              <w:top w:type="dxa" w:w="0"/>
              <w:left w:type="dxa" w:w="220"/>
              <w:bottom w:type="dxa" w:w="60"/>
              <w:right w:type="dxa" w:w="220"/>
            </w:tcMar>
          </w:tcPr>
          <w:p>
            <w:r>
              <w:rPr>
                <w:rFonts w:ascii="Arial" w:cs="Arial" w:eastAsia="Arial" w:hAnsi="Arial"/>
                <w:i w:val="false"/>
                <w:iCs w:val="false"/>
                <w:color w:val="2C2C2A"/>
                <w:sz w:val="21"/>
                <w:szCs w:val="21"/>
              </w:rPr>
              <w:t xml:space="preserve">A recruitment agency needs time to write a brief, search their database and network, reach out to candidates, screen responses, conduct preliminary interviews, and compile a shortlist. That process typically takes one to three weeks for a straightforward role and can take much longer for specialised positions. Every day your vacancy is open has a productivity cost. Illumin360 generates a ranked shortlist in hours — as soon as the request is submitted and the AI runs. For internal recruitment the shortlist is generated automatically the moment the portal closes.</w:t>
            </w:r>
          </w:p>
        </w:tc>
      </w:tr>
      <w:tr>
        <w:tc>
          <w:tcPr>
            <w:tcBorders>
              <w:top w:val="none" w:color="FFFFFF" w:sz="0"/>
              <w:left w:val="none" w:color="FFFFFF" w:sz="0"/>
              <w:bottom w:val="none" w:color="FFFFFF" w:sz="0"/>
              <w:right w:val="none" w:color="FFFFFF" w:sz="0"/>
            </w:tcBorders>
            <w:shd w:fill="E6F1FB" w:val="clear"/>
            <w:tcMar>
              <w:top w:type="dxa" w:w="20"/>
              <w:left w:type="dxa" w:w="280"/>
              <w:bottom w:type="dxa" w:w="20"/>
              <w:right w:type="dxa" w:w="220"/>
            </w:tcMar>
          </w:tcPr>
          <w:p>
            <w:r>
              <w:rPr>
                <w:rFonts w:ascii="Arial" w:cs="Arial" w:eastAsia="Arial" w:hAnsi="Arial"/>
                <w:b/>
                <w:bCs/>
                <w:color w:val="185FA5"/>
                <w:sz w:val="20"/>
                <w:szCs w:val="20"/>
              </w:rPr>
              <w:t xml:space="preserve">•  </w:t>
            </w:r>
            <w:r>
              <w:rPr>
                <w:rFonts w:ascii="Arial" w:cs="Arial" w:eastAsia="Arial" w:hAnsi="Arial"/>
                <w:color w:val="2C2C2A"/>
                <w:sz w:val="20"/>
                <w:szCs w:val="20"/>
              </w:rPr>
              <w:t xml:space="preserve">Agency search and shortlist: 1 to 3 weeks minimum for a standard role</w:t>
            </w:r>
          </w:p>
        </w:tc>
      </w:tr>
      <w:tr>
        <w:tc>
          <w:tcPr>
            <w:tcBorders>
              <w:top w:val="none" w:color="FFFFFF" w:sz="0"/>
              <w:left w:val="none" w:color="FFFFFF" w:sz="0"/>
              <w:bottom w:val="none" w:color="FFFFFF" w:sz="0"/>
              <w:right w:val="none" w:color="FFFFFF" w:sz="0"/>
            </w:tcBorders>
            <w:shd w:fill="E6F1FB" w:val="clear"/>
            <w:tcMar>
              <w:top w:type="dxa" w:w="20"/>
              <w:left w:type="dxa" w:w="280"/>
              <w:bottom w:type="dxa" w:w="20"/>
              <w:right w:type="dxa" w:w="220"/>
            </w:tcMar>
          </w:tcPr>
          <w:p>
            <w:r>
              <w:rPr>
                <w:rFonts w:ascii="Arial" w:cs="Arial" w:eastAsia="Arial" w:hAnsi="Arial"/>
                <w:b/>
                <w:bCs/>
                <w:color w:val="185FA5"/>
                <w:sz w:val="20"/>
                <w:szCs w:val="20"/>
              </w:rPr>
              <w:t xml:space="preserve">•  </w:t>
            </w:r>
            <w:r>
              <w:rPr>
                <w:rFonts w:ascii="Arial" w:cs="Arial" w:eastAsia="Arial" w:hAnsi="Arial"/>
                <w:color w:val="2C2C2A"/>
                <w:sz w:val="20"/>
                <w:szCs w:val="20"/>
              </w:rPr>
              <w:t xml:space="preserve">Illumin360 shortlist: hours after request submission</w:t>
            </w:r>
          </w:p>
        </w:tc>
      </w:tr>
      <w:tr>
        <w:tc>
          <w:tcPr>
            <w:tcBorders>
              <w:top w:val="none" w:color="FFFFFF" w:sz="0"/>
              <w:left w:val="none" w:color="FFFFFF" w:sz="0"/>
              <w:bottom w:val="none" w:color="FFFFFF" w:sz="0"/>
              <w:right w:val="none" w:color="FFFFFF" w:sz="0"/>
            </w:tcBorders>
            <w:shd w:fill="E6F1FB" w:val="clear"/>
            <w:tcMar>
              <w:top w:type="dxa" w:w="20"/>
              <w:left w:type="dxa" w:w="280"/>
              <w:bottom w:type="dxa" w:w="20"/>
              <w:right w:type="dxa" w:w="220"/>
            </w:tcMar>
          </w:tcPr>
          <w:p>
            <w:r>
              <w:rPr>
                <w:rFonts w:ascii="Arial" w:cs="Arial" w:eastAsia="Arial" w:hAnsi="Arial"/>
                <w:b/>
                <w:bCs/>
                <w:color w:val="185FA5"/>
                <w:sz w:val="20"/>
                <w:szCs w:val="20"/>
              </w:rPr>
              <w:t xml:space="preserve">•  </w:t>
            </w:r>
            <w:r>
              <w:rPr>
                <w:rFonts w:ascii="Arial" w:cs="Arial" w:eastAsia="Arial" w:hAnsi="Arial"/>
                <w:color w:val="2C2C2A"/>
                <w:sz w:val="20"/>
                <w:szCs w:val="20"/>
              </w:rPr>
              <w:t xml:space="preserve">Internal recruitment portal: shortlist generated automatically at closing time</w:t>
            </w:r>
          </w:p>
        </w:tc>
      </w:tr>
      <w:tr>
        <w:tc>
          <w:tcPr>
            <w:tcBorders>
              <w:top w:val="none" w:color="FFFFFF" w:sz="0"/>
              <w:left w:val="none" w:color="FFFFFF" w:sz="0"/>
              <w:bottom w:val="single" w:color="D3D1C7" w:sz="1"/>
              <w:right w:val="none" w:color="FFFFFF" w:sz="0"/>
            </w:tcBorders>
            <w:shd w:fill="E6F1FB" w:val="clear"/>
            <w:tcMar>
              <w:top w:type="dxa" w:w="20"/>
              <w:left w:type="dxa" w:w="280"/>
              <w:bottom w:type="dxa" w:w="180"/>
              <w:right w:type="dxa" w:w="220"/>
            </w:tcMar>
          </w:tcPr>
          <w:p>
            <w:r>
              <w:rPr>
                <w:rFonts w:ascii="Arial" w:cs="Arial" w:eastAsia="Arial" w:hAnsi="Arial"/>
                <w:b/>
                <w:bCs/>
                <w:color w:val="185FA5"/>
                <w:sz w:val="20"/>
                <w:szCs w:val="20"/>
              </w:rPr>
              <w:t xml:space="preserve">•  </w:t>
            </w:r>
            <w:r>
              <w:rPr>
                <w:rFonts w:ascii="Arial" w:cs="Arial" w:eastAsia="Arial" w:hAnsi="Arial"/>
                <w:color w:val="2C2C2A"/>
                <w:sz w:val="20"/>
                <w:szCs w:val="20"/>
              </w:rPr>
              <w:t xml:space="preserve">Faster shortlisting means fewer candidates lost to competing employers</w:t>
            </w:r>
          </w:p>
        </w:tc>
      </w:tr>
    </w:tbl>
    <w:p>
      <w:pPr>
        <w:spacing w:after="0" w:before="0"/>
      </w:pPr>
      <w:r>
        <w:t xml:space="preserve"/>
      </w:r>
    </w:p>
    <w:tbl>
      <w:tblPr>
        <w:tblW w:type="dxa" w:w="9026"/>
        <w:tblBorders>
          <w:top w:val="single" w:color="BA7517" w:sz="2"/>
          <w:left w:val="single" w:color="BA7517" w:sz="6"/>
          <w:bottom w:val="none" w:color="FFFFFF" w:sz="0"/>
          <w:right w:val="none" w:color="FFFFFF" w:sz="0"/>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FAEEDA" w:val="clear"/>
            <w:tcMar>
              <w:top w:type="dxa" w:w="180"/>
              <w:left w:type="dxa" w:w="220"/>
              <w:bottom w:type="dxa" w:w="60"/>
              <w:right w:type="dxa" w:w="220"/>
            </w:tcMar>
          </w:tcPr>
          <w:p>
            <w:r>
              <w:rPr>
                <w:rFonts w:ascii="Arial" w:cs="Arial" w:eastAsia="Arial" w:hAnsi="Arial"/>
                <w:b/>
                <w:bCs/>
                <w:color w:val="BA7517"/>
                <w:sz w:val="36"/>
                <w:szCs w:val="36"/>
              </w:rPr>
              <w:t xml:space="preserve">03  </w:t>
            </w:r>
            <w:r>
              <w:rPr>
                <w:rFonts w:ascii="Arial" w:cs="Arial" w:eastAsia="Arial" w:hAnsi="Arial"/>
                <w:b/>
                <w:bCs/>
                <w:color w:val="2C2C2A"/>
                <w:sz w:val="26"/>
                <w:szCs w:val="26"/>
              </w:rPr>
              <w:t xml:space="preserve">The transparency argument</w:t>
            </w:r>
          </w:p>
        </w:tc>
      </w:tr>
      <w:tr>
        <w:tc>
          <w:tcPr>
            <w:tcBorders>
              <w:top w:val="none" w:color="FFFFFF" w:sz="0"/>
              <w:left w:val="none" w:color="FFFFFF" w:sz="0"/>
              <w:bottom w:val="none" w:color="FFFFFF" w:sz="0"/>
              <w:right w:val="none" w:color="FFFFFF" w:sz="0"/>
            </w:tcBorders>
            <w:shd w:fill="FAEEDA" w:val="clear"/>
            <w:tcMar>
              <w:top w:type="dxa" w:w="0"/>
              <w:left w:type="dxa" w:w="220"/>
              <w:bottom w:type="dxa" w:w="60"/>
              <w:right w:type="dxa" w:w="220"/>
            </w:tcMar>
          </w:tcPr>
          <w:p>
            <w:r>
              <w:rPr>
                <w:rFonts w:ascii="Arial" w:cs="Arial" w:eastAsia="Arial" w:hAnsi="Arial"/>
                <w:i w:val="false"/>
                <w:iCs w:val="false"/>
                <w:color w:val="2C2C2A"/>
                <w:sz w:val="21"/>
                <w:szCs w:val="21"/>
              </w:rPr>
              <w:t xml:space="preserve">When an agency presents you with five candidates you have no way of knowing who else applied, how they were scored, or why those five were chosen over others. The agency's selection is a black box. Illumin360 shows you every candidate's match score, a breakdown of how they scored on each factor — qualifications, skills, experience, location, availability — and a written candidate analysis explaining exactly why each person ranked where they did. If you want to know why candidate three ranked above candidate four, the document tells you. That transparency makes shortlisting defensible, auditable, and fair.</w:t>
            </w:r>
          </w:p>
        </w:tc>
      </w:tr>
      <w:tr>
        <w:tc>
          <w:tcPr>
            <w:tcBorders>
              <w:top w:val="none" w:color="FFFFFF" w:sz="0"/>
              <w:left w:val="none" w:color="FFFFFF" w:sz="0"/>
              <w:bottom w:val="none" w:color="FFFFFF" w:sz="0"/>
              <w:right w:val="none" w:color="FFFFFF" w:sz="0"/>
            </w:tcBorders>
            <w:shd w:fill="FAEEDA" w:val="clear"/>
            <w:tcMar>
              <w:top w:type="dxa" w:w="20"/>
              <w:left w:type="dxa" w:w="280"/>
              <w:bottom w:type="dxa" w:w="20"/>
              <w:right w:type="dxa" w:w="220"/>
            </w:tcMar>
          </w:tcPr>
          <w:p>
            <w:r>
              <w:rPr>
                <w:rFonts w:ascii="Arial" w:cs="Arial" w:eastAsia="Arial" w:hAnsi="Arial"/>
                <w:b/>
                <w:bCs/>
                <w:color w:val="BA7517"/>
                <w:sz w:val="20"/>
                <w:szCs w:val="20"/>
              </w:rPr>
              <w:t xml:space="preserve">•  </w:t>
            </w:r>
            <w:r>
              <w:rPr>
                <w:rFonts w:ascii="Arial" w:cs="Arial" w:eastAsia="Arial" w:hAnsi="Arial"/>
                <w:color w:val="2C2C2A"/>
                <w:sz w:val="20"/>
                <w:szCs w:val="20"/>
              </w:rPr>
              <w:t xml:space="preserve">Every shortlisted candidate has a match score from 0 to 100</w:t>
            </w:r>
          </w:p>
        </w:tc>
      </w:tr>
      <w:tr>
        <w:tc>
          <w:tcPr>
            <w:tcBorders>
              <w:top w:val="none" w:color="FFFFFF" w:sz="0"/>
              <w:left w:val="none" w:color="FFFFFF" w:sz="0"/>
              <w:bottom w:val="none" w:color="FFFFFF" w:sz="0"/>
              <w:right w:val="none" w:color="FFFFFF" w:sz="0"/>
            </w:tcBorders>
            <w:shd w:fill="FAEEDA" w:val="clear"/>
            <w:tcMar>
              <w:top w:type="dxa" w:w="20"/>
              <w:left w:type="dxa" w:w="280"/>
              <w:bottom w:type="dxa" w:w="20"/>
              <w:right w:type="dxa" w:w="220"/>
            </w:tcMar>
          </w:tcPr>
          <w:p>
            <w:r>
              <w:rPr>
                <w:rFonts w:ascii="Arial" w:cs="Arial" w:eastAsia="Arial" w:hAnsi="Arial"/>
                <w:b/>
                <w:bCs/>
                <w:color w:val="BA7517"/>
                <w:sz w:val="20"/>
                <w:szCs w:val="20"/>
              </w:rPr>
              <w:t xml:space="preserve">•  </w:t>
            </w:r>
            <w:r>
              <w:rPr>
                <w:rFonts w:ascii="Arial" w:cs="Arial" w:eastAsia="Arial" w:hAnsi="Arial"/>
                <w:color w:val="2C2C2A"/>
                <w:sz w:val="20"/>
                <w:szCs w:val="20"/>
              </w:rPr>
              <w:t xml:space="preserve">Sub-scores visible for each factor: qualification, skills, experience, location, language</w:t>
            </w:r>
          </w:p>
        </w:tc>
      </w:tr>
      <w:tr>
        <w:tc>
          <w:tcPr>
            <w:tcBorders>
              <w:top w:val="none" w:color="FFFFFF" w:sz="0"/>
              <w:left w:val="none" w:color="FFFFFF" w:sz="0"/>
              <w:bottom w:val="none" w:color="FFFFFF" w:sz="0"/>
              <w:right w:val="none" w:color="FFFFFF" w:sz="0"/>
            </w:tcBorders>
            <w:shd w:fill="FAEEDA" w:val="clear"/>
            <w:tcMar>
              <w:top w:type="dxa" w:w="20"/>
              <w:left w:type="dxa" w:w="280"/>
              <w:bottom w:type="dxa" w:w="20"/>
              <w:right w:type="dxa" w:w="220"/>
            </w:tcMar>
          </w:tcPr>
          <w:p>
            <w:r>
              <w:rPr>
                <w:rFonts w:ascii="Arial" w:cs="Arial" w:eastAsia="Arial" w:hAnsi="Arial"/>
                <w:b/>
                <w:bCs/>
                <w:color w:val="BA7517"/>
                <w:sz w:val="20"/>
                <w:szCs w:val="20"/>
              </w:rPr>
              <w:t xml:space="preserve">•  </w:t>
            </w:r>
            <w:r>
              <w:rPr>
                <w:rFonts w:ascii="Arial" w:cs="Arial" w:eastAsia="Arial" w:hAnsi="Arial"/>
                <w:color w:val="2C2C2A"/>
                <w:sz w:val="20"/>
                <w:szCs w:val="20"/>
              </w:rPr>
              <w:t xml:space="preserve">AI-written justification narrative for each shortlisted candidate</w:t>
            </w:r>
          </w:p>
        </w:tc>
      </w:tr>
      <w:tr>
        <w:tc>
          <w:tcPr>
            <w:tcBorders>
              <w:top w:val="none" w:color="FFFFFF" w:sz="0"/>
              <w:left w:val="none" w:color="FFFFFF" w:sz="0"/>
              <w:bottom w:val="single" w:color="D3D1C7" w:sz="1"/>
              <w:right w:val="none" w:color="FFFFFF" w:sz="0"/>
            </w:tcBorders>
            <w:shd w:fill="FAEEDA" w:val="clear"/>
            <w:tcMar>
              <w:top w:type="dxa" w:w="20"/>
              <w:left w:type="dxa" w:w="280"/>
              <w:bottom w:type="dxa" w:w="180"/>
              <w:right w:type="dxa" w:w="220"/>
            </w:tcMar>
          </w:tcPr>
          <w:p>
            <w:r>
              <w:rPr>
                <w:rFonts w:ascii="Arial" w:cs="Arial" w:eastAsia="Arial" w:hAnsi="Arial"/>
                <w:b/>
                <w:bCs/>
                <w:color w:val="BA7517"/>
                <w:sz w:val="20"/>
                <w:szCs w:val="20"/>
              </w:rPr>
              <w:t xml:space="preserve">•  </w:t>
            </w:r>
            <w:r>
              <w:rPr>
                <w:rFonts w:ascii="Arial" w:cs="Arial" w:eastAsia="Arial" w:hAnsi="Arial"/>
                <w:color w:val="2C2C2A"/>
                <w:sz w:val="20"/>
                <w:szCs w:val="20"/>
              </w:rPr>
              <w:t xml:space="preserve">Full methodology disclosure in every report — legally defensible</w:t>
            </w:r>
          </w:p>
        </w:tc>
      </w:tr>
    </w:tbl>
    <w:p>
      <w:pPr>
        <w:spacing w:after="0" w:before="0"/>
      </w:pPr>
      <w:r>
        <w:t xml:space="preserve"/>
      </w:r>
    </w:p>
    <w:tbl>
      <w:tblPr>
        <w:tblW w:type="dxa" w:w="9026"/>
        <w:tblBorders>
          <w:top w:val="single" w:color="1D9E75" w:sz="2"/>
          <w:left w:val="single" w:color="1D9E75" w:sz="6"/>
          <w:bottom w:val="none" w:color="FFFFFF" w:sz="0"/>
          <w:right w:val="none" w:color="FFFFFF" w:sz="0"/>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1F5EE" w:val="clear"/>
            <w:tcMar>
              <w:top w:type="dxa" w:w="180"/>
              <w:left w:type="dxa" w:w="220"/>
              <w:bottom w:type="dxa" w:w="60"/>
              <w:right w:type="dxa" w:w="220"/>
            </w:tcMar>
          </w:tcPr>
          <w:p>
            <w:r>
              <w:rPr>
                <w:rFonts w:ascii="Arial" w:cs="Arial" w:eastAsia="Arial" w:hAnsi="Arial"/>
                <w:b/>
                <w:bCs/>
                <w:color w:val="1D9E75"/>
                <w:sz w:val="36"/>
                <w:szCs w:val="36"/>
              </w:rPr>
              <w:t xml:space="preserve">04  </w:t>
            </w:r>
            <w:r>
              <w:rPr>
                <w:rFonts w:ascii="Arial" w:cs="Arial" w:eastAsia="Arial" w:hAnsi="Arial"/>
                <w:b/>
                <w:bCs/>
                <w:color w:val="2C2C2A"/>
                <w:sz w:val="26"/>
                <w:szCs w:val="26"/>
              </w:rPr>
              <w:t xml:space="preserve">The internal recruitment argument</w:t>
            </w:r>
          </w:p>
        </w:tc>
      </w:tr>
      <w:tr>
        <w:tc>
          <w:tcPr>
            <w:tcBorders>
              <w:top w:val="none" w:color="FFFFFF" w:sz="0"/>
              <w:left w:val="none" w:color="FFFFFF" w:sz="0"/>
              <w:bottom w:val="none" w:color="FFFFFF" w:sz="0"/>
              <w:right w:val="none" w:color="FFFFFF" w:sz="0"/>
            </w:tcBorders>
            <w:shd w:fill="E1F5EE" w:val="clear"/>
            <w:tcMar>
              <w:top w:type="dxa" w:w="0"/>
              <w:left w:type="dxa" w:w="220"/>
              <w:bottom w:type="dxa" w:w="60"/>
              <w:right w:type="dxa" w:w="220"/>
            </w:tcMar>
          </w:tcPr>
          <w:p>
            <w:r>
              <w:rPr>
                <w:rFonts w:ascii="Arial" w:cs="Arial" w:eastAsia="Arial" w:hAnsi="Arial"/>
                <w:i w:val="false"/>
                <w:iCs w:val="false"/>
                <w:color w:val="2C2C2A"/>
                <w:sz w:val="21"/>
                <w:szCs w:val="21"/>
              </w:rPr>
              <w:t xml:space="preserve">Recruitment agencies do not run internal vacancy processes. If you have a vacancy you want to open to your own staff first, you typically manage this manually — a notice on the intranet, emails to managers, CVs collected in a shared drive. Illumin360 generates a private branded portal with a unique link. You share the link internally. Staff apply directly, upload their CVs, and the AI ranks every internal applicant against your vacancy requirements. At your set closing time the portal locks and the shortlist is ready. The same AI quality — applied to your own people.</w:t>
            </w:r>
          </w:p>
        </w:tc>
      </w:tr>
      <w:tr>
        <w:tc>
          <w:tcPr>
            <w:tcBorders>
              <w:top w:val="none" w:color="FFFFFF" w:sz="0"/>
              <w:left w:val="none" w:color="FFFFFF" w:sz="0"/>
              <w:bottom w:val="none" w:color="FFFFFF" w:sz="0"/>
              <w:right w:val="none" w:color="FFFFFF" w:sz="0"/>
            </w:tcBorders>
            <w:shd w:fill="E1F5EE" w:val="clear"/>
            <w:tcMar>
              <w:top w:type="dxa" w:w="20"/>
              <w:left w:type="dxa" w:w="280"/>
              <w:bottom w:type="dxa" w:w="20"/>
              <w:right w:type="dxa" w:w="220"/>
            </w:tcMar>
          </w:tcPr>
          <w:p>
            <w:r>
              <w:rPr>
                <w:rFonts w:ascii="Arial" w:cs="Arial" w:eastAsia="Arial" w:hAnsi="Arial"/>
                <w:b/>
                <w:bCs/>
                <w:color w:val="1D9E75"/>
                <w:sz w:val="20"/>
                <w:szCs w:val="20"/>
              </w:rPr>
              <w:t xml:space="preserve">•  </w:t>
            </w:r>
            <w:r>
              <w:rPr>
                <w:rFonts w:ascii="Arial" w:cs="Arial" w:eastAsia="Arial" w:hAnsi="Arial"/>
                <w:color w:val="2C2C2A"/>
                <w:sz w:val="20"/>
                <w:szCs w:val="20"/>
              </w:rPr>
              <w:t xml:space="preserve">Private branded portal with unique URL — share via internal email</w:t>
            </w:r>
          </w:p>
        </w:tc>
      </w:tr>
      <w:tr>
        <w:tc>
          <w:tcPr>
            <w:tcBorders>
              <w:top w:val="none" w:color="FFFFFF" w:sz="0"/>
              <w:left w:val="none" w:color="FFFFFF" w:sz="0"/>
              <w:bottom w:val="none" w:color="FFFFFF" w:sz="0"/>
              <w:right w:val="none" w:color="FFFFFF" w:sz="0"/>
            </w:tcBorders>
            <w:shd w:fill="E1F5EE" w:val="clear"/>
            <w:tcMar>
              <w:top w:type="dxa" w:w="20"/>
              <w:left w:type="dxa" w:w="280"/>
              <w:bottom w:type="dxa" w:w="20"/>
              <w:right w:type="dxa" w:w="220"/>
            </w:tcMar>
          </w:tcPr>
          <w:p>
            <w:r>
              <w:rPr>
                <w:rFonts w:ascii="Arial" w:cs="Arial" w:eastAsia="Arial" w:hAnsi="Arial"/>
                <w:b/>
                <w:bCs/>
                <w:color w:val="1D9E75"/>
                <w:sz w:val="20"/>
                <w:szCs w:val="20"/>
              </w:rPr>
              <w:t xml:space="preserve">•  </w:t>
            </w:r>
            <w:r>
              <w:rPr>
                <w:rFonts w:ascii="Arial" w:cs="Arial" w:eastAsia="Arial" w:hAnsi="Arial"/>
                <w:color w:val="2C2C2A"/>
                <w:sz w:val="20"/>
                <w:szCs w:val="20"/>
              </w:rPr>
              <w:t xml:space="preserve">Staff apply directly — no Illumin360 account required</w:t>
            </w:r>
          </w:p>
        </w:tc>
      </w:tr>
      <w:tr>
        <w:tc>
          <w:tcPr>
            <w:tcBorders>
              <w:top w:val="none" w:color="FFFFFF" w:sz="0"/>
              <w:left w:val="none" w:color="FFFFFF" w:sz="0"/>
              <w:bottom w:val="none" w:color="FFFFFF" w:sz="0"/>
              <w:right w:val="none" w:color="FFFFFF" w:sz="0"/>
            </w:tcBorders>
            <w:shd w:fill="E1F5EE" w:val="clear"/>
            <w:tcMar>
              <w:top w:type="dxa" w:w="20"/>
              <w:left w:type="dxa" w:w="280"/>
              <w:bottom w:type="dxa" w:w="20"/>
              <w:right w:type="dxa" w:w="220"/>
            </w:tcMar>
          </w:tcPr>
          <w:p>
            <w:r>
              <w:rPr>
                <w:rFonts w:ascii="Arial" w:cs="Arial" w:eastAsia="Arial" w:hAnsi="Arial"/>
                <w:b/>
                <w:bCs/>
                <w:color w:val="1D9E75"/>
                <w:sz w:val="20"/>
                <w:szCs w:val="20"/>
              </w:rPr>
              <w:t xml:space="preserve">•  </w:t>
            </w:r>
            <w:r>
              <w:rPr>
                <w:rFonts w:ascii="Arial" w:cs="Arial" w:eastAsia="Arial" w:hAnsi="Arial"/>
                <w:color w:val="2C2C2A"/>
                <w:sz w:val="20"/>
                <w:szCs w:val="20"/>
              </w:rPr>
              <w:t xml:space="preserve">Live tracker shows CVs coming in during the collection period</w:t>
            </w:r>
          </w:p>
        </w:tc>
      </w:tr>
      <w:tr>
        <w:tc>
          <w:tcPr>
            <w:tcBorders>
              <w:top w:val="none" w:color="FFFFFF" w:sz="0"/>
              <w:left w:val="none" w:color="FFFFFF" w:sz="0"/>
              <w:bottom w:val="none" w:color="FFFFFF" w:sz="0"/>
              <w:right w:val="none" w:color="FFFFFF" w:sz="0"/>
            </w:tcBorders>
            <w:shd w:fill="E1F5EE" w:val="clear"/>
            <w:tcMar>
              <w:top w:type="dxa" w:w="20"/>
              <w:left w:type="dxa" w:w="280"/>
              <w:bottom w:type="dxa" w:w="20"/>
              <w:right w:type="dxa" w:w="220"/>
            </w:tcMar>
          </w:tcPr>
          <w:p>
            <w:r>
              <w:rPr>
                <w:rFonts w:ascii="Arial" w:cs="Arial" w:eastAsia="Arial" w:hAnsi="Arial"/>
                <w:b/>
                <w:bCs/>
                <w:color w:val="1D9E75"/>
                <w:sz w:val="20"/>
                <w:szCs w:val="20"/>
              </w:rPr>
              <w:t xml:space="preserve">•  </w:t>
            </w:r>
            <w:r>
              <w:rPr>
                <w:rFonts w:ascii="Arial" w:cs="Arial" w:eastAsia="Arial" w:hAnsi="Arial"/>
                <w:color w:val="2C2C2A"/>
                <w:sz w:val="20"/>
                <w:szCs w:val="20"/>
              </w:rPr>
              <w:t xml:space="preserve">AI shortlist generated automatically at your set closing date and time</w:t>
            </w:r>
          </w:p>
        </w:tc>
      </w:tr>
      <w:tr>
        <w:tc>
          <w:tcPr>
            <w:tcBorders>
              <w:top w:val="none" w:color="FFFFFF" w:sz="0"/>
              <w:left w:val="none" w:color="FFFFFF" w:sz="0"/>
              <w:bottom w:val="single" w:color="D3D1C7" w:sz="1"/>
              <w:right w:val="none" w:color="FFFFFF" w:sz="0"/>
            </w:tcBorders>
            <w:shd w:fill="E1F5EE" w:val="clear"/>
            <w:tcMar>
              <w:top w:type="dxa" w:w="20"/>
              <w:left w:type="dxa" w:w="280"/>
              <w:bottom w:type="dxa" w:w="180"/>
              <w:right w:type="dxa" w:w="220"/>
            </w:tcMar>
          </w:tcPr>
          <w:p>
            <w:r>
              <w:rPr>
                <w:rFonts w:ascii="Arial" w:cs="Arial" w:eastAsia="Arial" w:hAnsi="Arial"/>
                <w:b/>
                <w:bCs/>
                <w:color w:val="1D9E75"/>
                <w:sz w:val="20"/>
                <w:szCs w:val="20"/>
              </w:rPr>
              <w:t xml:space="preserve">•  </w:t>
            </w:r>
            <w:r>
              <w:rPr>
                <w:rFonts w:ascii="Arial" w:cs="Arial" w:eastAsia="Arial" w:hAnsi="Arial"/>
                <w:color w:val="2C2C2A"/>
                <w:sz w:val="20"/>
                <w:szCs w:val="20"/>
              </w:rPr>
              <w:t xml:space="preserve">Billed as a single consolidated payment — NAD 2,300 incl. VAT</w:t>
            </w:r>
          </w:p>
        </w:tc>
      </w:tr>
    </w:tbl>
    <w:p>
      <w:pPr>
        <w:spacing w:after="0" w:before="0"/>
      </w:pPr>
      <w:r>
        <w:t xml:space="preserve"/>
      </w:r>
    </w:p>
    <w:tbl>
      <w:tblPr>
        <w:tblW w:type="dxa" w:w="9026"/>
        <w:tblBorders>
          <w:top w:val="single" w:color="185FA5" w:sz="2"/>
          <w:left w:val="single" w:color="185FA5" w:sz="6"/>
          <w:bottom w:val="none" w:color="FFFFFF" w:sz="0"/>
          <w:right w:val="none" w:color="FFFFFF" w:sz="0"/>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6F1FB" w:val="clear"/>
            <w:tcMar>
              <w:top w:type="dxa" w:w="180"/>
              <w:left w:type="dxa" w:w="220"/>
              <w:bottom w:type="dxa" w:w="60"/>
              <w:right w:type="dxa" w:w="220"/>
            </w:tcMar>
          </w:tcPr>
          <w:p>
            <w:r>
              <w:rPr>
                <w:rFonts w:ascii="Arial" w:cs="Arial" w:eastAsia="Arial" w:hAnsi="Arial"/>
                <w:b/>
                <w:bCs/>
                <w:color w:val="185FA5"/>
                <w:sz w:val="36"/>
                <w:szCs w:val="36"/>
              </w:rPr>
              <w:t xml:space="preserve">05  </w:t>
            </w:r>
            <w:r>
              <w:rPr>
                <w:rFonts w:ascii="Arial" w:cs="Arial" w:eastAsia="Arial" w:hAnsi="Arial"/>
                <w:b/>
                <w:bCs/>
                <w:color w:val="2C2C2A"/>
                <w:sz w:val="26"/>
                <w:szCs w:val="26"/>
              </w:rPr>
              <w:t xml:space="preserve">The graduate pipeline argument</w:t>
            </w:r>
          </w:p>
        </w:tc>
      </w:tr>
      <w:tr>
        <w:tc>
          <w:tcPr>
            <w:tcBorders>
              <w:top w:val="none" w:color="FFFFFF" w:sz="0"/>
              <w:left w:val="none" w:color="FFFFFF" w:sz="0"/>
              <w:bottom w:val="none" w:color="FFFFFF" w:sz="0"/>
              <w:right w:val="none" w:color="FFFFFF" w:sz="0"/>
            </w:tcBorders>
            <w:shd w:fill="E6F1FB" w:val="clear"/>
            <w:tcMar>
              <w:top w:type="dxa" w:w="0"/>
              <w:left w:type="dxa" w:w="220"/>
              <w:bottom w:type="dxa" w:w="60"/>
              <w:right w:type="dxa" w:w="220"/>
            </w:tcMar>
          </w:tcPr>
          <w:p>
            <w:r>
              <w:rPr>
                <w:rFonts w:ascii="Arial" w:cs="Arial" w:eastAsia="Arial" w:hAnsi="Arial"/>
                <w:i w:val="false"/>
                <w:iCs w:val="false"/>
                <w:color w:val="2C2C2A"/>
                <w:sz w:val="21"/>
                <w:szCs w:val="21"/>
              </w:rPr>
              <w:t xml:space="preserve">Recruitment agencies focus on candidates who are already in the workforce. They rarely engage with students or upcoming graduates. Illumin360 has a university partnership programme where final year students at UNAM, NUST, IUM, and other Namibian institutions can create profiles for free as part of our CSR commitment to youth employment. Employers running graduate trainee programme searches can find these candidates before they graduate — before they are on anyone else's radar and before the competition gets to them.</w:t>
            </w:r>
          </w:p>
        </w:tc>
      </w:tr>
      <w:tr>
        <w:tc>
          <w:tcPr>
            <w:tcBorders>
              <w:top w:val="none" w:color="FFFFFF" w:sz="0"/>
              <w:left w:val="none" w:color="FFFFFF" w:sz="0"/>
              <w:bottom w:val="none" w:color="FFFFFF" w:sz="0"/>
              <w:right w:val="none" w:color="FFFFFF" w:sz="0"/>
            </w:tcBorders>
            <w:shd w:fill="E6F1FB" w:val="clear"/>
            <w:tcMar>
              <w:top w:type="dxa" w:w="20"/>
              <w:left w:type="dxa" w:w="280"/>
              <w:bottom w:type="dxa" w:w="20"/>
              <w:right w:type="dxa" w:w="220"/>
            </w:tcMar>
          </w:tcPr>
          <w:p>
            <w:r>
              <w:rPr>
                <w:rFonts w:ascii="Arial" w:cs="Arial" w:eastAsia="Arial" w:hAnsi="Arial"/>
                <w:b/>
                <w:bCs/>
                <w:color w:val="185FA5"/>
                <w:sz w:val="20"/>
                <w:szCs w:val="20"/>
              </w:rPr>
              <w:t xml:space="preserve">•  </w:t>
            </w:r>
            <w:r>
              <w:rPr>
                <w:rFonts w:ascii="Arial" w:cs="Arial" w:eastAsia="Arial" w:hAnsi="Arial"/>
                <w:color w:val="2C2C2A"/>
                <w:sz w:val="20"/>
                <w:szCs w:val="20"/>
              </w:rPr>
              <w:t xml:space="preserve">Students at UNAM, NUST, IUM, and other institutions registered on the platform</w:t>
            </w:r>
          </w:p>
        </w:tc>
      </w:tr>
      <w:tr>
        <w:tc>
          <w:tcPr>
            <w:tcBorders>
              <w:top w:val="none" w:color="FFFFFF" w:sz="0"/>
              <w:left w:val="none" w:color="FFFFFF" w:sz="0"/>
              <w:bottom w:val="none" w:color="FFFFFF" w:sz="0"/>
              <w:right w:val="none" w:color="FFFFFF" w:sz="0"/>
            </w:tcBorders>
            <w:shd w:fill="E6F1FB" w:val="clear"/>
            <w:tcMar>
              <w:top w:type="dxa" w:w="20"/>
              <w:left w:type="dxa" w:w="280"/>
              <w:bottom w:type="dxa" w:w="20"/>
              <w:right w:type="dxa" w:w="220"/>
            </w:tcMar>
          </w:tcPr>
          <w:p>
            <w:r>
              <w:rPr>
                <w:rFonts w:ascii="Arial" w:cs="Arial" w:eastAsia="Arial" w:hAnsi="Arial"/>
                <w:b/>
                <w:bCs/>
                <w:color w:val="185FA5"/>
                <w:sz w:val="20"/>
                <w:szCs w:val="20"/>
              </w:rPr>
              <w:t xml:space="preserve">•  </w:t>
            </w:r>
            <w:r>
              <w:rPr>
                <w:rFonts w:ascii="Arial" w:cs="Arial" w:eastAsia="Arial" w:hAnsi="Arial"/>
                <w:color w:val="2C2C2A"/>
                <w:sz w:val="20"/>
                <w:szCs w:val="20"/>
              </w:rPr>
              <w:t xml:space="preserve">Student profiles include completed modules, internship experience, and academic achievements</w:t>
            </w:r>
          </w:p>
        </w:tc>
      </w:tr>
      <w:tr>
        <w:tc>
          <w:tcPr>
            <w:tcBorders>
              <w:top w:val="none" w:color="FFFFFF" w:sz="0"/>
              <w:left w:val="none" w:color="FFFFFF" w:sz="0"/>
              <w:bottom w:val="none" w:color="FFFFFF" w:sz="0"/>
              <w:right w:val="none" w:color="FFFFFF" w:sz="0"/>
            </w:tcBorders>
            <w:shd w:fill="E6F1FB" w:val="clear"/>
            <w:tcMar>
              <w:top w:type="dxa" w:w="20"/>
              <w:left w:type="dxa" w:w="280"/>
              <w:bottom w:type="dxa" w:w="20"/>
              <w:right w:type="dxa" w:w="220"/>
            </w:tcMar>
          </w:tcPr>
          <w:p>
            <w:r>
              <w:rPr>
                <w:rFonts w:ascii="Arial" w:cs="Arial" w:eastAsia="Arial" w:hAnsi="Arial"/>
                <w:b/>
                <w:bCs/>
                <w:color w:val="185FA5"/>
                <w:sz w:val="20"/>
                <w:szCs w:val="20"/>
              </w:rPr>
              <w:t xml:space="preserve">•  </w:t>
            </w:r>
            <w:r>
              <w:rPr>
                <w:rFonts w:ascii="Arial" w:cs="Arial" w:eastAsia="Arial" w:hAnsi="Arial"/>
                <w:color w:val="2C2C2A"/>
                <w:sz w:val="20"/>
                <w:szCs w:val="20"/>
              </w:rPr>
              <w:t xml:space="preserve">Employers can search for graduates available from a specific future date</w:t>
            </w:r>
          </w:p>
        </w:tc>
      </w:tr>
      <w:tr>
        <w:tc>
          <w:tcPr>
            <w:tcBorders>
              <w:top w:val="none" w:color="FFFFFF" w:sz="0"/>
              <w:left w:val="none" w:color="FFFFFF" w:sz="0"/>
              <w:bottom w:val="none" w:color="FFFFFF" w:sz="0"/>
              <w:right w:val="none" w:color="FFFFFF" w:sz="0"/>
            </w:tcBorders>
            <w:shd w:fill="E6F1FB" w:val="clear"/>
            <w:tcMar>
              <w:top w:type="dxa" w:w="20"/>
              <w:left w:type="dxa" w:w="280"/>
              <w:bottom w:type="dxa" w:w="20"/>
              <w:right w:type="dxa" w:w="220"/>
            </w:tcMar>
          </w:tcPr>
          <w:p>
            <w:r>
              <w:rPr>
                <w:rFonts w:ascii="Arial" w:cs="Arial" w:eastAsia="Arial" w:hAnsi="Arial"/>
                <w:b/>
                <w:bCs/>
                <w:color w:val="185FA5"/>
                <w:sz w:val="20"/>
                <w:szCs w:val="20"/>
              </w:rPr>
              <w:t xml:space="preserve">•  </w:t>
            </w:r>
            <w:r>
              <w:rPr>
                <w:rFonts w:ascii="Arial" w:cs="Arial" w:eastAsia="Arial" w:hAnsi="Arial"/>
                <w:color w:val="2C2C2A"/>
                <w:sz w:val="20"/>
                <w:szCs w:val="20"/>
              </w:rPr>
              <w:t xml:space="preserve">Graduate Trainee Programme search type puts students as the primary candidate pool</w:t>
            </w:r>
          </w:p>
        </w:tc>
      </w:tr>
      <w:tr>
        <w:tc>
          <w:tcPr>
            <w:tcBorders>
              <w:top w:val="none" w:color="FFFFFF" w:sz="0"/>
              <w:left w:val="none" w:color="FFFFFF" w:sz="0"/>
              <w:bottom w:val="single" w:color="D3D1C7" w:sz="1"/>
              <w:right w:val="none" w:color="FFFFFF" w:sz="0"/>
            </w:tcBorders>
            <w:shd w:fill="E6F1FB" w:val="clear"/>
            <w:tcMar>
              <w:top w:type="dxa" w:w="20"/>
              <w:left w:type="dxa" w:w="280"/>
              <w:bottom w:type="dxa" w:w="180"/>
              <w:right w:type="dxa" w:w="220"/>
            </w:tcMar>
          </w:tcPr>
          <w:p>
            <w:r>
              <w:rPr>
                <w:rFonts w:ascii="Arial" w:cs="Arial" w:eastAsia="Arial" w:hAnsi="Arial"/>
                <w:b/>
                <w:bCs/>
                <w:color w:val="185FA5"/>
                <w:sz w:val="20"/>
                <w:szCs w:val="20"/>
              </w:rPr>
              <w:t xml:space="preserve">•  </w:t>
            </w:r>
            <w:r>
              <w:rPr>
                <w:rFonts w:ascii="Arial" w:cs="Arial" w:eastAsia="Arial" w:hAnsi="Arial"/>
                <w:color w:val="2C2C2A"/>
                <w:sz w:val="20"/>
                <w:szCs w:val="20"/>
              </w:rPr>
              <w:t xml:space="preserve">Get to the best graduates before any other employer does</w:t>
            </w:r>
          </w:p>
        </w:tc>
      </w:tr>
    </w:tbl>
    <w:p>
      <w:pPr>
        <w:spacing w:after="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single" w:color="BA7517" w:sz="8"/>
              <w:left w:val="single" w:color="BA7517" w:sz="8"/>
              <w:bottom w:val="none" w:color="FFFFFF" w:sz="0"/>
              <w:right w:val="none" w:color="FFFFFF" w:sz="0"/>
            </w:tcBorders>
            <w:shd w:fill="FAEEDA" w:val="clear"/>
            <w:tcMar>
              <w:top w:type="dxa" w:w="180"/>
              <w:left w:type="dxa" w:w="220"/>
              <w:bottom w:type="dxa" w:w="180"/>
              <w:right w:type="dxa" w:w="220"/>
            </w:tcMar>
          </w:tcPr>
          <w:p>
            <w:pPr>
              <w:spacing w:after="80" w:before="0"/>
            </w:pPr>
            <w:r>
              <w:rPr>
                <w:rFonts w:ascii="Arial" w:cs="Arial" w:eastAsia="Arial" w:hAnsi="Arial"/>
                <w:b/>
                <w:bCs/>
                <w:color w:val="633806"/>
                <w:sz w:val="22"/>
                <w:szCs w:val="22"/>
              </w:rPr>
              <w:t xml:space="preserve">Important — be honest about what Illumin360 does not do</w:t>
            </w:r>
          </w:p>
          <w:p>
            <w:pPr>
              <w:spacing w:after="60" w:before="0"/>
            </w:pPr>
            <w:r>
              <w:rPr>
                <w:rFonts w:ascii="Arial" w:cs="Arial" w:eastAsia="Arial" w:hAnsi="Arial"/>
                <w:color w:val="2C2C2A"/>
                <w:sz w:val="21"/>
                <w:szCs w:val="21"/>
              </w:rPr>
              <w:t xml:space="preserve">Illumin360 handles the search and shortlisting stage brilliantly. It does not do reference checks, salary negotiation, candidate management through the interview process, or onboarding support. Do not claim otherwise. The honest positioning is this:</w:t>
            </w:r>
          </w:p>
          <w:p>
            <w:pPr>
              <w:spacing w:after="30" w:before="40"/>
            </w:pPr>
            <w:r>
              <w:rPr>
                <w:rFonts w:ascii="Arial" w:cs="Arial" w:eastAsia="Arial" w:hAnsi="Arial"/>
                <w:color w:val="2C2C2A"/>
                <w:sz w:val="20"/>
                <w:szCs w:val="20"/>
              </w:rPr>
              <w:t xml:space="preserve">•  Use Illumin360 for any professional or mid-level role where the shortlisting stage is your main cost and bottleneck</w:t>
            </w:r>
          </w:p>
          <w:p>
            <w:pPr>
              <w:spacing w:after="30" w:before="30"/>
            </w:pPr>
            <w:r>
              <w:rPr>
                <w:rFonts w:ascii="Arial" w:cs="Arial" w:eastAsia="Arial" w:hAnsi="Arial"/>
                <w:color w:val="2C2C2A"/>
                <w:sz w:val="20"/>
                <w:szCs w:val="20"/>
              </w:rPr>
              <w:t xml:space="preserve">•  Use your agency for very senior executive roles where deep headhunting and personal relationship management is genuinely needed</w:t>
            </w:r>
          </w:p>
          <w:p>
            <w:pPr>
              <w:spacing w:after="0" w:before="30"/>
            </w:pPr>
            <w:r>
              <w:rPr>
                <w:rFonts w:ascii="Arial" w:cs="Arial" w:eastAsia="Arial" w:hAnsi="Arial"/>
                <w:color w:val="2C2C2A"/>
                <w:sz w:val="20"/>
                <w:szCs w:val="20"/>
              </w:rPr>
              <w:t xml:space="preserve">•  Use both together — Illumin360 for speed and cost efficiency, agency for the roles where their network adds real value</w:t>
            </w:r>
          </w:p>
        </w:tc>
      </w:tr>
    </w:tbl>
    <w:p>
      <w:pPr>
        <w:spacing w:after="0" w:before="0"/>
      </w:pPr>
      <w: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none" w:color="FFFFFF" w:sz="0"/>
              <w:left w:val="none" w:color="FFFFFF" w:sz="0"/>
              <w:bottom w:val="none" w:color="FFFFFF" w:sz="0"/>
              <w:right w:val="none" w:color="FFFFFF" w:sz="0"/>
            </w:tcBorders>
            <w:shd w:fill="1D9E75" w:val="clear"/>
            <w:tcMar>
              <w:top w:type="dxa" w:w="240"/>
              <w:left w:type="dxa" w:w="300"/>
              <w:bottom w:type="dxa" w:w="240"/>
              <w:right w:type="dxa" w:w="300"/>
            </w:tcMar>
          </w:tcPr>
          <w:p>
            <w:pPr>
              <w:spacing w:after="80" w:before="0"/>
              <w:jc w:val="center"/>
            </w:pPr>
            <w:r>
              <w:rPr>
                <w:rFonts w:ascii="Arial" w:cs="Arial" w:eastAsia="Arial" w:hAnsi="Arial"/>
                <w:b/>
                <w:bCs/>
                <w:color w:val="FFFFFF"/>
                <w:sz w:val="30"/>
                <w:szCs w:val="30"/>
              </w:rPr>
              <w:t xml:space="preserve">Ready to see it in action?</w:t>
            </w:r>
          </w:p>
          <w:p>
            <w:pPr>
              <w:spacing w:after="80" w:before="0"/>
              <w:jc w:val="center"/>
            </w:pPr>
            <w:r>
              <w:rPr>
                <w:rFonts w:ascii="Arial" w:cs="Arial" w:eastAsia="Arial" w:hAnsi="Arial"/>
                <w:i/>
                <w:iCs/>
                <w:color w:val="E1F5EE"/>
                <w:sz w:val="22"/>
                <w:szCs w:val="22"/>
              </w:rPr>
              <w:t xml:space="preserve">Run your first request on Illumin360. One vacancy. One shortlist. See the difference yourself.</w:t>
            </w:r>
          </w:p>
          <w:p>
            <w:pPr>
              <w:spacing w:after="0" w:before="0"/>
              <w:jc w:val="center"/>
            </w:pPr>
            <w:r>
              <w:rPr>
                <w:rFonts w:ascii="Arial" w:cs="Arial" w:eastAsia="Arial" w:hAnsi="Arial"/>
                <w:b/>
                <w:bCs/>
                <w:color w:val="FFFFFF"/>
                <w:sz w:val="22"/>
                <w:szCs w:val="22"/>
              </w:rPr>
              <w:t xml:space="preserve">illumin360.com  |  info@illumin360.com  |  +264 XX XXX XXXX</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D1C7" w:sz="2" w:space="4"/>
      </w:pBdr>
      <w:jc w:val="center"/>
    </w:pPr>
    <w:r>
      <w:rPr>
        <w:rFonts w:ascii="Arial" w:cs="Arial" w:eastAsia="Arial" w:hAnsi="Arial"/>
        <w:color w:val="888780"/>
        <w:sz w:val="17"/>
        <w:szCs w:val="17"/>
      </w:rPr>
      <w:t xml:space="preserve">Illumin  |  Windhoek, Namibia  |  illumin360.com  |  Page </w:t>
    </w:r>
    <w:r>
      <w:rPr>
        <w:rFonts w:ascii="Arial" w:cs="Arial" w:eastAsia="Arial" w:hAnsi="Arial"/>
        <w:color w:val="888780"/>
        <w:sz w:val="17"/>
        <w:szCs w:val="17"/>
      </w:rPr>
      <w:fldChar w:fldCharType="begin"/>
      <w:instrText xml:space="preserve">PAGE</w:instrText>
      <w:fldChar w:fldCharType="separate"/>
      <w:fldChar w:fldCharType="end"/>
    </w:r>
    <w:r>
      <w:rPr>
        <w:rFonts w:ascii="Arial" w:cs="Arial" w:eastAsia="Arial" w:hAnsi="Arial"/>
        <w:color w:val="888780"/>
        <w:sz w:val="17"/>
        <w:szCs w:val="17"/>
      </w:rPr>
      <w:t xml:space="preserve">  |  For internal business development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000"/>
      <w:gridCol w:w="4746"/>
    </w:tblGrid>
    <w:tr>
      <w:tc>
        <w:tcPr>
          <w:tcBorders>
            <w:top w:val="none" w:color="FFFFFF" w:sz="0"/>
            <w:left w:val="none" w:color="FFFFFF" w:sz="0"/>
            <w:bottom w:val="single" w:color="1D9E75" w:sz="8" w:space="2"/>
            <w:right w:val="none" w:color="FFFFFF" w:sz="0"/>
          </w:tcBorders>
          <w:tcMar>
            <w:top w:type="dxa" w:w="60"/>
            <w:left w:type="dxa" w:w="0"/>
            <w:bottom w:type="dxa" w:w="60"/>
            <w:right w:type="dxa" w:w="0"/>
          </w:tcMar>
        </w:tcPr>
        <w:p>
          <w:r>
            <w:rPr>
              <w:rFonts w:ascii="Arial" w:cs="Arial" w:eastAsia="Arial" w:hAnsi="Arial"/>
              <w:b/>
              <w:bCs/>
              <w:color w:val="1D9E75"/>
              <w:sz w:val="22"/>
              <w:szCs w:val="22"/>
            </w:rPr>
            <w:t xml:space="preserve">ILLUMIN360  </w:t>
          </w:r>
          <w:r>
            <w:rPr>
              <w:rFonts w:ascii="Arial" w:cs="Arial" w:eastAsia="Arial" w:hAnsi="Arial"/>
              <w:color w:val="888780"/>
              <w:sz w:val="20"/>
              <w:szCs w:val="20"/>
            </w:rPr>
            <w:t xml:space="preserve">Employer Sales Talking Points</w:t>
          </w:r>
        </w:p>
      </w:tc>
      <w:tc>
        <w:tcPr>
          <w:tcBorders>
            <w:top w:val="none" w:color="FFFFFF" w:sz="0"/>
            <w:left w:val="none" w:color="FFFFFF" w:sz="0"/>
            <w:bottom w:val="single" w:color="1D9E75" w:sz="8" w:space="2"/>
            <w:right w:val="none" w:color="FFFFFF" w:sz="0"/>
          </w:tcBorders>
          <w:tcMar>
            <w:top w:type="dxa" w:w="60"/>
            <w:left w:type="dxa" w:w="0"/>
            <w:bottom w:type="dxa" w:w="60"/>
            <w:right w:type="dxa" w:w="0"/>
          </w:tcMar>
        </w:tcPr>
        <w:p>
          <w:pPr>
            <w:jc w:val="right"/>
          </w:pPr>
          <w:r>
            <w:rPr>
              <w:rFonts w:ascii="Arial" w:cs="Arial" w:eastAsia="Arial" w:hAnsi="Arial"/>
              <w:color w:val="888780"/>
              <w:sz w:val="18"/>
              <w:szCs w:val="18"/>
            </w:rPr>
            <w:t xml:space="preserve">Smarter Hiring. Wider Reach.  |  illumin360.com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F6E56"/>
      <w:sz w:val="30"/>
      <w:szCs w:val="30"/>
    </w:rPr>
  </w:style>
  <w:style w:type="paragraph" w:styleId="Heading2">
    <w:name w:val="Heading 2"/>
    <w:basedOn w:val="Normal"/>
    <w:next w:val="Normal"/>
    <w:qFormat/>
    <w:pPr>
      <w:spacing w:after="100" w:before="280"/>
      <w:outlineLvl w:val="1"/>
    </w:pPr>
    <w:rPr>
      <w:rFonts w:ascii="Arial" w:cs="Arial" w:eastAsia="Arial" w:hAnsi="Arial"/>
      <w:b/>
      <w:bCs/>
      <w:color w:val="2C2C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2026-04-09T21:48:21.582Z</dcterms:created>
  <dcterms:modified xsi:type="dcterms:W3CDTF">2026-04-09T21:48:21.583Z</dcterms:modified>
</cp:coreProperties>
</file>

<file path=docProps/custom.xml><?xml version="1.0" encoding="utf-8"?>
<Properties xmlns="http://schemas.openxmlformats.org/officeDocument/2006/custom-properties" xmlns:vt="http://schemas.openxmlformats.org/officeDocument/2006/docPropsVTypes"/>
</file>