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PROJECT CHARTER</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ILLM-01-004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01 — Project Initiation</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Waterfall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ILLM-01-003 — Stakeholder Register</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ILLM-01-005 — Initial Risk Register</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Project Manager  |  Technical Lead  |  Stakeholders</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Project Sponsor  |  CEO, Illumin Investments CC</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from v3.7 spec. The charter formalises authority, scope, deliverables, timeline, budget, and governance.</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ILLM-01-004</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Charter</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01 — Project Initiation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Waterfall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ILLM-01-003 — Stakeholder Register</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ILLM-01-005 — Initial Risk Register</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Manager  |  Technical Lead  |  Stakeholders</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Sponsor  |  CEO, Illumin Investments CC</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Project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Illumin360 is the Illumin Investments CC talent matching and recruitment platform for Namibia. It serves three customer segments (Professionals, Students, Businesses) through five portals (Professional, Student, Business, Administrator, Support) with the Auto-Application Engine as the defining feature.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name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Talent Match &amp; Recruitment Platform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Owner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 Investments CC (CC 2016/08234, VAT 07851437-015)</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Jurisdiction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Namibia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CEO, Illumin Investments CC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3. Project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Scope covers the build of all 5 portals, 13 microservices, and Phase 1 through Phase 7 of the 8-phase delivery plan. Phase 8 (RLHF model refinement + marketplace expansion) is out of scope for this charter and will be re-chartered when ready.</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 scope — portals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5 portals: Professional, Student, Business, Administrator, Support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 scope — phases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 through Phase 7</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 scope — segments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3 customer segments — Professionals, Students, Businesses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Out of scope — Phase 8</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RLHF model refinement; marketplace expansion — separate charter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Deferred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Out of scope — mobile native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PWA covers; native apps not in initial scope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Deferred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Out of scope — ATS integration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Not in initial scope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Deferred</w:t>
            </w:r>
          </w:p>
        </w:tc>
      </w:tr>
    </w:tbl>
    <w:p>
      <w:r>
        <w:t xml:space="preserve"/>
      </w:r>
    </w:p>
    <w:p>
      <w:r>
        <w:t xml:space="preserve"/>
      </w:r>
    </w:p>
    <w:p>
      <w:pPr>
        <w:pStyle w:val="Heading2"/>
        <w:spacing w:after="80" w:before="200"/>
      </w:pPr>
      <w:r>
        <w:rPr>
          <w:rFonts w:ascii="Arial" w:cs="Arial" w:eastAsia="Arial" w:hAnsi="Arial"/>
        </w:rPr>
        <w:t xml:space="preserve">4. Project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High-level deliverables. Detailed deliverables per phase in the Phase docs (folder 06).</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134 SDLC documents populated to v2.0</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All folders 01–14</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 progress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 build — Core Talent Pool + Auto-Application + Founder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ILLM-06-001 v2.0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2 build — Reporting/Payments/Notifications/Subscriptions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ILLM-06-002 v2.0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Phases 3–7</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ILLM-06-003 through ILLM-06-007</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Attorney-signed disclaimer pack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All 12 disclaimers reviewed before launch</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Production deployment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ILLM-10-001 Deployment Plan v2.0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bl>
    <w:p>
      <w:r>
        <w:t xml:space="preserve"/>
      </w:r>
    </w:p>
    <w:p>
      <w:r>
        <w:t xml:space="preserve"/>
      </w:r>
    </w:p>
    <w:p>
      <w:pPr>
        <w:pStyle w:val="Heading2"/>
        <w:spacing w:after="80" w:before="200"/>
      </w:pPr>
      <w:r>
        <w:rPr>
          <w:rFonts w:ascii="Arial" w:cs="Arial" w:eastAsia="Arial" w:hAnsi="Arial"/>
        </w:rPr>
        <w:t xml:space="preserve">5. Project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Eight-phase plan totalling 33–47 weeks per spec §27.</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Authorisation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On charter approval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Trigger</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1–10</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2</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11–18</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3</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19–24</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4</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25–28</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5</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29–34</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6</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35–41</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7 (premium)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Weeks 42–46</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Optional</w:t>
            </w:r>
          </w:p>
        </w:tc>
      </w:tr>
    </w:tbl>
    <w:p>
      <w:r>
        <w:t xml:space="preserve"/>
      </w:r>
    </w:p>
    <w:p>
      <w:r>
        <w:t xml:space="preserve"/>
      </w:r>
    </w:p>
    <w:p>
      <w:pPr>
        <w:pStyle w:val="Heading2"/>
        <w:spacing w:after="80" w:before="200"/>
      </w:pPr>
      <w:r>
        <w:rPr>
          <w:rFonts w:ascii="Arial" w:cs="Arial" w:eastAsia="Arial" w:hAnsi="Arial"/>
        </w:rPr>
        <w:t xml:space="preserve">6. Project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Detailed in ILLM-04-006 Budget Plan. Operating costs dominated by infrastructure and AI services. Build cost is sole-architect time plus required tooling.</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 services Year 1</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NAD 77/month</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Infrastructure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Hosting + Kubernetes capacity — TBC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DevOps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Estimate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Build cost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 time + tooling licences (mostly OSS — minimal)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Internal</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External pentest pre-launch</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 — TBC vendor cost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Security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 — TBC fee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Required</w:t>
            </w:r>
          </w:p>
        </w:tc>
      </w:tr>
    </w:tbl>
    <w:p>
      <w:r>
        <w:t xml:space="preserve"/>
      </w:r>
    </w:p>
    <w:p>
      <w:r>
        <w:t xml:space="preserve"/>
      </w:r>
    </w:p>
    <w:p>
      <w:pPr>
        <w:pStyle w:val="Heading2"/>
        <w:spacing w:after="80" w:before="200"/>
      </w:pPr>
      <w:r>
        <w:rPr>
          <w:rFonts w:ascii="Arial" w:cs="Arial" w:eastAsia="Arial" w:hAnsi="Arial"/>
        </w:rPr>
        <w:t xml:space="preserve">7. Project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Sole technical owner plus extended stakeholders.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 (sole technical)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CEO, Illumin Investments CC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External attorney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TBD — Namibian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Engaged when ready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External security tester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TBD pre-launch</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Engaged when ready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Operations (post-launch)</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To recruit — Support staff for Phase 5</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Planned</w:t>
            </w:r>
          </w:p>
        </w:tc>
      </w:tr>
    </w:tbl>
    <w:p>
      <w:r>
        <w:t xml:space="preserve"/>
      </w:r>
    </w:p>
    <w:p>
      <w:r>
        <w:t xml:space="preserve"/>
      </w:r>
    </w:p>
    <w:p>
      <w:pPr>
        <w:pStyle w:val="Heading2"/>
        <w:spacing w:after="80" w:before="200"/>
      </w:pPr>
      <w:r>
        <w:rPr>
          <w:rFonts w:ascii="Arial" w:cs="Arial" w:eastAsia="Arial" w:hAnsi="Arial"/>
        </w:rPr>
        <w:t xml:space="preserve">8. Governance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Governance follows the Sponsor/Architect/Stakeholder model. Steering Committee, Project Team, and Client Reviews each have their own meeting minutes templates (ILLM-13-001 through ILLM-13-003).</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Decision authority, budget approval, strategic direction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Technical authority, design, build, deployment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Team meetings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ILLM-13-002 template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Per-phase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Steering Committee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ILLM-13-001 template — quarterly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Quarterly</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Change Control</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 ILLM-11-005 and ILLM-13-005</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Continuous</w:t>
            </w:r>
          </w:p>
        </w:tc>
      </w:tr>
    </w:tbl>
    <w:p>
      <w:r>
        <w:t xml:space="preserve"/>
      </w:r>
    </w:p>
    <w:p>
      <w:r>
        <w:t xml:space="preserve"/>
      </w:r>
    </w:p>
    <w:p>
      <w:pPr>
        <w:pStyle w:val="Heading2"/>
        <w:spacing w:after="80" w:before="200"/>
      </w:pPr>
      <w:r>
        <w:rPr>
          <w:rFonts w:ascii="Arial" w:cs="Arial" w:eastAsia="Arial" w:hAnsi="Arial"/>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RACI for key activities.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Authorise budget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 (A); Architect (R/C); — (I)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RACI</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 architecture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 (R/A); Sponsor (C/I)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RACI</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 disclaimer pack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Attorney (A); Architect (R); Sponsor (I)</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RACI</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 off Phase increments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 (A); Architect (R)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RACI</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Operations post-launch</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Operations (R); Sponsor (A); Architect (C)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RACI</w:t>
            </w:r>
          </w:p>
        </w:tc>
      </w:tr>
    </w:tbl>
    <w:p>
      <w:r>
        <w:t xml:space="preserve"/>
      </w:r>
    </w:p>
    <w:p>
      <w:r>
        <w:t xml:space="preserve"/>
      </w:r>
    </w:p>
    <w:p>
      <w:pPr>
        <w:pStyle w:val="Heading2"/>
        <w:spacing w:after="80" w:before="200"/>
      </w:pPr>
      <w:r>
        <w:rPr>
          <w:rFonts w:ascii="Arial" w:cs="Arial" w:eastAsia="Arial" w:hAnsi="Arial"/>
        </w:rPr>
        <w:t xml:space="preserve">10.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Charter signed by Sponsor authorises the build to commence.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Authorise project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CEO Illumin Investments CC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Accept technical responsibility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Software Engineer &amp; 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Drafted</w:t>
            </w:r>
          </w:p>
        </w:tc>
      </w:tr>
    </w:tbl>
    <w:p>
      <w:r>
        <w:t xml:space="preserve"/>
      </w:r>
    </w:p>
    <w:p>
      <w:r>
        <w:t xml:space="preserve"/>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Project Charter  </w:t>
    </w:r>
    <w:r>
      <w:rPr>
        <w:rFonts w:ascii="Arial" w:cs="Arial" w:eastAsia="Arial" w:hAnsi="Arial"/>
        <w:color w:val="555555"/>
        <w:sz w:val="18"/>
        <w:szCs w:val="18"/>
      </w:rPr>
      <w:t xml:space="preserve">ILLM-01-004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2026-05-07T05:43:53.682Z</dcterms:created>
  <dcterms:modified xsi:type="dcterms:W3CDTF">2026-05-07T05:43:53.682Z</dcterms:modified>
</cp:coreProperties>
</file>

<file path=docProps/custom.xml><?xml version="1.0" encoding="utf-8"?>
<Properties xmlns="http://schemas.openxmlformats.org/officeDocument/2006/custom-properties" xmlns:vt="http://schemas.openxmlformats.org/officeDocument/2006/docPropsVTypes"/>
</file>