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D9E75" w:val="clear"/>
            <w:tcMar>
              <w:top w:type="dxa" w:w="220"/>
              <w:left w:type="dxa" w:w="240"/>
              <w:bottom w:type="dxa" w:w="60"/>
              <w:right w:type="dxa" w:w="240"/>
            </w:tcMar>
          </w:tcPr>
          <w:p>
            <w:pPr>
              <w:jc w:val="center"/>
            </w:pPr>
            <w:r>
              <w:rPr>
                <w:rFonts w:ascii="Arial" w:cs="Arial" w:eastAsia="Arial" w:hAnsi="Arial"/>
                <w:b/>
                <w:bCs/>
                <w:color w:val="FFFFFF"/>
                <w:sz w:val="80"/>
                <w:szCs w:val="80"/>
              </w:rPr>
              <w:t xml:space="preserve">ILLUMIN360</w:t>
            </w:r>
          </w:p>
        </w:tc>
      </w:tr>
      <w:tr>
        <w:tc>
          <w:tcPr>
            <w:tcW w:type="dxa" w:w="9360"/>
            <w:tcBorders>
              <w:top w:val="none" w:color="FFFFFF" w:sz="0"/>
              <w:left w:val="none" w:color="FFFFFF" w:sz="0"/>
              <w:bottom w:val="none" w:color="FFFFFF" w:sz="0"/>
              <w:right w:val="none" w:color="FFFFFF" w:sz="0"/>
            </w:tcBorders>
            <w:shd w:fill="1D9E75" w:val="clear"/>
            <w:tcMar>
              <w:top w:type="dxa" w:w="0"/>
              <w:left w:type="dxa" w:w="240"/>
              <w:bottom w:type="dxa" w:w="180"/>
              <w:right w:type="dxa" w:w="240"/>
            </w:tcMar>
          </w:tcPr>
          <w:p>
            <w:pPr>
              <w:jc w:val="center"/>
            </w:pPr>
            <w:r>
              <w:rPr>
                <w:rFonts w:ascii="Arial" w:cs="Arial" w:eastAsia="Arial" w:hAnsi="Arial"/>
                <w:color w:val="E1F5EE"/>
                <w:sz w:val="22"/>
                <w:szCs w:val="22"/>
              </w:rPr>
              <w:t xml:space="preserve">Talent Match &amp; Recruitment Platform  |  Namibia</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56" w:val="clear"/>
            <w:tcMar>
              <w:top w:type="dxa" w:w="180"/>
              <w:left w:type="dxa" w:w="240"/>
              <w:bottom w:type="dxa" w:w="60"/>
              <w:right w:type="dxa" w:w="240"/>
            </w:tcMar>
          </w:tcPr>
          <w:p>
            <w:pPr>
              <w:jc w:val="center"/>
            </w:pPr>
            <w:r>
              <w:rPr>
                <w:rFonts w:ascii="Arial" w:cs="Arial" w:eastAsia="Arial" w:hAnsi="Arial"/>
                <w:b/>
                <w:bCs/>
                <w:color w:val="FFFFFF"/>
                <w:sz w:val="44"/>
                <w:szCs w:val="44"/>
              </w:rPr>
              <w:t xml:space="preserve">BUSINESS CASE</w:t>
            </w:r>
          </w:p>
        </w:tc>
      </w:tr>
      <w:tr>
        <w:tc>
          <w:tcPr>
            <w:tcW w:type="dxa" w:w="9360"/>
            <w:tcBorders>
              <w:top w:val="none" w:color="FFFFFF" w:sz="0"/>
              <w:left w:val="none" w:color="FFFFFF" w:sz="0"/>
              <w:bottom w:val="none" w:color="FFFFFF" w:sz="0"/>
              <w:right w:val="none" w:color="FFFFFF" w:sz="0"/>
            </w:tcBorders>
            <w:shd w:fill="0F6E56" w:val="clear"/>
            <w:tcMar>
              <w:top w:type="dxa" w:w="0"/>
              <w:left w:type="dxa" w:w="240"/>
              <w:bottom w:type="dxa" w:w="180"/>
              <w:right w:type="dxa" w:w="240"/>
            </w:tcMar>
          </w:tcPr>
          <w:p>
            <w:pPr>
              <w:jc w:val="center"/>
            </w:pPr>
            <w:r>
              <w:rPr>
                <w:rFonts w:ascii="Arial" w:cs="Arial" w:eastAsia="Arial" w:hAnsi="Arial"/>
                <w:color w:val="E1F5EE"/>
                <w:sz w:val="20"/>
                <w:szCs w:val="20"/>
              </w:rPr>
              <w:t xml:space="preserve">Document ID: ILLM-01-001  |  Version 1.0  |  April 2026  |  CONFIDENTIAL</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Project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Illumin360 — Talent Match &amp; Recruitment Platform</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Classification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CONFIDENTIAL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Organisation</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Illumin Investments CC  |  CC Reg: 2016/08234  |  VAT: 07851437-015</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Status</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Draft for review — v2.0</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Author</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Uriel Tapiwa Munjanga</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Role / Title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Software Engineer &amp; Architect</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SDLC Phase</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01 — Project Initiation</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Methodology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Waterfall</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Predecessor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None — This is the initiating document of the Illumin360 SDLC</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Successor Document</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ILLM-01-002 — Feasibility Study</w:t>
            </w:r>
          </w:p>
        </w:tc>
      </w:tr>
      <w:tr>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Review Required By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Project Sponsor  |  Illumin Investments CC Management</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bCs/>
                <w:i w:val="false"/>
                <w:iCs w:val="false"/>
                <w:color w:val="0F6E56"/>
                <w:sz w:val="17"/>
                <w:szCs w:val="17"/>
              </w:rPr>
              <w:t xml:space="preserve">Sign-Off Authority</w:t>
            </w:r>
          </w:p>
        </w:tc>
        <w:tc>
          <w:tcPr>
            <w:tcW w:type="dxa" w:w="20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7"/>
                <w:szCs w:val="17"/>
              </w:rPr>
              <w:t xml:space="preserve">Project Sponsor  |  CEO, Illumin Investments CC</w:t>
            </w:r>
          </w:p>
        </w:tc>
      </w:tr>
    </w:tbl>
    <w:p>
      <w:r>
        <w:t xml:space="preserve"/>
      </w:r>
    </w:p>
    <w:p>
      <w:r>
        <w:t xml:space="preserve"/>
      </w:r>
    </w:p>
    <w:p>
      <w:pPr>
        <w:pStyle w:val="Heading3"/>
        <w:spacing w:after="60" w:before="140"/>
      </w:pPr>
      <w:r>
        <w:rPr>
          <w:rFonts w:ascii="Arial" w:cs="Arial" w:eastAsia="Arial" w:hAnsi="Arial"/>
        </w:rPr>
        <w:t xml:space="preserve">Document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960"/>
      </w:tblGrid>
      <w:tr>
        <w:trPr>
          <w:tblHeader/>
        </w:trPr>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Version</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Date</w:t>
            </w:r>
          </w:p>
        </w:tc>
        <w:tc>
          <w:tcPr>
            <w:tcW w:type="dxa" w:w="26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Author</w:t>
            </w:r>
          </w:p>
        </w:tc>
        <w:tc>
          <w:tcPr>
            <w:tcW w:type="dxa" w:w="2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Change Description</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Initial template created</w:t>
            </w:r>
          </w:p>
        </w:tc>
      </w:tr>
      <w:tr>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2.0</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14 May 2026</w:t>
            </w:r>
          </w:p>
        </w:tc>
        <w:tc>
          <w:tcPr>
            <w:tcW w:type="dxa" w:w="26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w:t>
            </w:r>
          </w:p>
        </w:tc>
        <w:tc>
          <w:tcPr>
            <w:tcW w:type="dxa" w:w="2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Populated against v3.7 corrected spec. Adds Founder Programme GTM, Auto-Application Engine as defining feature, three-segment subscription model (Professional, Student, Business), open-source stack alignment, AI services cost model.</w:t>
            </w:r>
          </w:p>
        </w:tc>
      </w:tr>
    </w:tbl>
    <w:p>
      <w:r>
        <w:t xml:space="preserve"/>
      </w:r>
    </w:p>
    <w:p>
      <w:r>
        <w:t xml:space="preserve"/>
      </w:r>
    </w:p>
    <w:p>
      <w:r>
        <w:br w:type="page"/>
      </w:r>
    </w:p>
    <w:p>
      <w:pPr>
        <w:pStyle w:val="Heading1"/>
        <w:spacing w:after="120" w:before="280"/>
      </w:pPr>
      <w:r>
        <w:rPr>
          <w:rFonts w:ascii="Arial" w:cs="Arial" w:eastAsia="Arial" w:hAnsi="Arial"/>
        </w:rPr>
        <w:t xml:space="preserve">1. Document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  Guidance: </w:t>
            </w:r>
            <w:r>
              <w:rPr>
                <w:rFonts w:ascii="Arial" w:cs="Arial" w:eastAsia="Arial" w:hAnsi="Arial"/>
                <w:i/>
                <w:iCs/>
                <w:color w:val="555555"/>
                <w:sz w:val="18"/>
                <w:szCs w:val="18"/>
              </w:rPr>
              <w:t xml:space="preserve">This section introduces the document, its purpose, and its place in the Illumin360 SDLC. Complete all sub-sections before circulating for review.</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ID</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ILLM-01-001</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Title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Business Case</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Illumin360 — Talent Match &amp; Recruitment Platform</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SDLC Phase</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01 — Project Initiation</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Methodology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Waterfall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Version</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1.0</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Date</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April 2026</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Predecessor</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None — This is the initiating document of the Illumin360 SDLC</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Successor</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ILLM-01-002 — Feasibility Study</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By</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Sponsor  |  Illumin Investments CC Management</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By</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Sponsor  |  CEO, Illumin Investments CC</w:t>
            </w:r>
          </w:p>
        </w:tc>
      </w:tr>
      <w:tr>
        <w:tc>
          <w:tcPr>
            <w:tcW w:type="dxa" w:w="24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Classification</w:t>
            </w:r>
          </w:p>
        </w:tc>
        <w:tc>
          <w:tcPr>
            <w:tcW w:type="dxa" w:w="6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CONFIDENTIAL</w:t>
            </w:r>
          </w:p>
        </w:tc>
      </w:tr>
      <w:tr>
        <w:tc>
          <w:tcPr>
            <w:tcW w:type="dxa" w:w="240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Status</w:t>
            </w:r>
          </w:p>
        </w:tc>
        <w:tc>
          <w:tcPr>
            <w:tcW w:type="dxa" w:w="696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r>
        <w:t xml:space="preserve"/>
      </w:r>
    </w:p>
    <w:p>
      <w:pPr>
        <w:pStyle w:val="Heading2"/>
        <w:spacing w:after="80" w:before="200"/>
      </w:pPr>
      <w:r>
        <w:rPr>
          <w:rFonts w:ascii="Arial" w:cs="Arial" w:eastAsia="Arial" w:hAnsi="Arial"/>
        </w:rPr>
        <w:t xml:space="preserve">2.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Illumin360 is a subscription-based talent matching and recruitment platform for Namibia, developed by Illumin Investments CC. The platform serves three customer segments through five portals: Professionals seeking passive discoverability, Students seeking graduate-programme scouting, Businesses seeking pre-curated talent, supported by Administrator and Support staff portals. The defining feature is the Auto-Application Engine — candidates are surfaced to relevant requests without applying, eliminating missed opportunities on either side. Revenue comes from Professional and Student subscriptions, Business subscription tiers, and per-request shortlist and candidate unlock fees. The launch strategy is anchored by the Illumin360 Founder Programme — permanent free accounts for the first 300 Professionals and permanent Growth-tier subscriptions for the first 50 Businesses.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Platform purpose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Subscription-based talent matching and recruitment for Namibia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Customer segments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Professionals, Students, Businesses — each subscription-based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Defining feature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Auto-Application Engine — candidates surfaced without applying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Portals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5 — Professional, Student, Business, Administrator, Support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Launch strategy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Founder Programme — 300 Professional + 50 Business permanent accounts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Authority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v3.7 Illumin360 Complete Technical Specification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Current</w:t>
            </w:r>
          </w:p>
        </w:tc>
      </w:tr>
    </w:tbl>
    <w:p>
      <w:r>
        <w:t xml:space="preserve"/>
      </w:r>
    </w:p>
    <w:p>
      <w:r>
        <w:t xml:space="preserve"/>
      </w:r>
    </w:p>
    <w:p>
      <w:pPr>
        <w:pStyle w:val="Heading2"/>
        <w:spacing w:after="80" w:before="200"/>
      </w:pPr>
      <w:r>
        <w:rPr>
          <w:rFonts w:ascii="Arial" w:cs="Arial" w:eastAsia="Arial" w:hAnsi="Arial"/>
        </w:rPr>
        <w:t xml:space="preserve">3. 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Recruitment in Namibia is bottlenecked by agency cost (15–25% of annual salary per hire), agency speed (1–3 weeks per shortlist), and lack of transparency (employers see only the candidates the agency chooses to surface). Professionals lack a way to be passively discoverable without scattering applications across individual postings. Students approaching graduation lack a channel to be scouted by employers before they hit the open market. Businesses lack benchmarking data to understand why they lose talent to competitors. The market is structurally inefficient for all three segments.</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Cost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Agencies charge NAD 30,000–80,000 per professional hire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Speed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Agency shortlist takes 1–3 weeks; candidates lost to competitors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Transparency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Agency selection is opaque; no audit trail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passive discoverability channel — must apply individually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Student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scouting channel ahead of graduation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Business benchmarking problem</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No data on workforce gaps vs industry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4. Proposed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Illumin360 delivers a five-portal platform with the Auto-Application Engine as the central mechanism. Active Professional and Student subscriptions act as standing applications against every Business recruitment request that fits the candidate's stated profile and consent. The Illumin360 matching engine ranks candidates and produces a defensible shortlist report in hours. Businesses pay a flat per-request fee plus optional subscription tier for predictable monthly value. Professionals and Students subscribe for ongoing discoverability. Administrators oversee compliance and operations; Support staff handle tickets, verification, and dispute resolution. The platform is built on a fully open-source runtime stack (Keycloak, RabbitMQ, Grafana, PostgreSQL, MinIO) with third-party AI services for matching.</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Five portals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 Student, Business, Administrator, Support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Auto-Application Engine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Standing application across all matching requests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Matching engine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Two-pass — hard filters + weighted scoring; shortlist in hours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Shortlist report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Match scores, candidate analysis, methodology disclosure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Internal recruitment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Private branded portal for Business internal vacancies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Open-source stack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IAM, RabbitMQ MQ, Grafana observability, PostgreSQL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bl>
    <w:p>
      <w:r>
        <w:t xml:space="preserve"/>
      </w:r>
    </w:p>
    <w:p>
      <w:r>
        <w:t xml:space="preserve"/>
      </w:r>
    </w:p>
    <w:p>
      <w:pPr>
        <w:pStyle w:val="Heading2"/>
        <w:spacing w:after="80" w:before="200"/>
      </w:pPr>
      <w:r>
        <w:rPr>
          <w:rFonts w:ascii="Arial" w:cs="Arial" w:eastAsia="Arial" w:hAnsi="Arial"/>
        </w:rPr>
        <w:t xml:space="preserve">5. Strategic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The platform aligns with Illumin Investments CC's strategic objective to deliver subscription-based technology platforms for the Namibian market. It supports the corporate social responsibility commitment to youth employment through the free Student CSR programme. The Auto-Application principle is a differentiating proposition not currently offered by any local competitor. The standards orientation (ISO/IEC 27001, ISO 9241, OpenAPI, DDD, Microservices) supports enterprise readiness for subsequent regional expansion.</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Corporate strategy</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Subscription technology platforms for Namibia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CSR commitment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Free Student tier — youth employment focus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Aligned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 differentiation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Auto-Application — no comparable local offering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Standards orientation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ISO 27001, 9241, OpenAPI, DDD — enterprise-ready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Regional expansion path</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Architecture supports multi-jurisdiction deployment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bl>
    <w:p>
      <w:r>
        <w:t xml:space="preserve"/>
      </w:r>
    </w:p>
    <w:p>
      <w:r>
        <w:t xml:space="preserve"/>
      </w:r>
    </w:p>
    <w:p>
      <w:pPr>
        <w:pStyle w:val="Heading2"/>
        <w:spacing w:after="80" w:before="200"/>
      </w:pPr>
      <w:r>
        <w:rPr>
          <w:rFonts w:ascii="Arial" w:cs="Arial" w:eastAsia="Arial" w:hAnsi="Arial"/>
        </w:rPr>
        <w:t xml:space="preserve">6. Cost-Benefit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Operating costs are dominated by infrastructure (hosting the open-source stack) and third-party AI services. AI services scale from NAD 77/month in Year 1 to approximately NAD 1,116/month in Year 3 — under 0.2% of projected revenue. Revenue scales with subscription adoption across all three segments and per-request fees from Businesses. The Founder Programme is a discrete launch cost (forgone recurring revenue from the first 300 Professionals) justified by the bootstrap value of a credible talent pool from day one.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Year 1 AI services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NAD 77/month — Claude + Google Vision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Year 3 AI services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NAD 1,116/month at projected scale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 as % of revenue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0.19% at Year 3 — most efficient operating component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Professional subscription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299–1,299 per term — primary recurring revenue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Business subscription tiers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0 / 1,500 / 3,500 / 10,000 per month</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Indicative</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Per-request fees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1,725 standard, NAD 2,300 internal incl. VAT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Candidate unlock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NAD 402.50 incl. VAT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Founder Programme cost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Forgone recurring revenue from first 300 Professionals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Founding Partner cost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Permanent Growth tier at NAD 0 for 50 Businesses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Finance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w:t>
            </w:r>
          </w:p>
        </w:tc>
      </w:tr>
    </w:tbl>
    <w:p>
      <w:r>
        <w:t xml:space="preserve"/>
      </w:r>
    </w:p>
    <w:p>
      <w:r>
        <w:t xml:space="preserve"/>
      </w:r>
    </w:p>
    <w:p>
      <w:pPr>
        <w:pStyle w:val="Heading2"/>
        <w:spacing w:after="80" w:before="200"/>
      </w:pPr>
      <w:r>
        <w:rPr>
          <w:rFonts w:ascii="Arial" w:cs="Arial" w:eastAsia="Arial" w:hAnsi="Arial"/>
        </w:rPr>
        <w:t xml:space="preserve">7. Key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Material risks are grouped into market, technical, compliance, operational, and commercial categories. The risk register (ILLM-01-005) maintains the live register; the entries below are the top-tier risks at business-case level.</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Talent pool cold start</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Founder Programme — 300 Professional + 50 Business launch quota</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Auto-Application consent challenge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Explicit consent text at registration; opt-outs by industry/employer/type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AI vendor outage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Local Ollama fallback option; graceful degradation to keyword matching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Designed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Branding leak (Section 31)</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Post-generation filter on AI Assistant; quarterly client-facing audit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Marketing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Photo blind-screening bypass</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Structural — photo not in shortlist projection query</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Compliance — discriminatory filter use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D-04 warning, mandatory justification, admin approval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Legal</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PCI-DSS scope creep</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Hosted payment page model — SAQ A only, no card data on platform</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Founder quota race condition</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SELECT FOR UPDATE serialisation, load-tested</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Mitigated</w:t>
            </w:r>
          </w:p>
        </w:tc>
      </w:tr>
    </w:tbl>
    <w:p>
      <w:r>
        <w:t xml:space="preserve"/>
      </w:r>
    </w:p>
    <w:p>
      <w:r>
        <w:t xml:space="preserve"/>
      </w:r>
    </w:p>
    <w:p>
      <w:pPr>
        <w:pStyle w:val="Heading2"/>
        <w:spacing w:after="80" w:before="200"/>
      </w:pPr>
      <w:r>
        <w:rPr>
          <w:rFonts w:ascii="Arial" w:cs="Arial" w:eastAsia="Arial" w:hAnsi="Arial"/>
        </w:rPr>
        <w:t xml:space="preserve">8.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Authorise the platform for development under the v3.7 corrected specification. Proceed with the Phase 1 (Core Talent Pool) build including Auto-Application Engine and Founder Programme quota enforcement from day one. Subsequent phases follow the 8-phase plan in spec §27.</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Authorise</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 build per v3.7 spec — Core Talent Pool + Auto-Application + Founder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 tech stack</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Keycloak, RabbitMQ, Grafana OSS, PostgreSQL, MinIO (per §36)</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Confirmed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Sign-off Founder pricing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Permanent free for first 300 Professionals; Growth tier for first 50 Businesses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Commercial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§37 Business subscription tier prices — Starter/Growth/Enterprise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bl>
    <w:p>
      <w:r>
        <w:t xml:space="preserve"/>
      </w:r>
    </w:p>
    <w:p>
      <w:r>
        <w:t xml:space="preserve"/>
      </w:r>
    </w:p>
    <w:p>
      <w:pPr>
        <w:pStyle w:val="Heading2"/>
        <w:spacing w:after="80" w:before="200"/>
      </w:pPr>
      <w:r>
        <w:rPr>
          <w:rFonts w:ascii="Arial" w:cs="Arial" w:eastAsia="Arial" w:hAnsi="Arial"/>
        </w:rPr>
        <w:t xml:space="preserve">9.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4"/>
              <w:left w:val="single" w:color="DDDDDD" w:sz="4"/>
              <w:bottom w:val="single" w:color="DDDDDD" w:sz="4"/>
              <w:right w:val="single" w:color="DDDDDD" w:sz="4"/>
            </w:tcBorders>
            <w:shd w:fill="F7F7F7" w:val="clear"/>
            <w:tcMar>
              <w:top w:type="dxa" w:w="100"/>
              <w:left w:type="dxa" w:w="160"/>
              <w:bottom w:type="dxa" w:w="100"/>
              <w:right w:type="dxa" w:w="160"/>
            </w:tcMar>
          </w:tcPr>
          <w:p>
            <w:r>
              <w:rPr>
                <w:rFonts w:ascii="Arial" w:cs="Arial" w:eastAsia="Arial" w:hAnsi="Arial"/>
                <w:b/>
                <w:bCs/>
                <w:color w:val="0F6E56"/>
                <w:sz w:val="18"/>
                <w:szCs w:val="18"/>
              </w:rPr>
              <w:t xml:space="preserve">Approval is sought from the Project Sponsor (CEO, Illumin Investments CC) to proceed with the Phase 1 build per the v3.7 corrected specification. The sign-off below confirms commitment to the funding, timeline, and scope described in this Business Case.</w:t>
            </w:r>
            <w:r>
              <w:rPr>
                <w:rFonts w:ascii="Arial" w:cs="Arial" w:eastAsia="Arial" w:hAnsi="Arial"/>
                <w:i/>
                <w:iCs/>
                <w:color w:val="555555"/>
                <w:sz w:val="18"/>
                <w:szCs w:val="18"/>
              </w:rPr>
              <w:t xml:space="preserve"/>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1200"/>
        <w:gridCol w:w="1200"/>
      </w:tblGrid>
      <w:tr>
        <w:trPr>
          <w:tblHeader/>
        </w:trPr>
        <w:tc>
          <w:tcPr>
            <w:tcW w:type="dxa" w:w="30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Item / Requirement</w:t>
            </w:r>
          </w:p>
        </w:tc>
        <w:tc>
          <w:tcPr>
            <w:tcW w:type="dxa" w:w="396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Detail / Description</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Owner</w:t>
            </w:r>
          </w:p>
        </w:tc>
        <w:tc>
          <w:tcPr>
            <w:tcW w:type="dxa" w:w="1200"/>
            <w:gridSpan w:val="1"/>
            <w:tcBorders>
              <w:top w:val="single" w:color="0F6E56" w:sz="4"/>
              <w:left w:val="single" w:color="0F6E56" w:sz="4"/>
              <w:bottom w:val="single" w:color="0F6E56" w:sz="4"/>
              <w:right w:val="single" w:color="0F6E56" w:sz="4"/>
            </w:tcBorders>
            <w:shd w:fill="1D9E75"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18"/>
                <w:szCs w:val="18"/>
              </w:rPr>
              <w:t xml:space="preserve">Status</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Project Sponsor</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to proceed — v3.7 spec, Phase 1 scope</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CEO Illumin Investments CC</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Commercial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§37 subscription tier pricing</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CFO / CEO</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Architecture Review</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v3.7 spec sign-off — Sections 32–37 amendments</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Software Engineer &amp; Architect</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Drafted</w:t>
            </w:r>
          </w:p>
        </w:tc>
      </w:tr>
      <w:tr>
        <w:tc>
          <w:tcPr>
            <w:tcW w:type="dxa" w:w="30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Funding</w:t>
            </w:r>
          </w:p>
        </w:tc>
        <w:tc>
          <w:tcPr>
            <w:tcW w:type="dxa" w:w="396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Phase 1 budget allocation</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Sponsor</w:t>
            </w:r>
          </w:p>
        </w:tc>
        <w:tc>
          <w:tcPr>
            <w:tcW w:type="dxa" w:w="120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Pending</w:t>
            </w:r>
          </w:p>
        </w:tc>
      </w:tr>
    </w:tbl>
    <w:p>
      <w:r>
        <w:t xml:space="preserve"/>
      </w:r>
    </w:p>
    <w:p>
      <w:r>
        <w:t xml:space="preserve"/>
      </w:r>
    </w:p>
    <w:p>
      <w:pPr>
        <w:pBdr>
          <w:top w:val="single" w:color="1D9E75" w:sz="6"/>
        </w:pBdr>
        <w:spacing w:after="120" w:before="200"/>
      </w:pPr>
      <w:r>
        <w:rPr>
          <w:rFonts w:ascii="Arial" w:cs="Arial" w:eastAsia="Arial" w:hAnsi="Arial"/>
          <w:b/>
          <w:bCs/>
          <w:color w:val="0F6E56"/>
          <w:sz w:val="22"/>
          <w:szCs w:val="22"/>
        </w:rPr>
        <w:t xml:space="preserve">Document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Prepared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Uriel Tapiwa Munjanga  |  Software Engineer &amp; Architect</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Reviewed By</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Approved By</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Name, Title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Review Date</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Approval Date</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Next Review</w:t>
            </w:r>
          </w:p>
        </w:tc>
        <w:tc>
          <w:tcPr>
            <w:tcW w:type="dxa" w:w="4680"/>
            <w:gridSpan w:val="1"/>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 DD Month YYYY ]</w:t>
            </w:r>
          </w:p>
        </w:tc>
      </w:tr>
      <w:tr>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Document Status</w:t>
            </w:r>
          </w:p>
        </w:tc>
        <w:tc>
          <w:tcPr>
            <w:tcW w:type="dxa" w:w="4680"/>
            <w:gridSpan w:val="1"/>
            <w:tcBorders>
              <w:top w:val="single" w:color="DDDDDD" w:sz="4"/>
              <w:left w:val="single" w:color="DDDDDD" w:sz="4"/>
              <w:bottom w:val="single" w:color="DDDDDD" w:sz="4"/>
              <w:right w:val="single" w:color="DDDDDD" w:sz="4"/>
            </w:tcBorders>
            <w:shd w:fill="F7F7F7"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1A1A1A"/>
                <w:sz w:val="18"/>
                <w:szCs w:val="18"/>
              </w:rPr>
              <w:t xml:space="preserve">TEMPLATE — Pending Completion</w:t>
            </w:r>
          </w:p>
        </w:tc>
      </w:tr>
    </w:tbl>
    <w:p>
      <w:r>
        <w:t xml:space="preserve"/>
      </w:r>
    </w:p>
    <w:p>
      <w:pPr>
        <w:spacing w:after="80" w:before="60"/>
        <w:jc w:val="center"/>
      </w:pPr>
      <w:r>
        <w:rPr>
          <w:rFonts w:ascii="Arial" w:cs="Arial" w:eastAsia="Arial" w:hAnsi="Arial"/>
          <w:b w:val="false"/>
          <w:bCs w:val="false"/>
          <w:i w:val="false"/>
          <w:iCs w:val="false"/>
          <w:color w:val="555555"/>
          <w:sz w:val="16"/>
          <w:szCs w:val="16"/>
        </w:rPr>
        <w:t xml:space="preserve">Illumin Investments CC  (CC Reg: 2016/08234  |  VAT: 07851437-015)  |  Trading as Illumin  |  Windhoek, Namibia  |  illumin360.com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9E75" w:sz="4"/>
      </w:pBdr>
      <w:tabs>
        <w:tab w:val="right" w:pos="9026"/>
      </w:tabs>
      <w:spacing w:before="80"/>
    </w:pPr>
    <w:r>
      <w:rPr>
        <w:rFonts w:ascii="Arial" w:cs="Arial" w:eastAsia="Arial" w:hAnsi="Arial"/>
        <w:color w:val="555555"/>
        <w:sz w:val="16"/>
        <w:szCs w:val="16"/>
      </w:rPr>
      <w:t xml:space="preserve">Illumin Investments CC  |  CC Reg: 2016/08234  |  VAT: 07851437-015  |  illumin360.com</w:t>
    </w:r>
    <w:r>
      <w:rPr>
        <w:rFonts w:ascii="Arial" w:cs="Arial" w:eastAsia="Arial" w:hAnsi="Arial"/>
        <w:color w:val="555555"/>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9E75" w:sz="6"/>
      </w:pBdr>
      <w:spacing w:after="100"/>
    </w:pPr>
    <w:r>
      <w:rPr>
        <w:rFonts w:ascii="Arial" w:cs="Arial" w:eastAsia="Arial" w:hAnsi="Arial"/>
        <w:b/>
        <w:bCs/>
        <w:color w:val="1D9E75"/>
        <w:sz w:val="20"/>
        <w:szCs w:val="20"/>
      </w:rPr>
      <w:t xml:space="preserve">ILLUMIN360  |  Business Case  </w:t>
    </w:r>
    <w:r>
      <w:rPr>
        <w:rFonts w:ascii="Arial" w:cs="Arial" w:eastAsia="Arial" w:hAnsi="Arial"/>
        <w:color w:val="555555"/>
        <w:sz w:val="18"/>
        <w:szCs w:val="18"/>
      </w:rPr>
      <w:t xml:space="preserve">ILLM-01-001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F6E56"/>
      <w:sz w:val="32"/>
      <w:szCs w:val="32"/>
    </w:rPr>
  </w:style>
  <w:style w:type="paragraph" w:styleId="Heading2">
    <w:name w:val="Heading 2"/>
    <w:basedOn w:val="Normal"/>
    <w:next w:val="Normal"/>
    <w:qFormat/>
    <w:pPr>
      <w:spacing w:after="80" w:before="200"/>
      <w:outlineLvl w:val="1"/>
    </w:pPr>
    <w:rPr>
      <w:rFonts w:ascii="Arial" w:cs="Arial" w:eastAsia="Arial" w:hAnsi="Arial"/>
      <w:b/>
      <w:bCs/>
      <w:color w:val="0F6E56"/>
      <w:sz w:val="26"/>
      <w:szCs w:val="26"/>
    </w:rPr>
  </w:style>
  <w:style w:type="paragraph" w:styleId="Heading3">
    <w:name w:val="Heading 3"/>
    <w:basedOn w:val="Normal"/>
    <w:next w:val="Normal"/>
    <w:qFormat/>
    <w:pPr>
      <w:spacing w:after="60" w:before="14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2026-05-07T05:43:53.188Z</dcterms:created>
  <dcterms:modified xsi:type="dcterms:W3CDTF">2026-05-07T05:43:53.188Z</dcterms:modified>
</cp:coreProperties>
</file>

<file path=docProps/custom.xml><?xml version="1.0" encoding="utf-8"?>
<Properties xmlns="http://schemas.openxmlformats.org/officeDocument/2006/custom-properties" xmlns:vt="http://schemas.openxmlformats.org/officeDocument/2006/docPropsVTypes"/>
</file>