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FUNCTIONAL REQUIREMENTS SPECIFICATION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ILLM-02-002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ILLM-02-001 — Business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ILLM-02-003 — Non-Functional Requirements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Technical Lead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spec. FR families FR-1 through FR-39 covering Professional, Student, Business modules, matching engine, Auto-Application, Founder, AI Assistant, adaptive weighting, gap analysis, RLHF, assets, PWA, social features, badges, video, Support Portal, Benchmarking, Business subscription tiers.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Functional Requirements Specification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ILLM-02-001 — Business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ILLM-02-003 — Non-Functional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Technical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This specification enumerates the platform's functional requirements. Each requirement traces to a section of the v3.7 spec and is testable. Non-functional requirements are in ILLM-02-003.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Enumerate functional requirements for Phase 1 through Phase 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Every FR links back to a v3.7 spec section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Each FR has acceptance criteria in the test plans (folder 08)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 scope: all functional behaviour of the 5 portals (Professional, Student, Business, Administrator, Support) and all back-end services. Out of scope: infrastructure (covered in ILLM-03-001 Architecture), security details (ILLM-03-007), database schema (ILLM-03-004).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 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Functional behaviour of all 5 portals and back-end services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of scope — infra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Covered in Architecture Diagrams (ILLM-03-001)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of scope — 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Covered in Security Design (ILLM-03-007)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 of scope — schema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Covered in Database Design (ILLM-03-004)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Requirements are grouped into 19 families. Each family is numbered FR-N.x. Detailed text per family is in the rows below (top-level summary) — full requirement statements are maintained in the source v3.7 spec sections referenced.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 Registration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Professional, Student, Business registration via Keycloak SSO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§3.1, 4.1, 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 Profile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 fields per segment; CV/photo/video upload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§3, 4, 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FR-3 Subscription mgmt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Tiered subscriptions for all 3 segments; renewal reminders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§2, §37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1–2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FR-4 Recruitment request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creates request with 4 search modes + auto-application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§5, §7, §33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FR-5 Matching 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Two-pass — hard filters + weighted scoring; 30s for 5k candidates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FR-6 Shortlist &amp; report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+ Word with methodology disclosure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§9, §10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FR-7 Payment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Hosted gateway, webhook-driven, PCI-DSS SAQ 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§11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FR-8 Notification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+ in-product; 52+ triggers per segment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§12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FR-9 Compliance controls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Sensitive filter warning D-04; declaration D-03; audit logs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§15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FR-10 Admin portal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Full system access; reports and analytics; refund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§16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FR-11 Internal recruitment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Private branded portal; auto-close; consolidated billing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 Student lifecycle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Verification (3 methods); graduation upgrade 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FR-13 Social features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 card, demand feed, insights, spotlight, referral, talent report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5–6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FR-14 Adaptive weighting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Custom weights per request; sum-to-100; immutable audit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§22.1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FR-15 Gap 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70–85% band sub-blocks; structural traceability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§22.2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FR-16 RLHF data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Day-14 employer feedback; 500-record threshold for Phase 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§22.3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FR-17 Asset mgmt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Logos (business/institution); blind-screening photo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FR-18 PWA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Manifest, service worker, offline fallback, install prompts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FR-19 Badges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 candidate + 5 employer types; auto-award triggers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5–6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FR-20 AI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 instances; per-user-type context; escalation 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§29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FR-21 Founder Programme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Quota enforcement; race-condition serialisation; permanent badges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FR-22 Branding policy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client-facing AI/vendor references; post-gen filter on assistant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phases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FR-23 Support Portal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Tickets, KB, identity verification, abuse moderation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FR-24 Auto-Application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Standing-application principle; opt-outs; notification tiers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 Benchmarking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workforce vs industry; Professional/Student rank widgets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5–6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FR-26 Architecture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Microservices aligned to DDD; Clean layering; OpenAPI contracts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1+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FR-27 OSS stack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Keycloak, RabbitMQ, Grafana stack, PostgreSQL, MinIO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1+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FR-28 Business subscription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4-tier model + per-request discounts and allowances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§37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FR-29 Video integration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60s pitch; transcription at 30% weight; admin moderation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 §23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7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Module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Functional requirements are owned by the following bounded-context services. Each service has its FR families grouped here for implementation planning.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integration; profile shell — FR-1, FR-2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Professional/Student profile, CV, badges — FR-2, FR-12, FR-19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profile, internal portal — FR-2, FR-11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requests, compliance — FR-4, FR-9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 engine, auto-application, adaptive weighting, gap analysis — FR-5, FR-14, FR-15, FR-24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PDF/Word report generation — FR-6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 + invoicing + subscriptions — FR-3, FR-7, FR-28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notification-svc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+ in-product — FR-8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Assistant — FR-20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Badges, social features, referrals — FR-13, FR-19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snapshots, rankings — FR-25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Tickets, KB — FR-23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admin-svc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dashboard, audit — FR-10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Each FR has acceptance criteria captured in the relevant Test Cases document under folder 08. Top-level acceptance gates per phase are summarised here.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Phase 1 FRs pass; Founder quota race tested; Auto-Application audit ledger working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Reporting, payments, notifications operational; consolidated invoicing live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Privacy, compliance, candidate unlock, admin analytics live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recruitment portal end-to-end; HR notifications working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CSR + social features (F1–F5, F7) + Support Portal live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Assistant + adaptive weighting + gap analysis + assets + PWA + badges live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7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Video integration live; transcription cap at 30% verified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8 gate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RLHF model refinement post-500-record threshold; marketplace expansion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Traceability to Business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Full traceability is maintained in the Requirements Traceability Matrix (ILLM-02-006). Top-level mapping shown here.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talent pool access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FR-2, FR-4, FR-5, FR-24 (Auto-Application)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cost vs agencies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FR-7, FR-28 (per-request fees, subscription tiers)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speed of shortlist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FR-5 (30s/5k cands), FR-6 (60s report gen)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transparency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FR-6 (methodology disclosure), FR-14 (weights_used audit)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internal recruitment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FR-11 (consolidated billing)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graduate pipeline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FR-12 (student lifecycle), FR-24 (auto-application)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FR-9 (sensitive filter), FR-22 (branding policy)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 — benchmarking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FR-25 (Business + Professional + Student benchmarking)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Traced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Approval of this functional requirements specification authorises the design and development teams to proceed against the FR set above. Changes after approval flow through Change Control (ILLM-13-005).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 set is complete, testable, and traced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 set aligns to project plan and phase boundaries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 set is testable; test plans derived from 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 set delivers the business case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Functional Requirements Specification  </w:t>
    </w:r>
    <w:r>
      <w:rPr>
        <w:rFonts w:ascii="Arial" w:cs="Arial" w:eastAsia="Arial" w:hAnsi="Arial"/>
        <w:color w:val="555555"/>
        <w:sz w:val="18"/>
        <w:szCs w:val="18"/>
      </w:rPr>
      <w:t xml:space="preserve">ILLM-02-002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2026-05-07T05:43:53.928Z</dcterms:created>
  <dcterms:modified xsi:type="dcterms:W3CDTF">2026-05-07T05:43:53.928Z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