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SYSTEM ARCHITECTURE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ILLM-03-001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03 — System Design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ILLM-02-007 — Requirements Sign-Off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ILLM-03-002 — Technology Stack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Technical Lead  |  Senior Developers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Technical Lead  |  Project Sponsor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from v3.7 spec §35 bounded-context map. Microservices architecture aligned to DDD with Clean Architecture layering per service.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ILLM-03-001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System Architecture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03 — System Design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ILLM-02-007 — Requirements Sign-Off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ILLM-03-002 — Technology Stack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Technical Lead  |  Senior Developers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Technical Lead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Architecture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The Illumin360 platform is a microservices architecture aligned to Domain-Driven Design bounded contexts. Each service owns a context, owns its data, and exposes APIs through an API gateway. Async communication flows via RabbitMQ; sync via REST. Clean Architecture layering applies within each service — domain layer is independent of frameworks and infrastructure. The five portals (Professional, Student, Business, Administrator, Support) consume the same back-end services through scoped Keycloak-validated tokens.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Architecture style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Microservices aligned to DDD bounded contexts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Inter-service comms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Async events via RabbitMQ; sync queries via REST through API gateway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Per-service architecture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Clean Architecture — Domain / Application / Infrastructure layers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External-traffic edge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Kong or Traefik API gateway with Keycloak token validation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Frontend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Five portals consuming the same back-end APIs with scoped tokens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DDD, Clean, Microservices, REST, OpenAPI 3.x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Architecture Diagrams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Diagrams to be produced as separate visual artefacts and embedded in this section. The table below catalogues the diagram inventory. Each diagram is maintained in a separate diagram source file (Mermaid or PlantUML) and exported as PNG for inclusion.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DIAG-1 System context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Five portals, external systems (Keycloak, payment gateway, AI services), platform boundary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 produce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DIAG-2 Bounded context map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13 bounded contexts with relationships (customer/supplier, conformist, anti-corruption layer)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 produce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DIAG-3 Microservices deployment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K8s pod topology, service-to-service communication paths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 produce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DIAG-4 Data flow — registration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 registration end-to-end including Founder grant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 produce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DIAG-5 Data flow — Auto-Application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Request creation through matching to audit ledger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 produce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DIAG-6 Data flow — internal portal close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Cron close → matching → report generation → notification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 produce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DIAG-7 Data flow — payment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Webhook-driven payment confirmation flow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 produce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DIAG-8 Component — matching engine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Two-pass pipeline with custom weights and gap analysis branches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 produce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DIAG-9 Sequence — AI Assistant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User message through context assembly, inference, post-gen filter, response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 produce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DIAG-10 Observability stack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OpenTelemetry → Prometheus / Loki / Tempo → Grafana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 produce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Architecture Decisions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Key architecture decisions captured here at headline level. Full ADRs maintained in the Decision Log (ILLM-13-008).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AD-1 Microservices aligned to DDD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13 services per spec §35; deployable independently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Decided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AD-2 Keycloak as IAM authority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OIDC for all portals; platform doesn't store passwords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Decided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AD-3 RabbitMQ for async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Durable, routing-flexible message queue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Decided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AD-4 PostgreSQL + pgvector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Relational + vector search in one database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Decided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AD-5 MinIO for object storage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S3-compatible, on-prem option, free egress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Decided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AD-6 Grafana LGTM stack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Unified observability vendor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Decided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AD-7 Temporal for long workflows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Founder grant, portal close, subscription lifecycle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Decided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AD-8 API gateway pattern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Kong or Traefik with OIDC validation and rate limiting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 — pick one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AD-9 Blind-screening structural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Photo not in matching projection — compliance by design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Decided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AD-10 Founder quota serialisation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SELECT FOR UPDATE; race-condition tested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Decided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AD-11 .NET application language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Implied by §35 standards list — pending explicit confirmation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Quality Attributes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Quality attribute targets that drive architecture choices.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Availability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99.5% Year 1; 99.9% by Year 2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Target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Performance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Matching P95 30s/5k; API P95 &lt;300ms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Target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Scalability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Horizontal scaling on stateless services; partition large tables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Security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Keycloak + Vault + ClamAV + audit; ISO 27001 control mapping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Maintainability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Clean Architecture per service; OpenAPI contracts; .NET conventions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Observability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OpenTelemetry instrumentation; LGTM stack visibility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Auditability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Append-only audit_logs; 7-year retention on compliance entries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PCI-DSS SAQ A; Labour Act 11/2007; ETA 4/2019; ISO 27001 alignment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Component Descriptions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Each microservice and its bounded context. See spec §35 for the canonical list.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identity-svc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Keycloak adapter; profile shell; role mapping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Service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professional-svc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 + Student profile, CV, skills, badges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Service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business-svc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Business profile, internal portal config, logo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Service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recruitment-svc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Recruitment requests, compliance justifications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Service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matching-svc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Matching engine, Auto-Application, adaptive weighting, gap analysis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Service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reporting-svc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PDF + Word report generation; MinIO output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Service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payment-svc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Payment initiation, webhook, invoicing, subscriptions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Service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notification-svc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Email + in-product notifications via RabbitMQ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Service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ai-assistant-svc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Conversational assistant; session; escalation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Service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engagement-svc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Badges, social features, referrals, demand feed, spotlight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Service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benchmarking-svc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Workforce snapshots; Professional and Student rankings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Service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support-svc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Tickets, KB, audit, identity-verification workflow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Service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admin-svc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Admin dashboard, reports, read-mostly audit views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Service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7. Review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Architecture document review and approval per the design review process.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Bounded context map and service decomposition reviewed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Software Engineer &amp; 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K8s deployment topology feasible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Architecture aligns with business case and budget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Diagrams sign-off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 after DIAG-1 through DIAG-10 are produced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System Architecture  </w:t>
    </w:r>
    <w:r>
      <w:rPr>
        <w:rFonts w:ascii="Arial" w:cs="Arial" w:eastAsia="Arial" w:hAnsi="Arial"/>
        <w:color w:val="555555"/>
        <w:sz w:val="18"/>
        <w:szCs w:val="18"/>
      </w:rPr>
      <w:t xml:space="preserve">ILLM-03-001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2026-05-07T05:43:54.332Z</dcterms:created>
  <dcterms:modified xsi:type="dcterms:W3CDTF">2026-05-07T05:43:54.332Z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