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D9E75" w:val="clear"/>
            <w:tcMar>
              <w:top w:type="dxa" w:w="220"/>
              <w:left w:type="dxa" w:w="240"/>
              <w:bottom w:type="dxa" w:w="60"/>
              <w:right w:type="dxa" w:w="240"/>
            </w:tcMar>
          </w:tcPr>
          <w:p>
            <w:pPr>
              <w:jc w:val="center"/>
            </w:pPr>
            <w:r>
              <w:rPr>
                <w:rFonts w:ascii="Arial" w:cs="Arial" w:eastAsia="Arial" w:hAnsi="Arial"/>
                <w:b/>
                <w:bCs/>
                <w:color w:val="FFFFFF"/>
                <w:sz w:val="80"/>
                <w:szCs w:val="80"/>
              </w:rPr>
              <w:t xml:space="preserve">ILLUMIN360</w:t>
            </w:r>
          </w:p>
        </w:tc>
      </w:tr>
      <w:tr>
        <w:tc>
          <w:tcPr>
            <w:tcW w:type="dxa" w:w="9360"/>
            <w:tcBorders>
              <w:top w:val="none" w:color="FFFFFF" w:sz="0"/>
              <w:left w:val="none" w:color="FFFFFF" w:sz="0"/>
              <w:bottom w:val="none" w:color="FFFFFF" w:sz="0"/>
              <w:right w:val="none" w:color="FFFFFF" w:sz="0"/>
            </w:tcBorders>
            <w:shd w:fill="1D9E75" w:val="clear"/>
            <w:tcMar>
              <w:top w:type="dxa" w:w="0"/>
              <w:left w:type="dxa" w:w="240"/>
              <w:bottom w:type="dxa" w:w="180"/>
              <w:right w:type="dxa" w:w="240"/>
            </w:tcMar>
          </w:tcPr>
          <w:p>
            <w:pPr>
              <w:jc w:val="center"/>
            </w:pPr>
            <w:r>
              <w:rPr>
                <w:rFonts w:ascii="Arial" w:cs="Arial" w:eastAsia="Arial" w:hAnsi="Arial"/>
                <w:color w:val="E1F5EE"/>
                <w:sz w:val="22"/>
                <w:szCs w:val="22"/>
              </w:rPr>
              <w:t xml:space="preserve">Talent Match &amp; Recruitment Platform  |  Namibia</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F6E56" w:val="clear"/>
            <w:tcMar>
              <w:top w:type="dxa" w:w="180"/>
              <w:left w:type="dxa" w:w="240"/>
              <w:bottom w:type="dxa" w:w="60"/>
              <w:right w:type="dxa" w:w="240"/>
            </w:tcMar>
          </w:tcPr>
          <w:p>
            <w:pPr>
              <w:jc w:val="center"/>
            </w:pPr>
            <w:r>
              <w:rPr>
                <w:rFonts w:ascii="Arial" w:cs="Arial" w:eastAsia="Arial" w:hAnsi="Arial"/>
                <w:b/>
                <w:bCs/>
                <w:color w:val="FFFFFF"/>
                <w:sz w:val="44"/>
                <w:szCs w:val="44"/>
              </w:rPr>
              <w:t xml:space="preserve">INTEGRATION ARCHITECTURE</w:t>
            </w:r>
          </w:p>
        </w:tc>
      </w:tr>
      <w:tr>
        <w:tc>
          <w:tcPr>
            <w:tcW w:type="dxa" w:w="9360"/>
            <w:tcBorders>
              <w:top w:val="none" w:color="FFFFFF" w:sz="0"/>
              <w:left w:val="none" w:color="FFFFFF" w:sz="0"/>
              <w:bottom w:val="none" w:color="FFFFFF" w:sz="0"/>
              <w:right w:val="none" w:color="FFFFFF" w:sz="0"/>
            </w:tcBorders>
            <w:shd w:fill="0F6E56" w:val="clear"/>
            <w:tcMar>
              <w:top w:type="dxa" w:w="0"/>
              <w:left w:type="dxa" w:w="240"/>
              <w:bottom w:type="dxa" w:w="180"/>
              <w:right w:type="dxa" w:w="240"/>
            </w:tcMar>
          </w:tcPr>
          <w:p>
            <w:pPr>
              <w:jc w:val="center"/>
            </w:pPr>
            <w:r>
              <w:rPr>
                <w:rFonts w:ascii="Arial" w:cs="Arial" w:eastAsia="Arial" w:hAnsi="Arial"/>
                <w:color w:val="E1F5EE"/>
                <w:sz w:val="20"/>
                <w:szCs w:val="20"/>
              </w:rPr>
              <w:t xml:space="preserve">Document ID: ILLM-03-003  |  Version 1.0  |  April 2026  |  CONFIDENTIAL</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80"/>
        <w:gridCol w:w="2600"/>
        <w:gridCol w:w="2080"/>
      </w:tblGrid>
      <w:tr>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bCs/>
                <w:i w:val="false"/>
                <w:iCs w:val="false"/>
                <w:color w:val="0F6E56"/>
                <w:sz w:val="17"/>
                <w:szCs w:val="17"/>
              </w:rPr>
              <w:t xml:space="preserve">Project</w:t>
            </w:r>
          </w:p>
        </w:tc>
        <w:tc>
          <w:tcPr>
            <w:tcW w:type="dxa" w:w="20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7"/>
                <w:szCs w:val="17"/>
              </w:rPr>
              <w:t xml:space="preserve">Illumin360 — Talent Match &amp; Recruitment Platform</w:t>
            </w:r>
          </w:p>
        </w:tc>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bCs/>
                <w:i w:val="false"/>
                <w:iCs w:val="false"/>
                <w:color w:val="0F6E56"/>
                <w:sz w:val="17"/>
                <w:szCs w:val="17"/>
              </w:rPr>
              <w:t xml:space="preserve">Classification</w:t>
            </w:r>
          </w:p>
        </w:tc>
        <w:tc>
          <w:tcPr>
            <w:tcW w:type="dxa" w:w="20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7"/>
                <w:szCs w:val="17"/>
              </w:rPr>
              <w:t xml:space="preserve">CONFIDENTIAL</w:t>
            </w:r>
          </w:p>
        </w:tc>
      </w:tr>
      <w:tr>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bCs/>
                <w:i w:val="false"/>
                <w:iCs w:val="false"/>
                <w:color w:val="0F6E56"/>
                <w:sz w:val="17"/>
                <w:szCs w:val="17"/>
              </w:rPr>
              <w:t xml:space="preserve">Organisation</w:t>
            </w:r>
          </w:p>
        </w:tc>
        <w:tc>
          <w:tcPr>
            <w:tcW w:type="dxa" w:w="20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7"/>
                <w:szCs w:val="17"/>
              </w:rPr>
              <w:t xml:space="preserve">Illumin Investments CC  |  CC Reg: 2016/08234  |  VAT: 07851437-015</w:t>
            </w:r>
          </w:p>
        </w:tc>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bCs/>
                <w:i w:val="false"/>
                <w:iCs w:val="false"/>
                <w:color w:val="0F6E56"/>
                <w:sz w:val="17"/>
                <w:szCs w:val="17"/>
              </w:rPr>
              <w:t xml:space="preserve">Status</w:t>
            </w:r>
          </w:p>
        </w:tc>
        <w:tc>
          <w:tcPr>
            <w:tcW w:type="dxa" w:w="20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7"/>
                <w:szCs w:val="17"/>
              </w:rPr>
              <w:t xml:space="preserve">Draft for review — v2.0</w:t>
            </w:r>
          </w:p>
        </w:tc>
      </w:tr>
      <w:tr>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bCs/>
                <w:i w:val="false"/>
                <w:iCs w:val="false"/>
                <w:color w:val="0F6E56"/>
                <w:sz w:val="17"/>
                <w:szCs w:val="17"/>
              </w:rPr>
              <w:t xml:space="preserve">Author</w:t>
            </w:r>
          </w:p>
        </w:tc>
        <w:tc>
          <w:tcPr>
            <w:tcW w:type="dxa" w:w="20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7"/>
                <w:szCs w:val="17"/>
              </w:rPr>
              <w:t xml:space="preserve">Uriel Tapiwa Munjanga</w:t>
            </w:r>
          </w:p>
        </w:tc>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bCs/>
                <w:i w:val="false"/>
                <w:iCs w:val="false"/>
                <w:color w:val="0F6E56"/>
                <w:sz w:val="17"/>
                <w:szCs w:val="17"/>
              </w:rPr>
              <w:t xml:space="preserve">Role / Title</w:t>
            </w:r>
          </w:p>
        </w:tc>
        <w:tc>
          <w:tcPr>
            <w:tcW w:type="dxa" w:w="20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7"/>
                <w:szCs w:val="17"/>
              </w:rPr>
              <w:t xml:space="preserve">Software Engineer &amp; Architect</w:t>
            </w:r>
          </w:p>
        </w:tc>
      </w:tr>
      <w:tr>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bCs/>
                <w:i w:val="false"/>
                <w:iCs w:val="false"/>
                <w:color w:val="0F6E56"/>
                <w:sz w:val="17"/>
                <w:szCs w:val="17"/>
              </w:rPr>
              <w:t xml:space="preserve">SDLC Phase</w:t>
            </w:r>
          </w:p>
        </w:tc>
        <w:tc>
          <w:tcPr>
            <w:tcW w:type="dxa" w:w="20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7"/>
                <w:szCs w:val="17"/>
              </w:rPr>
              <w:t xml:space="preserve">03 — System Design</w:t>
            </w:r>
          </w:p>
        </w:tc>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bCs/>
                <w:i w:val="false"/>
                <w:iCs w:val="false"/>
                <w:color w:val="0F6E56"/>
                <w:sz w:val="17"/>
                <w:szCs w:val="17"/>
              </w:rPr>
              <w:t xml:space="preserve">Methodology</w:t>
            </w:r>
          </w:p>
        </w:tc>
        <w:tc>
          <w:tcPr>
            <w:tcW w:type="dxa" w:w="20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7"/>
                <w:szCs w:val="17"/>
              </w:rPr>
              <w:t xml:space="preserve">Waterfall</w:t>
            </w:r>
          </w:p>
        </w:tc>
      </w:tr>
      <w:tr>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bCs/>
                <w:i w:val="false"/>
                <w:iCs w:val="false"/>
                <w:color w:val="0F6E56"/>
                <w:sz w:val="17"/>
                <w:szCs w:val="17"/>
              </w:rPr>
              <w:t xml:space="preserve">Predecessor Document</w:t>
            </w:r>
          </w:p>
        </w:tc>
        <w:tc>
          <w:tcPr>
            <w:tcW w:type="dxa" w:w="20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7"/>
                <w:szCs w:val="17"/>
              </w:rPr>
              <w:t xml:space="preserve">ILLM-03-002 — Technology Stack</w:t>
            </w:r>
          </w:p>
        </w:tc>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bCs/>
                <w:i w:val="false"/>
                <w:iCs w:val="false"/>
                <w:color w:val="0F6E56"/>
                <w:sz w:val="17"/>
                <w:szCs w:val="17"/>
              </w:rPr>
              <w:t xml:space="preserve">Successor Document</w:t>
            </w:r>
          </w:p>
        </w:tc>
        <w:tc>
          <w:tcPr>
            <w:tcW w:type="dxa" w:w="20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7"/>
                <w:szCs w:val="17"/>
              </w:rPr>
              <w:t xml:space="preserve">ILLM-03-004 — Database Design</w:t>
            </w:r>
          </w:p>
        </w:tc>
      </w:tr>
      <w:tr>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bCs/>
                <w:i w:val="false"/>
                <w:iCs w:val="false"/>
                <w:color w:val="0F6E56"/>
                <w:sz w:val="17"/>
                <w:szCs w:val="17"/>
              </w:rPr>
              <w:t xml:space="preserve">Review Required By</w:t>
            </w:r>
          </w:p>
        </w:tc>
        <w:tc>
          <w:tcPr>
            <w:tcW w:type="dxa" w:w="20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7"/>
                <w:szCs w:val="17"/>
              </w:rPr>
              <w:t xml:space="preserve">Technical Lead  |  Integration Specialist</w:t>
            </w:r>
          </w:p>
        </w:tc>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bCs/>
                <w:i w:val="false"/>
                <w:iCs w:val="false"/>
                <w:color w:val="0F6E56"/>
                <w:sz w:val="17"/>
                <w:szCs w:val="17"/>
              </w:rPr>
              <w:t xml:space="preserve">Sign-Off Authority</w:t>
            </w:r>
          </w:p>
        </w:tc>
        <w:tc>
          <w:tcPr>
            <w:tcW w:type="dxa" w:w="20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7"/>
                <w:szCs w:val="17"/>
              </w:rPr>
              <w:t xml:space="preserve">Technical Lead  |  Project Sponsor</w:t>
            </w:r>
          </w:p>
        </w:tc>
      </w:tr>
    </w:tbl>
    <w:p>
      <w:r>
        <w:t xml:space="preserve"/>
      </w:r>
    </w:p>
    <w:p>
      <w:r>
        <w:t xml:space="preserve"/>
      </w:r>
    </w:p>
    <w:p>
      <w:pPr>
        <w:pStyle w:val="Heading3"/>
        <w:spacing w:after="60" w:before="140"/>
      </w:pPr>
      <w:r>
        <w:rPr>
          <w:rFonts w:ascii="Arial" w:cs="Arial" w:eastAsia="Arial" w:hAnsi="Arial"/>
        </w:rPr>
        <w:t xml:space="preserve">Document Version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600"/>
        <w:gridCol w:w="2600"/>
        <w:gridCol w:w="2960"/>
      </w:tblGrid>
      <w:tr>
        <w:trPr>
          <w:tblHeader/>
        </w:trPr>
        <w:tc>
          <w:tcPr>
            <w:tcW w:type="dxa" w:w="12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Version</w:t>
            </w:r>
          </w:p>
        </w:tc>
        <w:tc>
          <w:tcPr>
            <w:tcW w:type="dxa" w:w="26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Date</w:t>
            </w:r>
          </w:p>
        </w:tc>
        <w:tc>
          <w:tcPr>
            <w:tcW w:type="dxa" w:w="26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Author</w:t>
            </w:r>
          </w:p>
        </w:tc>
        <w:tc>
          <w:tcPr>
            <w:tcW w:type="dxa" w:w="296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Change Description</w:t>
            </w:r>
          </w:p>
        </w:tc>
      </w:tr>
      <w:tr>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1.0</w:t>
            </w:r>
          </w:p>
        </w:tc>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April 2026</w:t>
            </w:r>
          </w:p>
        </w:tc>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Uriel Tapiwa Munjanga</w:t>
            </w:r>
          </w:p>
        </w:tc>
        <w:tc>
          <w:tcPr>
            <w:tcW w:type="dxa" w:w="2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Initial template created</w:t>
            </w:r>
          </w:p>
        </w:tc>
      </w:tr>
      <w:tr>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2.0</w:t>
            </w:r>
          </w:p>
        </w:tc>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14 May 2026</w:t>
            </w:r>
          </w:p>
        </w:tc>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Uriel Tapiwa Munjanga</w:t>
            </w:r>
          </w:p>
        </w:tc>
        <w:tc>
          <w:tcPr>
            <w:tcW w:type="dxa" w:w="2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Populated from v3.7 spec §28 (third-party AI services) and §11 (payment gateway). This is an internal technical document — explicit vendor names are permitted here per §31 branding policy (developer integration documentation is exempt).</w:t>
            </w:r>
          </w:p>
        </w:tc>
      </w:tr>
      <w:tr>
        <w:tc>
          <w:tcPr>
            <w:tcW w:type="dxa" w:w="120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2.1</w:t>
            </w:r>
          </w:p>
        </w:tc>
        <w:tc>
          <w:tcPr>
            <w:tcW w:type="dxa" w:w="260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30 May 2026</w:t>
            </w:r>
          </w:p>
        </w:tc>
        <w:tc>
          <w:tcPr>
            <w:tcW w:type="dxa" w:w="260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Uriel Tapiwa Munjanga</w:t>
            </w:r>
          </w:p>
        </w:tc>
        <w:tc>
          <w:tcPr>
            <w:tcW w:type="dxa" w:w="296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Added Section 8 — Internal Event-Driven Integration: documents the implemented Candidates-to-Notifications messaging over RabbitMQ via the MassTransit transactional outbox (CandidateRegistered event, shared contracts library, downstream consumer).</w:t>
            </w:r>
          </w:p>
        </w:tc>
      </w:tr>
    </w:tbl>
    <w:p>
      <w:r>
        <w:t xml:space="preserve"/>
      </w:r>
    </w:p>
    <w:p>
      <w:r>
        <w:t xml:space="preserve"/>
      </w:r>
    </w:p>
    <w:p>
      <w:r>
        <w:br w:type="page"/>
      </w:r>
    </w:p>
    <w:p>
      <w:pPr>
        <w:pStyle w:val="Heading1"/>
        <w:spacing w:after="120" w:before="280"/>
      </w:pPr>
      <w:r>
        <w:rPr>
          <w:rFonts w:ascii="Arial" w:cs="Arial" w:eastAsia="Arial" w:hAnsi="Arial"/>
        </w:rPr>
        <w:t xml:space="preserve">1. Document Introduction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4"/>
              <w:left w:val="single" w:color="DDDDDD" w:sz="4"/>
              <w:bottom w:val="single" w:color="DDDDDD" w:sz="4"/>
              <w:right w:val="single" w:color="DDDDDD" w:sz="4"/>
            </w:tcBorders>
            <w:shd w:fill="F7F7F7" w:val="clear"/>
            <w:tcMar>
              <w:top w:type="dxa" w:w="100"/>
              <w:left w:type="dxa" w:w="160"/>
              <w:bottom w:type="dxa" w:w="100"/>
              <w:right w:type="dxa" w:w="160"/>
            </w:tcMar>
          </w:tcPr>
          <w:p>
            <w:r>
              <w:rPr>
                <w:rFonts w:ascii="Arial" w:cs="Arial" w:eastAsia="Arial" w:hAnsi="Arial"/>
                <w:b/>
                <w:bCs/>
                <w:color w:val="0F6E56"/>
                <w:sz w:val="18"/>
                <w:szCs w:val="18"/>
              </w:rPr>
              <w:t xml:space="preserve">📋  Guidance: </w:t>
            </w:r>
            <w:r>
              <w:rPr>
                <w:rFonts w:ascii="Arial" w:cs="Arial" w:eastAsia="Arial" w:hAnsi="Arial"/>
                <w:i/>
                <w:iCs/>
                <w:color w:val="555555"/>
                <w:sz w:val="18"/>
                <w:szCs w:val="18"/>
              </w:rPr>
              <w:t xml:space="preserve">This section introduces the document, its purpose, and its place in the Illumin360 SDLC. Complete all sub-sections before circulating for review.</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r>
      <w:tr>
        <w:tc>
          <w:tcPr>
            <w:tcW w:type="dxa" w:w="24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Document ID</w:t>
            </w:r>
          </w:p>
        </w:tc>
        <w:tc>
          <w:tcPr>
            <w:tcW w:type="dxa" w:w="6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ILLM-03-003</w:t>
            </w:r>
          </w:p>
        </w:tc>
      </w:tr>
      <w:tr>
        <w:tc>
          <w:tcPr>
            <w:tcW w:type="dxa" w:w="240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Document Title</w:t>
            </w:r>
          </w:p>
        </w:tc>
        <w:tc>
          <w:tcPr>
            <w:tcW w:type="dxa" w:w="696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Integration Architecture</w:t>
            </w:r>
          </w:p>
        </w:tc>
      </w:tr>
      <w:tr>
        <w:tc>
          <w:tcPr>
            <w:tcW w:type="dxa" w:w="24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Project</w:t>
            </w:r>
          </w:p>
        </w:tc>
        <w:tc>
          <w:tcPr>
            <w:tcW w:type="dxa" w:w="6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Illumin360 — Talent Match &amp; Recruitment Platform</w:t>
            </w:r>
          </w:p>
        </w:tc>
      </w:tr>
      <w:tr>
        <w:tc>
          <w:tcPr>
            <w:tcW w:type="dxa" w:w="240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SDLC Phase</w:t>
            </w:r>
          </w:p>
        </w:tc>
        <w:tc>
          <w:tcPr>
            <w:tcW w:type="dxa" w:w="696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03 — System Design</w:t>
            </w:r>
          </w:p>
        </w:tc>
      </w:tr>
      <w:tr>
        <w:tc>
          <w:tcPr>
            <w:tcW w:type="dxa" w:w="24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Methodology</w:t>
            </w:r>
          </w:p>
        </w:tc>
        <w:tc>
          <w:tcPr>
            <w:tcW w:type="dxa" w:w="6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Waterfall</w:t>
            </w:r>
          </w:p>
        </w:tc>
      </w:tr>
      <w:tr>
        <w:tc>
          <w:tcPr>
            <w:tcW w:type="dxa" w:w="240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Version</w:t>
            </w:r>
          </w:p>
        </w:tc>
        <w:tc>
          <w:tcPr>
            <w:tcW w:type="dxa" w:w="696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1.0</w:t>
            </w:r>
          </w:p>
        </w:tc>
      </w:tr>
      <w:tr>
        <w:tc>
          <w:tcPr>
            <w:tcW w:type="dxa" w:w="24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Date</w:t>
            </w:r>
          </w:p>
        </w:tc>
        <w:tc>
          <w:tcPr>
            <w:tcW w:type="dxa" w:w="6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April 2026</w:t>
            </w:r>
          </w:p>
        </w:tc>
      </w:tr>
      <w:tr>
        <w:tc>
          <w:tcPr>
            <w:tcW w:type="dxa" w:w="240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Author</w:t>
            </w:r>
          </w:p>
        </w:tc>
        <w:tc>
          <w:tcPr>
            <w:tcW w:type="dxa" w:w="696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Uriel Tapiwa Munjanga  |  Software Engineer &amp; Architect</w:t>
            </w:r>
          </w:p>
        </w:tc>
      </w:tr>
      <w:tr>
        <w:tc>
          <w:tcPr>
            <w:tcW w:type="dxa" w:w="24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Predecessor</w:t>
            </w:r>
          </w:p>
        </w:tc>
        <w:tc>
          <w:tcPr>
            <w:tcW w:type="dxa" w:w="6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ILLM-03-002 — Technology Stack</w:t>
            </w:r>
          </w:p>
        </w:tc>
      </w:tr>
      <w:tr>
        <w:tc>
          <w:tcPr>
            <w:tcW w:type="dxa" w:w="240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Successor</w:t>
            </w:r>
          </w:p>
        </w:tc>
        <w:tc>
          <w:tcPr>
            <w:tcW w:type="dxa" w:w="696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ILLM-03-004 — Database Design</w:t>
            </w:r>
          </w:p>
        </w:tc>
      </w:tr>
      <w:tr>
        <w:tc>
          <w:tcPr>
            <w:tcW w:type="dxa" w:w="24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Review By</w:t>
            </w:r>
          </w:p>
        </w:tc>
        <w:tc>
          <w:tcPr>
            <w:tcW w:type="dxa" w:w="6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Technical Lead  |  Integration Specialist</w:t>
            </w:r>
          </w:p>
        </w:tc>
      </w:tr>
      <w:tr>
        <w:tc>
          <w:tcPr>
            <w:tcW w:type="dxa" w:w="240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Sign-Off By</w:t>
            </w:r>
          </w:p>
        </w:tc>
        <w:tc>
          <w:tcPr>
            <w:tcW w:type="dxa" w:w="696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Technical Lead  |  Project Sponsor</w:t>
            </w:r>
          </w:p>
        </w:tc>
      </w:tr>
      <w:tr>
        <w:tc>
          <w:tcPr>
            <w:tcW w:type="dxa" w:w="24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Classification</w:t>
            </w:r>
          </w:p>
        </w:tc>
        <w:tc>
          <w:tcPr>
            <w:tcW w:type="dxa" w:w="6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CONFIDENTIAL</w:t>
            </w:r>
          </w:p>
        </w:tc>
      </w:tr>
      <w:tr>
        <w:tc>
          <w:tcPr>
            <w:tcW w:type="dxa" w:w="240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Status</w:t>
            </w:r>
          </w:p>
        </w:tc>
        <w:tc>
          <w:tcPr>
            <w:tcW w:type="dxa" w:w="696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TEMPLATE — Pending Completion</w:t>
            </w:r>
          </w:p>
        </w:tc>
      </w:tr>
    </w:tbl>
    <w:p>
      <w:r>
        <w:t xml:space="preserve"/>
      </w:r>
    </w:p>
    <w:p>
      <w:r>
        <w:t xml:space="preserve"/>
      </w:r>
    </w:p>
    <w:p>
      <w:pPr>
        <w:pStyle w:val="Heading2"/>
        <w:spacing w:after="80" w:before="200"/>
      </w:pPr>
      <w:r>
        <w:rPr>
          <w:rFonts w:ascii="Arial" w:cs="Arial" w:eastAsia="Arial" w:hAnsi="Arial"/>
        </w:rPr>
        <w:t xml:space="preserve">2. Integration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4"/>
              <w:left w:val="single" w:color="DDDDDD" w:sz="4"/>
              <w:bottom w:val="single" w:color="DDDDDD" w:sz="4"/>
              <w:right w:val="single" w:color="DDDDDD" w:sz="4"/>
            </w:tcBorders>
            <w:shd w:fill="F7F7F7" w:val="clear"/>
            <w:tcMar>
              <w:top w:type="dxa" w:w="100"/>
              <w:left w:type="dxa" w:w="160"/>
              <w:bottom w:type="dxa" w:w="100"/>
              <w:right w:type="dxa" w:w="160"/>
            </w:tcMar>
          </w:tcPr>
          <w:p>
            <w:r>
              <w:rPr>
                <w:rFonts w:ascii="Arial" w:cs="Arial" w:eastAsia="Arial" w:hAnsi="Arial"/>
                <w:b/>
                <w:bCs/>
                <w:color w:val="0F6E56"/>
                <w:sz w:val="18"/>
                <w:szCs w:val="18"/>
              </w:rPr>
              <w:t xml:space="preserve">Illumin360 integrates with three external systems at runtime: the Anthropic Claude Sonnet 4.6 API for CV analysis, justification narratives, and the Platform Assistant; the Google Cloud Vision API for OCR on scanned CVs; and a Namibian payment gateway (selection pending) for hosted-page card payments. Keycloak is also external but is operated as part of the platform infrastructure and not treated as a third-party integration here. All external calls are made through provider-specific adapters in the relevant microservices, with retry/circuit-breaker (Polly) protection and OpenTelemetry instrumentation.</w:t>
            </w:r>
            <w:r>
              <w:rPr>
                <w:rFonts w:ascii="Arial" w:cs="Arial" w:eastAsia="Arial" w:hAnsi="Arial"/>
                <w:i/>
                <w:iCs/>
                <w:color w:val="555555"/>
                <w:sz w:val="18"/>
                <w:szCs w:val="18"/>
              </w:rP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960"/>
        <w:gridCol w:w="1200"/>
        <w:gridCol w:w="1200"/>
      </w:tblGrid>
      <w:tr>
        <w:trPr>
          <w:tblHeader/>
        </w:trPr>
        <w:tc>
          <w:tcPr>
            <w:tcW w:type="dxa" w:w="30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Item / Requirement</w:t>
            </w:r>
          </w:p>
        </w:tc>
        <w:tc>
          <w:tcPr>
            <w:tcW w:type="dxa" w:w="396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Detail / Description</w:t>
            </w:r>
          </w:p>
        </w:tc>
        <w:tc>
          <w:tcPr>
            <w:tcW w:type="dxa" w:w="12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Owner</w:t>
            </w:r>
          </w:p>
        </w:tc>
        <w:tc>
          <w:tcPr>
            <w:tcW w:type="dxa" w:w="12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Status</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Anthropic Claude Sonnet 4.6</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CV analysis + justification engine + AI Platform Assistant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professional-svc, matching-svc, ai-assistant-svc</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Confirmed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Google Cloud Vision</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OCR for scanned CVs (DOCUMENT_TEXT_DETECTION)</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professional-svc</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Confirmed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Payment gateway (TBD)</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Hosted card-payment page; webhook-driven confirmation</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payment-svc</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Open</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Keycloak</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OIDC token issuer (platform infrastructure)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All services</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Confirmed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Email provider</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Transactional email delivery</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notification-svc</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Open</w:t>
            </w:r>
          </w:p>
        </w:tc>
      </w:tr>
    </w:tbl>
    <w:p>
      <w:r>
        <w:t xml:space="preserve"/>
      </w:r>
    </w:p>
    <w:p>
      <w:r>
        <w:t xml:space="preserve"/>
      </w:r>
    </w:p>
    <w:p>
      <w:pPr>
        <w:pStyle w:val="Heading2"/>
        <w:spacing w:after="80" w:before="200"/>
      </w:pPr>
      <w:r>
        <w:rPr>
          <w:rFonts w:ascii="Arial" w:cs="Arial" w:eastAsia="Arial" w:hAnsi="Arial"/>
        </w:rPr>
        <w:t xml:space="preserve">3. Claude Sonnet 4.6 Integration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4"/>
              <w:left w:val="single" w:color="DDDDDD" w:sz="4"/>
              <w:bottom w:val="single" w:color="DDDDDD" w:sz="4"/>
              <w:right w:val="single" w:color="DDDDDD" w:sz="4"/>
            </w:tcBorders>
            <w:shd w:fill="F7F7F7" w:val="clear"/>
            <w:tcMar>
              <w:top w:type="dxa" w:w="100"/>
              <w:left w:type="dxa" w:w="160"/>
              <w:bottom w:type="dxa" w:w="100"/>
              <w:right w:type="dxa" w:w="160"/>
            </w:tcMar>
          </w:tcPr>
          <w:p>
            <w:r>
              <w:rPr>
                <w:rFonts w:ascii="Arial" w:cs="Arial" w:eastAsia="Arial" w:hAnsi="Arial"/>
                <w:b/>
                <w:bCs/>
                <w:color w:val="0F6E56"/>
                <w:sz w:val="18"/>
                <w:szCs w:val="18"/>
              </w:rPr>
              <w:t xml:space="preserve">Anthropic Claude Sonnet 4.6 powers three distinct workloads. Each has its own system prompt and access pattern. The model string is pinned to 'claude-sonnet-4-6' — no aliases. Per spec §31 branding policy, this vendor reference is internal-only and never appears in client-facing content; the AI Assistant in particular is instructed never to identify itself as Claude.</w:t>
            </w:r>
            <w:r>
              <w:rPr>
                <w:rFonts w:ascii="Arial" w:cs="Arial" w:eastAsia="Arial" w:hAnsi="Arial"/>
                <w:i/>
                <w:iCs/>
                <w:color w:val="555555"/>
                <w:sz w:val="18"/>
                <w:szCs w:val="18"/>
              </w:rP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960"/>
        <w:gridCol w:w="1200"/>
        <w:gridCol w:w="1200"/>
      </w:tblGrid>
      <w:tr>
        <w:trPr>
          <w:tblHeader/>
        </w:trPr>
        <w:tc>
          <w:tcPr>
            <w:tcW w:type="dxa" w:w="30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Item / Requirement</w:t>
            </w:r>
          </w:p>
        </w:tc>
        <w:tc>
          <w:tcPr>
            <w:tcW w:type="dxa" w:w="396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Detail / Description</w:t>
            </w:r>
          </w:p>
        </w:tc>
        <w:tc>
          <w:tcPr>
            <w:tcW w:type="dxa" w:w="12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Owner</w:t>
            </w:r>
          </w:p>
        </w:tc>
        <w:tc>
          <w:tcPr>
            <w:tcW w:type="dxa" w:w="12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Status</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Workload — CV analysis</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Async via RabbitMQ queue; structured JSON extraction; batch API discount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professional-svc</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Phase 1</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Workload — Justification narrative</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Per shortlisted candidate; 3–6 sentence narrative grounded in structured data</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matching-svc</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Phase 2</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Workload — Platform Assistant</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Streaming inference; prompt caching for system prompt; per-instance config</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ai-assistant-svc</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Phase 6</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Authentication</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API key stored in HashiCorp Vault; environment-injected</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DevOps</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Required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Retry policy</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30s timeout; one retry; admin notification on second failure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Designed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Fallback</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Keyword matching for CV analysis; template-based justification; assistant unavailable banner</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Designed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Cost monitoring</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Year 1 ≈ USD 4.25/month combined; alert at 200% YoY</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Finance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Monitor</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Privacy</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CV text and prompt context sent to Anthropic — disclosed in D-05 consent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Legal</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Documented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Identity policy compliance</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Assistant system prompt prohibits self-identification as Claude; post-gen filter scans response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Mandatory</w:t>
            </w:r>
          </w:p>
        </w:tc>
      </w:tr>
    </w:tbl>
    <w:p>
      <w:r>
        <w:t xml:space="preserve"/>
      </w:r>
    </w:p>
    <w:p>
      <w:r>
        <w:t xml:space="preserve"/>
      </w:r>
    </w:p>
    <w:p>
      <w:pPr>
        <w:pStyle w:val="Heading2"/>
        <w:spacing w:after="80" w:before="200"/>
      </w:pPr>
      <w:r>
        <w:rPr>
          <w:rFonts w:ascii="Arial" w:cs="Arial" w:eastAsia="Arial" w:hAnsi="Arial"/>
        </w:rPr>
        <w:t xml:space="preserve">4. Google Cloud Vision Integration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4"/>
              <w:left w:val="single" w:color="DDDDDD" w:sz="4"/>
              <w:bottom w:val="single" w:color="DDDDDD" w:sz="4"/>
              <w:right w:val="single" w:color="DDDDDD" w:sz="4"/>
            </w:tcBorders>
            <w:shd w:fill="F7F7F7" w:val="clear"/>
            <w:tcMar>
              <w:top w:type="dxa" w:w="100"/>
              <w:left w:type="dxa" w:w="160"/>
              <w:bottom w:type="dxa" w:w="100"/>
              <w:right w:type="dxa" w:w="160"/>
            </w:tcMar>
          </w:tcPr>
          <w:p>
            <w:r>
              <w:rPr>
                <w:rFonts w:ascii="Arial" w:cs="Arial" w:eastAsia="Arial" w:hAnsi="Arial"/>
                <w:b/>
                <w:bCs/>
                <w:color w:val="0F6E56"/>
                <w:sz w:val="18"/>
                <w:szCs w:val="18"/>
              </w:rPr>
              <w:t xml:space="preserve">Google Cloud Vision provides OCR fallback when standard text extraction (pdfplumber for PDF, python-docx for Word) yields fewer than 50 words. Triggered automatically; never the primary text-extraction path. Tesseract OCR is the offline fallback if Cloud Vision is unavailable.</w:t>
            </w:r>
            <w:r>
              <w:rPr>
                <w:rFonts w:ascii="Arial" w:cs="Arial" w:eastAsia="Arial" w:hAnsi="Arial"/>
                <w:i/>
                <w:iCs/>
                <w:color w:val="555555"/>
                <w:sz w:val="18"/>
                <w:szCs w:val="18"/>
              </w:rP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960"/>
        <w:gridCol w:w="1200"/>
        <w:gridCol w:w="1200"/>
      </w:tblGrid>
      <w:tr>
        <w:trPr>
          <w:tblHeader/>
        </w:trPr>
        <w:tc>
          <w:tcPr>
            <w:tcW w:type="dxa" w:w="30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Item / Requirement</w:t>
            </w:r>
          </w:p>
        </w:tc>
        <w:tc>
          <w:tcPr>
            <w:tcW w:type="dxa" w:w="396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Detail / Description</w:t>
            </w:r>
          </w:p>
        </w:tc>
        <w:tc>
          <w:tcPr>
            <w:tcW w:type="dxa" w:w="12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Owner</w:t>
            </w:r>
          </w:p>
        </w:tc>
        <w:tc>
          <w:tcPr>
            <w:tcW w:type="dxa" w:w="12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Status</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Feature used</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DOCUMENT_TEXT_DETECTION — optimised for full-page documents</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professional-svc</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Confirmed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Trigger condition</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Standard extraction returns &lt; 50 words OR non-alphanumeric ratio high</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Designed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Authentication</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GCP service account JSON in Vault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DevOps</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Required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Timeout</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60 seconds for multi-page PDFs</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Configured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Page cap</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First 5 pages only — admin review flag for CVs exceeding 5 pages</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Designed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Confidence threshold</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&lt; 80% triggers candidate notification to review CV upload quality</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Designed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Fallback</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Tesseract OCR (local) if Cloud Vision is unavailable; admin alert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Designed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Cost</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Free tier covers first 1,000 pages/month; USD 1.50/1,000 thereafter</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Finance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Monitor</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Privacy</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Document pages sent to Google for processing — disclosed in D-05 consent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Legal</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Documented</w:t>
            </w:r>
          </w:p>
        </w:tc>
      </w:tr>
    </w:tbl>
    <w:p>
      <w:r>
        <w:t xml:space="preserve"/>
      </w:r>
    </w:p>
    <w:p>
      <w:r>
        <w:t xml:space="preserve"/>
      </w:r>
    </w:p>
    <w:p>
      <w:pPr>
        <w:pStyle w:val="Heading2"/>
        <w:spacing w:after="80" w:before="200"/>
      </w:pPr>
      <w:r>
        <w:rPr>
          <w:rFonts w:ascii="Arial" w:cs="Arial" w:eastAsia="Arial" w:hAnsi="Arial"/>
        </w:rPr>
        <w:t xml:space="preserve">5. Payment Gateway Integration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4"/>
              <w:left w:val="single" w:color="DDDDDD" w:sz="4"/>
              <w:bottom w:val="single" w:color="DDDDDD" w:sz="4"/>
              <w:right w:val="single" w:color="DDDDDD" w:sz="4"/>
            </w:tcBorders>
            <w:shd w:fill="F7F7F7" w:val="clear"/>
            <w:tcMar>
              <w:top w:type="dxa" w:w="100"/>
              <w:left w:type="dxa" w:w="160"/>
              <w:bottom w:type="dxa" w:w="100"/>
              <w:right w:type="dxa" w:w="160"/>
            </w:tcMar>
          </w:tcPr>
          <w:p>
            <w:r>
              <w:rPr>
                <w:rFonts w:ascii="Arial" w:cs="Arial" w:eastAsia="Arial" w:hAnsi="Arial"/>
                <w:b/>
                <w:bCs/>
                <w:color w:val="0F6E56"/>
                <w:sz w:val="18"/>
                <w:szCs w:val="18"/>
              </w:rPr>
              <w:t xml:space="preserve">Hosted-page payment integration following PCI-DSS SAQ A. No card data ever touches the platform. The gateway redirect URL is for UX only; signed webhook is the authoritative confirmation. Specific gateway selection pending.</w:t>
            </w:r>
            <w:r>
              <w:rPr>
                <w:rFonts w:ascii="Arial" w:cs="Arial" w:eastAsia="Arial" w:hAnsi="Arial"/>
                <w:i/>
                <w:iCs/>
                <w:color w:val="555555"/>
                <w:sz w:val="18"/>
                <w:szCs w:val="18"/>
              </w:rP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960"/>
        <w:gridCol w:w="1200"/>
        <w:gridCol w:w="1200"/>
      </w:tblGrid>
      <w:tr>
        <w:trPr>
          <w:tblHeader/>
        </w:trPr>
        <w:tc>
          <w:tcPr>
            <w:tcW w:type="dxa" w:w="30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Item / Requirement</w:t>
            </w:r>
          </w:p>
        </w:tc>
        <w:tc>
          <w:tcPr>
            <w:tcW w:type="dxa" w:w="396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Detail / Description</w:t>
            </w:r>
          </w:p>
        </w:tc>
        <w:tc>
          <w:tcPr>
            <w:tcW w:type="dxa" w:w="12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Owner</w:t>
            </w:r>
          </w:p>
        </w:tc>
        <w:tc>
          <w:tcPr>
            <w:tcW w:type="dxa" w:w="12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Status</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Model</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Hosted payment page; webhook-driven confirmation</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Designed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Selection criteria</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Namibian gateway; hosted page; HMAC-signed webhooks; 3DS support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Open</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Authentication</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API key + webhook secret in Vault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DevOps</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Required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Flow</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Initiate → redirect → user pays → gateway fires signed webhook → platform verifies HMAC → activate subscription / unlock report / reveal candidate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Designed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Idempotency</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Webhook handler idempotent on (gateway_reference, status) tuple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Mandatory</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Refund handling</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Manual admin-initiated refunds via gateway API</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payment-svc</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Phase 3</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PCI-DSS scope</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SAQ A only — no card data on platform</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Compliance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Mandatory</w:t>
            </w:r>
          </w:p>
        </w:tc>
      </w:tr>
    </w:tbl>
    <w:p>
      <w:r>
        <w:t xml:space="preserve"/>
      </w:r>
    </w:p>
    <w:p>
      <w:r>
        <w:t xml:space="preserve"/>
      </w:r>
    </w:p>
    <w:p>
      <w:pPr>
        <w:pStyle w:val="Heading2"/>
        <w:spacing w:after="80" w:before="200"/>
      </w:pPr>
      <w:r>
        <w:rPr>
          <w:rFonts w:ascii="Arial" w:cs="Arial" w:eastAsia="Arial" w:hAnsi="Arial"/>
        </w:rPr>
        <w:t xml:space="preserve">6. Integration Testing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4"/>
              <w:left w:val="single" w:color="DDDDDD" w:sz="4"/>
              <w:bottom w:val="single" w:color="DDDDDD" w:sz="4"/>
              <w:right w:val="single" w:color="DDDDDD" w:sz="4"/>
            </w:tcBorders>
            <w:shd w:fill="F7F7F7" w:val="clear"/>
            <w:tcMar>
              <w:top w:type="dxa" w:w="100"/>
              <w:left w:type="dxa" w:w="160"/>
              <w:bottom w:type="dxa" w:w="100"/>
              <w:right w:type="dxa" w:w="160"/>
            </w:tcMar>
          </w:tcPr>
          <w:p>
            <w:r>
              <w:rPr>
                <w:rFonts w:ascii="Arial" w:cs="Arial" w:eastAsia="Arial" w:hAnsi="Arial"/>
                <w:b/>
                <w:bCs/>
                <w:color w:val="0F6E56"/>
                <w:sz w:val="18"/>
                <w:szCs w:val="18"/>
              </w:rPr>
              <w:t xml:space="preserve">Each integration has contract tests against a sandbox or recorded fixtures. Production smoke tests verify each integration on every deploy.</w:t>
            </w:r>
            <w:r>
              <w:rPr>
                <w:rFonts w:ascii="Arial" w:cs="Arial" w:eastAsia="Arial" w:hAnsi="Arial"/>
                <w:i/>
                <w:iCs/>
                <w:color w:val="555555"/>
                <w:sz w:val="18"/>
                <w:szCs w:val="18"/>
              </w:rP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960"/>
        <w:gridCol w:w="1200"/>
        <w:gridCol w:w="1200"/>
      </w:tblGrid>
      <w:tr>
        <w:trPr>
          <w:tblHeader/>
        </w:trPr>
        <w:tc>
          <w:tcPr>
            <w:tcW w:type="dxa" w:w="30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Item / Requirement</w:t>
            </w:r>
          </w:p>
        </w:tc>
        <w:tc>
          <w:tcPr>
            <w:tcW w:type="dxa" w:w="396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Detail / Description</w:t>
            </w:r>
          </w:p>
        </w:tc>
        <w:tc>
          <w:tcPr>
            <w:tcW w:type="dxa" w:w="12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Owner</w:t>
            </w:r>
          </w:p>
        </w:tc>
        <w:tc>
          <w:tcPr>
            <w:tcW w:type="dxa" w:w="12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Status</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Anthropic — contract test</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Recorded fixture for CV-extraction JSON schema; smoke test against live API</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QA</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Required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Anthropic — assistant identity</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Test asks 'are you Claude?' — asserts fallback wording per ILLM-03-013 §7</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QA</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Required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Google Vision — contract test</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Recorded fixture; smoke test against live API</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QA</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Required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Payment gateway — sandbox</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Sandbox account exercising success, failure, refund, 3DS challenge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QA</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Required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Webhook HMAC — replay/tampering</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Replay attack and tampered payload tests both rejected</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QA</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Required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Keycloak — token revocation</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Revoked refresh token cannot mint new access token</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QA</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Required</w:t>
            </w:r>
          </w:p>
        </w:tc>
      </w:tr>
    </w:tbl>
    <w:p>
      <w:r>
        <w:t xml:space="preserve"/>
      </w:r>
    </w:p>
    <w:p>
      <w:r>
        <w:t xml:space="preserve"/>
      </w:r>
    </w:p>
    <w:p>
      <w:pPr>
        <w:pStyle w:val="Heading2"/>
        <w:spacing w:after="80" w:before="200"/>
      </w:pPr>
      <w:r>
        <w:rPr>
          <w:rFonts w:ascii="Arial" w:cs="Arial" w:eastAsia="Arial" w:hAnsi="Arial"/>
        </w:rPr>
        <w:t xml:space="preserve">7. Fallback Strategy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4"/>
              <w:left w:val="single" w:color="DDDDDD" w:sz="4"/>
              <w:bottom w:val="single" w:color="DDDDDD" w:sz="4"/>
              <w:right w:val="single" w:color="DDDDDD" w:sz="4"/>
            </w:tcBorders>
            <w:shd w:fill="F7F7F7" w:val="clear"/>
            <w:tcMar>
              <w:top w:type="dxa" w:w="100"/>
              <w:left w:type="dxa" w:w="160"/>
              <w:bottom w:type="dxa" w:w="100"/>
              <w:right w:type="dxa" w:w="160"/>
            </w:tcMar>
          </w:tcPr>
          <w:p>
            <w:r>
              <w:rPr>
                <w:rFonts w:ascii="Arial" w:cs="Arial" w:eastAsia="Arial" w:hAnsi="Arial"/>
                <w:b/>
                <w:bCs/>
                <w:color w:val="0F6E56"/>
                <w:sz w:val="18"/>
                <w:szCs w:val="18"/>
              </w:rPr>
              <w:t xml:space="preserve">Each integration has a documented fallback. Failures are observable via Grafana and the on-call rotation responds per the incident runbook.</w:t>
            </w:r>
            <w:r>
              <w:rPr>
                <w:rFonts w:ascii="Arial" w:cs="Arial" w:eastAsia="Arial" w:hAnsi="Arial"/>
                <w:i/>
                <w:iCs/>
                <w:color w:val="555555"/>
                <w:sz w:val="18"/>
                <w:szCs w:val="18"/>
              </w:rP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960"/>
        <w:gridCol w:w="1200"/>
        <w:gridCol w:w="1200"/>
      </w:tblGrid>
      <w:tr>
        <w:trPr>
          <w:tblHeader/>
        </w:trPr>
        <w:tc>
          <w:tcPr>
            <w:tcW w:type="dxa" w:w="30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Item / Requirement</w:t>
            </w:r>
          </w:p>
        </w:tc>
        <w:tc>
          <w:tcPr>
            <w:tcW w:type="dxa" w:w="396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Detail / Description</w:t>
            </w:r>
          </w:p>
        </w:tc>
        <w:tc>
          <w:tcPr>
            <w:tcW w:type="dxa" w:w="12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Owner</w:t>
            </w:r>
          </w:p>
        </w:tc>
        <w:tc>
          <w:tcPr>
            <w:tcW w:type="dxa" w:w="12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Status</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Anthropic CV analysis unavailable</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Fall back to keyword matching; log fallback event; queue for retry when service restores</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Designed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Anthropic justification unavailable</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Fall back to template-assembled justification; mark report as 'standard methodology'</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Designed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Platform Assistant unavailable</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Display banner; user can still escalate to support; conversation suspended</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Designed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Google Vision unavailable</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Use local Tesseract OCR; flag if confidence &lt; 80%; admin alert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Designed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Payment gateway unavailable</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Block new payment attempts with user-friendly message; admin alert; resume when service restores</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Designed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Keycloak unavailable</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All authenticated traffic blocked at gateway; emergency token-replay tolerance not used</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Designed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Optional Phase 8 — Ollama self-hosted fallback</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Local model for AI Assistant degraded mode during vendor outages</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Optional</w:t>
            </w:r>
          </w:p>
        </w:tc>
      </w:tr>
    </w:tbl>
    <w:p>
      <w:r>
        <w:t xml:space="preserve"/>
      </w:r>
    </w:p>
    <w:p>
      <w:r>
        <w:t xml:space="preserve"/>
      </w:r>
    </w:p>
    <w:p>
      <w:pPr>
        <w:pStyle w:val="Heading2"/>
        <w:spacing w:after="80" w:before="200"/>
      </w:pPr>
      <w:r>
        <w:rPr>
          <w:rFonts w:ascii="Arial" w:cs="Arial" w:eastAsia="Arial" w:hAnsi="Arial"/>
        </w:rPr>
        <w:t xml:space="preserve">8. Internal Event-Driven Integration</w:t>
      </w:r>
    </w:p>
    <w:p>
      <w:pPr>
        <w:spacing w:after="120"/>
        <w:jc w:val="both"/>
      </w:pPr>
      <w:r>
        <w:rPr>
          <w:rFonts w:ascii="Arial" w:cs="Arial" w:eastAsia="Arial" w:hAnsi="Arial"/>
          <w:color w:val="1A1A1A"/>
          <w:sz w:val="20"/>
          <w:szCs w:val="20"/>
        </w:rPr>
        <w:t xml:space="preserve">Beyond the external integrations above, services collaborate asynchronously over RabbitMQ using MassTransit. To avoid dual-write inconsistency, each publishing service uses the MassTransit Entity Framework Core transactional outbox: an integration event is written to the service’s outbox tables inside the same database transaction as the aggregate change, and is delivered to the broker only after the transaction commits (ADR-0007). Handlers publish through an Application-layer port, so the broker never leaks into domain logic. Delivery is at-least-once, so consumers are idempotent.</w:t>
      </w:r>
    </w:p>
    <w:p>
      <w:pPr>
        <w:spacing w:after="120"/>
        <w:jc w:val="both"/>
      </w:pPr>
      <w:r>
        <w:rPr>
          <w:rFonts w:ascii="Arial" w:cs="Arial" w:eastAsia="Arial" w:hAnsi="Arial"/>
          <w:color w:val="1A1A1A"/>
          <w:sz w:val="20"/>
          <w:szCs w:val="20"/>
        </w:rPr>
        <w:t xml:space="preserve">Integration-event contracts are published from per-context, dependency-free libraries (for example Illumin360.Candidates.Contracts) referenced by both publisher and consumers. The message namespace and type name form the wire contract and the RabbitMQ exchange name, so they are kept stable across versions (ADR-0008).</w:t>
      </w:r>
    </w:p>
    <w:p>
      <w:pPr>
        <w:spacing w:after="120"/>
        <w:jc w:val="both"/>
      </w:pPr>
      <w:r>
        <w:rPr>
          <w:rFonts w:ascii="Arial" w:cs="Arial" w:eastAsia="Arial" w:hAnsi="Arial"/>
          <w:color w:val="1A1A1A"/>
          <w:sz w:val="20"/>
          <w:szCs w:val="20"/>
        </w:rPr>
        <w:t xml:space="preserve">First implemented loop (Phase 1): the Candidates service publishes the CandidateRegistered event (exchange Illumin360.Candidates.IntegrationEvents:CandidateRegistered) via the outbox; the Notifications worker consumes it on the candidate-registered queue to trigger onboarding actions. Repeated consume failures dead-letter to candidate-registered_error for inspection and replay.</w:t>
      </w:r>
    </w:p>
    <w:p>
      <w:pPr>
        <w:pBdr>
          <w:top w:val="single" w:color="1D9E75" w:sz="6"/>
        </w:pBdr>
        <w:spacing w:after="120" w:before="200"/>
      </w:pPr>
      <w:r>
        <w:rPr>
          <w:rFonts w:ascii="Arial" w:cs="Arial" w:eastAsia="Arial" w:hAnsi="Arial"/>
          <w:b/>
          <w:bCs/>
          <w:color w:val="0F6E56"/>
          <w:sz w:val="22"/>
          <w:szCs w:val="22"/>
        </w:rPr>
        <w:t xml:space="preserve">Document Sign-Off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r>
      <w:tr>
        <w:tc>
          <w:tcPr>
            <w:tcW w:type="dxa" w:w="468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Prepared By</w:t>
            </w:r>
          </w:p>
        </w:tc>
        <w:tc>
          <w:tcPr>
            <w:tcW w:type="dxa" w:w="468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Uriel Tapiwa Munjanga  |  Software Engineer &amp; Architect</w:t>
            </w:r>
          </w:p>
        </w:tc>
      </w:tr>
      <w:tr>
        <w:tc>
          <w:tcPr>
            <w:tcW w:type="dxa" w:w="46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Reviewed By</w:t>
            </w:r>
          </w:p>
        </w:tc>
        <w:tc>
          <w:tcPr>
            <w:tcW w:type="dxa" w:w="46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 Name, Title ]</w:t>
            </w:r>
          </w:p>
        </w:tc>
      </w:tr>
      <w:tr>
        <w:tc>
          <w:tcPr>
            <w:tcW w:type="dxa" w:w="468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Approved By</w:t>
            </w:r>
          </w:p>
        </w:tc>
        <w:tc>
          <w:tcPr>
            <w:tcW w:type="dxa" w:w="468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 Name, Title ]</w:t>
            </w:r>
          </w:p>
        </w:tc>
      </w:tr>
      <w:tr>
        <w:tc>
          <w:tcPr>
            <w:tcW w:type="dxa" w:w="46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Review Date</w:t>
            </w:r>
          </w:p>
        </w:tc>
        <w:tc>
          <w:tcPr>
            <w:tcW w:type="dxa" w:w="46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 DD Month YYYY ]</w:t>
            </w:r>
          </w:p>
        </w:tc>
      </w:tr>
      <w:tr>
        <w:tc>
          <w:tcPr>
            <w:tcW w:type="dxa" w:w="468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Approval Date</w:t>
            </w:r>
          </w:p>
        </w:tc>
        <w:tc>
          <w:tcPr>
            <w:tcW w:type="dxa" w:w="468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 DD Month YYYY ]</w:t>
            </w:r>
          </w:p>
        </w:tc>
      </w:tr>
      <w:tr>
        <w:tc>
          <w:tcPr>
            <w:tcW w:type="dxa" w:w="46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Next Review</w:t>
            </w:r>
          </w:p>
        </w:tc>
        <w:tc>
          <w:tcPr>
            <w:tcW w:type="dxa" w:w="46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 DD Month YYYY ]</w:t>
            </w:r>
          </w:p>
        </w:tc>
      </w:tr>
      <w:tr>
        <w:tc>
          <w:tcPr>
            <w:tcW w:type="dxa" w:w="468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Document Status</w:t>
            </w:r>
          </w:p>
        </w:tc>
        <w:tc>
          <w:tcPr>
            <w:tcW w:type="dxa" w:w="468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TEMPLATE — Pending Completion</w:t>
            </w:r>
          </w:p>
        </w:tc>
      </w:tr>
    </w:tbl>
    <w:p>
      <w:r>
        <w:t xml:space="preserve"/>
      </w:r>
    </w:p>
    <w:p>
      <w:pPr>
        <w:spacing w:after="80" w:before="60"/>
        <w:jc w:val="center"/>
      </w:pPr>
      <w:r>
        <w:rPr>
          <w:rFonts w:ascii="Arial" w:cs="Arial" w:eastAsia="Arial" w:hAnsi="Arial"/>
          <w:b w:val="false"/>
          <w:bCs w:val="false"/>
          <w:i w:val="false"/>
          <w:iCs w:val="false"/>
          <w:color w:val="555555"/>
          <w:sz w:val="16"/>
          <w:szCs w:val="16"/>
        </w:rPr>
        <w:t xml:space="preserve">Illumin Investments CC  (CC Reg: 2016/08234  |  VAT: 07851437-015)  |  Trading as Illumin  |  Windhoek, Namibia  |  illumin360.com</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D9E75" w:sz="4"/>
      </w:pBdr>
      <w:tabs>
        <w:tab w:val="right" w:pos="9026"/>
      </w:tabs>
      <w:spacing w:before="80"/>
    </w:pPr>
    <w:r>
      <w:rPr>
        <w:rFonts w:ascii="Arial" w:cs="Arial" w:eastAsia="Arial" w:hAnsi="Arial"/>
        <w:color w:val="555555"/>
        <w:sz w:val="16"/>
        <w:szCs w:val="16"/>
      </w:rPr>
      <w:t xml:space="preserve">Illumin Investments CC  |  CC Reg: 2016/08234  |  VAT: 07851437-015  |  illumin360.com</w:t>
    </w:r>
    <w:r>
      <w:rPr>
        <w:rFonts w:ascii="Arial" w:cs="Arial" w:eastAsia="Arial" w:hAnsi="Arial"/>
        <w:color w:val="555555"/>
        <w:sz w:val="16"/>
        <w:szCs w:val="16"/>
      </w:rPr>
      <w:t xml:space="preserve">	Page </w:t>
    </w:r>
    <w:fldSimple w:instr="PAG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D9E75" w:sz="6"/>
      </w:pBdr>
      <w:spacing w:after="100"/>
    </w:pPr>
    <w:r>
      <w:rPr>
        <w:rFonts w:ascii="Arial" w:cs="Arial" w:eastAsia="Arial" w:hAnsi="Arial"/>
        <w:b/>
        <w:bCs/>
        <w:color w:val="1D9E75"/>
        <w:sz w:val="20"/>
        <w:szCs w:val="20"/>
      </w:rPr>
      <w:t xml:space="preserve">ILLUMIN360  |  Integration Architecture  </w:t>
    </w:r>
    <w:r>
      <w:rPr>
        <w:rFonts w:ascii="Arial" w:cs="Arial" w:eastAsia="Arial" w:hAnsi="Arial"/>
        <w:color w:val="555555"/>
        <w:sz w:val="18"/>
        <w:szCs w:val="18"/>
      </w:rPr>
      <w:t xml:space="preserve">ILLM-03-003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color w:val="0F6E56"/>
      <w:sz w:val="32"/>
      <w:szCs w:val="32"/>
    </w:rPr>
  </w:style>
  <w:style w:type="paragraph" w:styleId="Heading2">
    <w:name w:val="Heading 2"/>
    <w:basedOn w:val="Normal"/>
    <w:next w:val="Normal"/>
    <w:qFormat/>
    <w:pPr>
      <w:spacing w:after="80" w:before="200"/>
      <w:outlineLvl w:val="1"/>
    </w:pPr>
    <w:rPr>
      <w:rFonts w:ascii="Arial" w:cs="Arial" w:eastAsia="Arial" w:hAnsi="Arial"/>
      <w:b/>
      <w:bCs/>
      <w:color w:val="0F6E56"/>
      <w:sz w:val="26"/>
      <w:szCs w:val="26"/>
    </w:rPr>
  </w:style>
  <w:style w:type="paragraph" w:styleId="Heading3">
    <w:name w:val="Heading 3"/>
    <w:basedOn w:val="Normal"/>
    <w:next w:val="Normal"/>
    <w:qFormat/>
    <w:pPr>
      <w:spacing w:after="60" w:before="140"/>
      <w:outlineLvl w:val="2"/>
    </w:pPr>
    <w:rPr>
      <w:rFonts w:ascii="Arial" w:cs="Arial" w:eastAsia="Arial" w:hAnsi="Arial"/>
      <w:b/>
      <w:bCs/>
      <w:color w:val="1A1A1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2026-05-07T05:43:54.464Z</dcterms:created>
  <dcterms:modified xsi:type="dcterms:W3CDTF">2026-05-07T05:43:54.464Z</dcterms:modified>
</cp:coreProperties>
</file>

<file path=docProps/custom.xml><?xml version="1.0" encoding="utf-8"?>
<Properties xmlns="http://schemas.openxmlformats.org/officeDocument/2006/custom-properties" xmlns:vt="http://schemas.openxmlformats.org/officeDocument/2006/docPropsVTypes"/>
</file>