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D9E75" w:val="clear"/>
            <w:tcMar>
              <w:top w:type="dxa" w:w="220"/>
              <w:left w:type="dxa" w:w="240"/>
              <w:bottom w:type="dxa" w:w="60"/>
              <w:right w:type="dxa" w:w="240"/>
            </w:tcMar>
          </w:tcPr>
          <w:p>
            <w:pPr>
              <w:jc w:val="center"/>
            </w:pPr>
            <w:r>
              <w:rPr>
                <w:rFonts w:ascii="Arial" w:cs="Arial" w:eastAsia="Arial" w:hAnsi="Arial"/>
                <w:b/>
                <w:bCs/>
                <w:color w:val="FFFFFF"/>
                <w:sz w:val="80"/>
                <w:szCs w:val="80"/>
              </w:rPr>
              <w:t xml:space="preserve">ILLUMIN360</w:t>
            </w:r>
          </w:p>
        </w:tc>
      </w:tr>
      <w:tr>
        <w:tc>
          <w:tcPr>
            <w:tcW w:type="dxa" w:w="9360"/>
            <w:tcBorders>
              <w:top w:val="none" w:color="FFFFFF" w:sz="0"/>
              <w:left w:val="none" w:color="FFFFFF" w:sz="0"/>
              <w:bottom w:val="none" w:color="FFFFFF" w:sz="0"/>
              <w:right w:val="none" w:color="FFFFFF" w:sz="0"/>
            </w:tcBorders>
            <w:shd w:fill="1D9E75" w:val="clear"/>
            <w:tcMar>
              <w:top w:type="dxa" w:w="0"/>
              <w:left w:type="dxa" w:w="240"/>
              <w:bottom w:type="dxa" w:w="180"/>
              <w:right w:type="dxa" w:w="240"/>
            </w:tcMar>
          </w:tcPr>
          <w:p>
            <w:pPr>
              <w:jc w:val="center"/>
            </w:pPr>
            <w:r>
              <w:rPr>
                <w:rFonts w:ascii="Arial" w:cs="Arial" w:eastAsia="Arial" w:hAnsi="Arial"/>
                <w:color w:val="E1F5EE"/>
                <w:sz w:val="22"/>
                <w:szCs w:val="22"/>
              </w:rPr>
              <w:t xml:space="preserve">Talent Match &amp; Recruitment Platform  |  Namibia</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F6E56" w:val="clear"/>
            <w:tcMar>
              <w:top w:type="dxa" w:w="180"/>
              <w:left w:type="dxa" w:w="240"/>
              <w:bottom w:type="dxa" w:w="60"/>
              <w:right w:type="dxa" w:w="240"/>
            </w:tcMar>
          </w:tcPr>
          <w:p>
            <w:pPr>
              <w:jc w:val="center"/>
            </w:pPr>
            <w:r>
              <w:rPr>
                <w:rFonts w:ascii="Arial" w:cs="Arial" w:eastAsia="Arial" w:hAnsi="Arial"/>
                <w:b/>
                <w:bCs/>
                <w:color w:val="FFFFFF"/>
                <w:sz w:val="44"/>
                <w:szCs w:val="44"/>
              </w:rPr>
              <w:t xml:space="preserve">TECHNOLOGY STACK</w:t>
            </w:r>
          </w:p>
        </w:tc>
      </w:tr>
      <w:tr>
        <w:tc>
          <w:tcPr>
            <w:tcW w:type="dxa" w:w="9360"/>
            <w:tcBorders>
              <w:top w:val="none" w:color="FFFFFF" w:sz="0"/>
              <w:left w:val="none" w:color="FFFFFF" w:sz="0"/>
              <w:bottom w:val="none" w:color="FFFFFF" w:sz="0"/>
              <w:right w:val="none" w:color="FFFFFF" w:sz="0"/>
            </w:tcBorders>
            <w:shd w:fill="0F6E56" w:val="clear"/>
            <w:tcMar>
              <w:top w:type="dxa" w:w="0"/>
              <w:left w:type="dxa" w:w="240"/>
              <w:bottom w:type="dxa" w:w="180"/>
              <w:right w:type="dxa" w:w="240"/>
            </w:tcMar>
          </w:tcPr>
          <w:p>
            <w:pPr>
              <w:jc w:val="center"/>
            </w:pPr>
            <w:r>
              <w:rPr>
                <w:rFonts w:ascii="Arial" w:cs="Arial" w:eastAsia="Arial" w:hAnsi="Arial"/>
                <w:color w:val="E1F5EE"/>
                <w:sz w:val="20"/>
                <w:szCs w:val="20"/>
              </w:rPr>
              <w:t xml:space="preserve">Document ID: ILLM-03-002  |  Version 1.0  |  April 2026  |  CONFIDENTIAL</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80"/>
        <w:gridCol w:w="2600"/>
        <w:gridCol w:w="2080"/>
      </w:tblGrid>
      <w:tr>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Project</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Illumin360 — Talent Match &amp; Recruitment Platform</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Classification</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CONFIDENTIAL</w:t>
            </w:r>
          </w:p>
        </w:tc>
      </w:tr>
      <w:tr>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Organisation</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Illumin Investments CC  |  CC Reg: 2016/08234  |  VAT: 07851437-015</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Status</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Draft for review — v2.0</w:t>
            </w:r>
          </w:p>
        </w:tc>
      </w:tr>
      <w:tr>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Author</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Uriel Tapiwa Munjanga</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Role / Title</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Software Engineer &amp; Architect</w:t>
            </w:r>
          </w:p>
        </w:tc>
      </w:tr>
      <w:tr>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SDLC Phase</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03 — System Design</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Methodology</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Waterfall</w:t>
            </w:r>
          </w:p>
        </w:tc>
      </w:tr>
      <w:tr>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Predecessor Document</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ILLM-03-001 — System Architecture</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Successor Document</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ILLM-03-003 — Integration Architecture</w:t>
            </w:r>
          </w:p>
        </w:tc>
      </w:tr>
      <w:tr>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Review Required By</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Technical Lead  |  Senior Developers</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Sign-Off Authority</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Technical Lead  |  Project Sponsor</w:t>
            </w:r>
          </w:p>
        </w:tc>
      </w:tr>
    </w:tbl>
    <w:p>
      <w:r>
        <w:t xml:space="preserve"/>
      </w:r>
    </w:p>
    <w:p>
      <w:r>
        <w:t xml:space="preserve"/>
      </w:r>
    </w:p>
    <w:p>
      <w:pPr>
        <w:pStyle w:val="Heading3"/>
        <w:spacing w:after="60" w:before="140"/>
      </w:pPr>
      <w:r>
        <w:rPr>
          <w:rFonts w:ascii="Arial" w:cs="Arial" w:eastAsia="Arial" w:hAnsi="Arial"/>
        </w:rPr>
        <w:t xml:space="preserve">Document Version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2600"/>
        <w:gridCol w:w="2960"/>
      </w:tblGrid>
      <w:tr>
        <w:trPr>
          <w:tblHeader/>
        </w:trPr>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Version</w:t>
            </w:r>
          </w:p>
        </w:tc>
        <w:tc>
          <w:tcPr>
            <w:tcW w:type="dxa" w:w="26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Date</w:t>
            </w:r>
          </w:p>
        </w:tc>
        <w:tc>
          <w:tcPr>
            <w:tcW w:type="dxa" w:w="26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Author</w:t>
            </w:r>
          </w:p>
        </w:tc>
        <w:tc>
          <w:tcPr>
            <w:tcW w:type="dxa" w:w="296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Change Description</w:t>
            </w:r>
          </w:p>
        </w:tc>
      </w:tr>
      <w:tr>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1.0</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April 2026</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Uriel Tapiwa Munjanga</w:t>
            </w:r>
          </w:p>
        </w:tc>
        <w:tc>
          <w:tcPr>
            <w:tcW w:type="dxa" w:w="2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Initial template created</w:t>
            </w:r>
          </w:p>
        </w:tc>
      </w:tr>
      <w:tr>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2.0</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14 May 2026</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Uriel Tapiwa Munjanga</w:t>
            </w:r>
          </w:p>
        </w:tc>
        <w:tc>
          <w:tcPr>
            <w:tcW w:type="dxa" w:w="2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Populated from v3.7 spec §36. Open-source-first runtime with Keycloak, RabbitMQ, Grafana OSS confirmed. .NET implied as application language pending confirmation.</w:t>
            </w:r>
          </w:p>
        </w:tc>
      </w:tr>
    </w:tbl>
    <w:p>
      <w:r>
        <w:t xml:space="preserve"/>
      </w:r>
    </w:p>
    <w:p>
      <w:r>
        <w:t xml:space="preserve"/>
      </w:r>
    </w:p>
    <w:p>
      <w:r>
        <w:br w:type="page"/>
      </w:r>
    </w:p>
    <w:p>
      <w:pPr>
        <w:pStyle w:val="Heading1"/>
        <w:spacing w:after="120" w:before="280"/>
      </w:pPr>
      <w:r>
        <w:rPr>
          <w:rFonts w:ascii="Arial" w:cs="Arial" w:eastAsia="Arial" w:hAnsi="Arial"/>
        </w:rPr>
        <w:t xml:space="preserve">1. Document Introduction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4"/>
              <w:left w:val="single" w:color="DDDDDD" w:sz="4"/>
              <w:bottom w:val="single" w:color="DDDDDD" w:sz="4"/>
              <w:right w:val="single" w:color="DDDDDD" w:sz="4"/>
            </w:tcBorders>
            <w:shd w:fill="F7F7F7" w:val="clear"/>
            <w:tcMar>
              <w:top w:type="dxa" w:w="100"/>
              <w:left w:type="dxa" w:w="160"/>
              <w:bottom w:type="dxa" w:w="100"/>
              <w:right w:type="dxa" w:w="160"/>
            </w:tcMar>
          </w:tcPr>
          <w:p>
            <w:r>
              <w:rPr>
                <w:rFonts w:ascii="Arial" w:cs="Arial" w:eastAsia="Arial" w:hAnsi="Arial"/>
                <w:b/>
                <w:bCs/>
                <w:color w:val="0F6E56"/>
                <w:sz w:val="18"/>
                <w:szCs w:val="18"/>
              </w:rPr>
              <w:t xml:space="preserve">📋  Guidance: </w:t>
            </w:r>
            <w:r>
              <w:rPr>
                <w:rFonts w:ascii="Arial" w:cs="Arial" w:eastAsia="Arial" w:hAnsi="Arial"/>
                <w:i/>
                <w:iCs/>
                <w:color w:val="555555"/>
                <w:sz w:val="18"/>
                <w:szCs w:val="18"/>
              </w:rPr>
              <w:t xml:space="preserve">This section introduces the document, its purpose, and its place in the Illumin360 SDLC. Complete all sub-sections before circulating for review.</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r>
      <w:tr>
        <w:tc>
          <w:tcPr>
            <w:tcW w:type="dxa" w:w="24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Document ID</w:t>
            </w:r>
          </w:p>
        </w:tc>
        <w:tc>
          <w:tcPr>
            <w:tcW w:type="dxa" w:w="6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ILLM-03-002</w:t>
            </w:r>
          </w:p>
        </w:tc>
      </w:tr>
      <w:tr>
        <w:tc>
          <w:tcPr>
            <w:tcW w:type="dxa" w:w="240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Document Title</w:t>
            </w:r>
          </w:p>
        </w:tc>
        <w:tc>
          <w:tcPr>
            <w:tcW w:type="dxa" w:w="696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Technology Stack</w:t>
            </w:r>
          </w:p>
        </w:tc>
      </w:tr>
      <w:tr>
        <w:tc>
          <w:tcPr>
            <w:tcW w:type="dxa" w:w="24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Project</w:t>
            </w:r>
          </w:p>
        </w:tc>
        <w:tc>
          <w:tcPr>
            <w:tcW w:type="dxa" w:w="6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Illumin360 — Talent Match &amp; Recruitment Platform</w:t>
            </w:r>
          </w:p>
        </w:tc>
      </w:tr>
      <w:tr>
        <w:tc>
          <w:tcPr>
            <w:tcW w:type="dxa" w:w="240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SDLC Phase</w:t>
            </w:r>
          </w:p>
        </w:tc>
        <w:tc>
          <w:tcPr>
            <w:tcW w:type="dxa" w:w="696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03 — System Design</w:t>
            </w:r>
          </w:p>
        </w:tc>
      </w:tr>
      <w:tr>
        <w:tc>
          <w:tcPr>
            <w:tcW w:type="dxa" w:w="24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Methodology</w:t>
            </w:r>
          </w:p>
        </w:tc>
        <w:tc>
          <w:tcPr>
            <w:tcW w:type="dxa" w:w="6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Waterfall</w:t>
            </w:r>
          </w:p>
        </w:tc>
      </w:tr>
      <w:tr>
        <w:tc>
          <w:tcPr>
            <w:tcW w:type="dxa" w:w="240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Version</w:t>
            </w:r>
          </w:p>
        </w:tc>
        <w:tc>
          <w:tcPr>
            <w:tcW w:type="dxa" w:w="696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1.0</w:t>
            </w:r>
          </w:p>
        </w:tc>
      </w:tr>
      <w:tr>
        <w:tc>
          <w:tcPr>
            <w:tcW w:type="dxa" w:w="24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Date</w:t>
            </w:r>
          </w:p>
        </w:tc>
        <w:tc>
          <w:tcPr>
            <w:tcW w:type="dxa" w:w="6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April 2026</w:t>
            </w:r>
          </w:p>
        </w:tc>
      </w:tr>
      <w:tr>
        <w:tc>
          <w:tcPr>
            <w:tcW w:type="dxa" w:w="240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Author</w:t>
            </w:r>
          </w:p>
        </w:tc>
        <w:tc>
          <w:tcPr>
            <w:tcW w:type="dxa" w:w="696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Uriel Tapiwa Munjanga  |  Software Engineer &amp; Architect</w:t>
            </w:r>
          </w:p>
        </w:tc>
      </w:tr>
      <w:tr>
        <w:tc>
          <w:tcPr>
            <w:tcW w:type="dxa" w:w="24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Predecessor</w:t>
            </w:r>
          </w:p>
        </w:tc>
        <w:tc>
          <w:tcPr>
            <w:tcW w:type="dxa" w:w="6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ILLM-03-001 — System Architecture</w:t>
            </w:r>
          </w:p>
        </w:tc>
      </w:tr>
      <w:tr>
        <w:tc>
          <w:tcPr>
            <w:tcW w:type="dxa" w:w="240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Successor</w:t>
            </w:r>
          </w:p>
        </w:tc>
        <w:tc>
          <w:tcPr>
            <w:tcW w:type="dxa" w:w="696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ILLM-03-003 — Integration Architecture</w:t>
            </w:r>
          </w:p>
        </w:tc>
      </w:tr>
      <w:tr>
        <w:tc>
          <w:tcPr>
            <w:tcW w:type="dxa" w:w="24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Review By</w:t>
            </w:r>
          </w:p>
        </w:tc>
        <w:tc>
          <w:tcPr>
            <w:tcW w:type="dxa" w:w="6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Technical Lead  |  Senior Developers</w:t>
            </w:r>
          </w:p>
        </w:tc>
      </w:tr>
      <w:tr>
        <w:tc>
          <w:tcPr>
            <w:tcW w:type="dxa" w:w="240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Sign-Off By</w:t>
            </w:r>
          </w:p>
        </w:tc>
        <w:tc>
          <w:tcPr>
            <w:tcW w:type="dxa" w:w="696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Technical Lead  |  Project Sponsor</w:t>
            </w:r>
          </w:p>
        </w:tc>
      </w:tr>
      <w:tr>
        <w:tc>
          <w:tcPr>
            <w:tcW w:type="dxa" w:w="24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Classification</w:t>
            </w:r>
          </w:p>
        </w:tc>
        <w:tc>
          <w:tcPr>
            <w:tcW w:type="dxa" w:w="6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CONFIDENTIAL</w:t>
            </w:r>
          </w:p>
        </w:tc>
      </w:tr>
      <w:tr>
        <w:tc>
          <w:tcPr>
            <w:tcW w:type="dxa" w:w="240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Status</w:t>
            </w:r>
          </w:p>
        </w:tc>
        <w:tc>
          <w:tcPr>
            <w:tcW w:type="dxa" w:w="696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TEMPLATE — Pending Completion</w:t>
            </w:r>
          </w:p>
        </w:tc>
      </w:tr>
    </w:tbl>
    <w:p>
      <w:r>
        <w:t xml:space="preserve"/>
      </w:r>
    </w:p>
    <w:p>
      <w:r>
        <w:t xml:space="preserve"/>
      </w:r>
    </w:p>
    <w:p>
      <w:pPr>
        <w:pStyle w:val="Heading2"/>
        <w:spacing w:after="80" w:before="200"/>
      </w:pPr>
      <w:r>
        <w:rPr>
          <w:rFonts w:ascii="Arial" w:cs="Arial" w:eastAsia="Arial" w:hAnsi="Arial"/>
        </w:rPr>
        <w:t xml:space="preserve">2. Technology Stack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4"/>
              <w:left w:val="single" w:color="DDDDDD" w:sz="4"/>
              <w:bottom w:val="single" w:color="DDDDDD" w:sz="4"/>
              <w:right w:val="single" w:color="DDDDDD" w:sz="4"/>
            </w:tcBorders>
            <w:shd w:fill="F7F7F7" w:val="clear"/>
            <w:tcMar>
              <w:top w:type="dxa" w:w="100"/>
              <w:left w:type="dxa" w:w="160"/>
              <w:bottom w:type="dxa" w:w="100"/>
              <w:right w:type="dxa" w:w="160"/>
            </w:tcMar>
          </w:tcPr>
          <w:p>
            <w:r>
              <w:rPr>
                <w:rFonts w:ascii="Arial" w:cs="Arial" w:eastAsia="Arial" w:hAnsi="Arial"/>
                <w:b/>
                <w:bCs/>
                <w:color w:val="0F6E56"/>
                <w:sz w:val="18"/>
                <w:szCs w:val="18"/>
              </w:rPr>
              <w:t xml:space="preserve">The Illumin360 platform runs on a fully open-source runtime stack. The only non-OSS dependencies at runtime are the third-party AI services (Anthropic Claude Sonnet 4.6, Google Cloud Vision OCR) and the chosen payment gateway. Application code is in C# / ASP.NET Core (implied by §35 Microsoft .NET Naming Guidelines and pending explicit confirmation). Architecture is microservices aligned to DDD bounded contexts with Clean Architecture layering.</w:t>
            </w:r>
            <w:r>
              <w:rPr>
                <w:rFonts w:ascii="Arial" w:cs="Arial" w:eastAsia="Arial" w:hAnsi="Arial"/>
                <w:i/>
                <w:iCs/>
                <w:color w:val="555555"/>
                <w:sz w:val="18"/>
                <w:szCs w:val="18"/>
              </w:rP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960"/>
        <w:gridCol w:w="1200"/>
        <w:gridCol w:w="1200"/>
      </w:tblGrid>
      <w:tr>
        <w:trPr>
          <w:tblHeader/>
        </w:trPr>
        <w:tc>
          <w:tcPr>
            <w:tcW w:type="dxa" w:w="30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Item / Requirement</w:t>
            </w:r>
          </w:p>
        </w:tc>
        <w:tc>
          <w:tcPr>
            <w:tcW w:type="dxa" w:w="396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Detail / Description</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Owner</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Status</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Runtime basis</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Open-source first; AI services and payment gateway are the only non-OSS dependencies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Confirmed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Application language</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.NET (C# / ASP.NET Core) — implied; pending explicit confirmation</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Pending</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Architecture style</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Microservices aligned to DDD bounded contexts; Clean Architecture per service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Confirmed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Inter-service comms</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Async via RabbitMQ; sync via REST through API gateway (Kong/Traefik)</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Confirmed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Standards</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ISO/IEC 12207, 81346, 9241, 27001; OpenAPI 3.x; REST; .NET naming</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Required</w:t>
            </w:r>
          </w:p>
        </w:tc>
      </w:tr>
    </w:tbl>
    <w:p>
      <w:r>
        <w:t xml:space="preserve"/>
      </w:r>
    </w:p>
    <w:p>
      <w:r>
        <w:t xml:space="preserve"/>
      </w:r>
    </w:p>
    <w:p>
      <w:pPr>
        <w:pStyle w:val="Heading2"/>
        <w:spacing w:after="80" w:before="200"/>
      </w:pPr>
      <w:r>
        <w:rPr>
          <w:rFonts w:ascii="Arial" w:cs="Arial" w:eastAsia="Arial" w:hAnsi="Arial"/>
        </w:rPr>
        <w:t xml:space="preserve">3. Technology Evaluation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4"/>
              <w:left w:val="single" w:color="DDDDDD" w:sz="4"/>
              <w:bottom w:val="single" w:color="DDDDDD" w:sz="4"/>
              <w:right w:val="single" w:color="DDDDDD" w:sz="4"/>
            </w:tcBorders>
            <w:shd w:fill="F7F7F7" w:val="clear"/>
            <w:tcMar>
              <w:top w:type="dxa" w:w="100"/>
              <w:left w:type="dxa" w:w="160"/>
              <w:bottom w:type="dxa" w:w="100"/>
              <w:right w:type="dxa" w:w="160"/>
            </w:tcMar>
          </w:tcPr>
          <w:p>
            <w:r>
              <w:rPr>
                <w:rFonts w:ascii="Arial" w:cs="Arial" w:eastAsia="Arial" w:hAnsi="Arial"/>
                <w:b/>
                <w:bCs/>
                <w:color w:val="0F6E56"/>
                <w:sz w:val="18"/>
                <w:szCs w:val="18"/>
              </w:rPr>
              <w:t xml:space="preserve">Each major choice was evaluated against alternatives. Keycloak preferred over Auth0 (cost, sovereignty); RabbitMQ over Redis-as-queue (durability, routing flexibility); PostgreSQL over MySQL (pgvector, JSONB, partitioning); MinIO over self-built file storage (S3 compatibility, ops maturity); Grafana stack over commercial APM (cost, openness, integration). Detailed evaluation rationale held in ADRs (ILLM-13-008 Decision Log).</w:t>
            </w:r>
            <w:r>
              <w:rPr>
                <w:rFonts w:ascii="Arial" w:cs="Arial" w:eastAsia="Arial" w:hAnsi="Arial"/>
                <w:i/>
                <w:iCs/>
                <w:color w:val="555555"/>
                <w:sz w:val="18"/>
                <w:szCs w:val="18"/>
              </w:rP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960"/>
        <w:gridCol w:w="1200"/>
        <w:gridCol w:w="1200"/>
      </w:tblGrid>
      <w:tr>
        <w:trPr>
          <w:tblHeader/>
        </w:trPr>
        <w:tc>
          <w:tcPr>
            <w:tcW w:type="dxa" w:w="30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Item / Requirement</w:t>
            </w:r>
          </w:p>
        </w:tc>
        <w:tc>
          <w:tcPr>
            <w:tcW w:type="dxa" w:w="396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Detail / Description</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Owner</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Status</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IAM choice</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Keycloak chosen — cost, sovereignty, OIDC standard, federation support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Decided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Message queue</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RabbitMQ chosen — durability, routing flexibility, mature ops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Decided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Database</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PostgreSQL 15+ chosen — pgvector, JSONB, partitioning, mature ecosystem</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Decided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Object storage</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MinIO chosen — S3 API compatibility, on-prem option, free egress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Decided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Observability</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Grafana LGTM stack chosen — cost, openness, integration with k6</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Decided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Secrets</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HashiCorp Vault OSS chosen — industry standard, K8s integration</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Decided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Workflows</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Temporal OSS chosen — removes bespoke saga code for long workflows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Decided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Container orchestration</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Kubernetes or K3s — selection based on operational team capacity</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Open</w:t>
            </w:r>
          </w:p>
        </w:tc>
      </w:tr>
    </w:tbl>
    <w:p>
      <w:r>
        <w:t xml:space="preserve"/>
      </w:r>
    </w:p>
    <w:p>
      <w:r>
        <w:t xml:space="preserve"/>
      </w:r>
    </w:p>
    <w:p>
      <w:pPr>
        <w:pStyle w:val="Heading2"/>
        <w:spacing w:after="80" w:before="200"/>
      </w:pPr>
      <w:r>
        <w:rPr>
          <w:rFonts w:ascii="Arial" w:cs="Arial" w:eastAsia="Arial" w:hAnsi="Arial"/>
        </w:rPr>
        <w:t xml:space="preserve">4. Selected Technologies by 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4"/>
              <w:left w:val="single" w:color="DDDDDD" w:sz="4"/>
              <w:bottom w:val="single" w:color="DDDDDD" w:sz="4"/>
              <w:right w:val="single" w:color="DDDDDD" w:sz="4"/>
            </w:tcBorders>
            <w:shd w:fill="F7F7F7" w:val="clear"/>
            <w:tcMar>
              <w:top w:type="dxa" w:w="100"/>
              <w:left w:type="dxa" w:w="160"/>
              <w:bottom w:type="dxa" w:w="100"/>
              <w:right w:type="dxa" w:w="160"/>
            </w:tcMar>
          </w:tcPr>
          <w:p>
            <w:r>
              <w:rPr>
                <w:rFonts w:ascii="Arial" w:cs="Arial" w:eastAsia="Arial" w:hAnsi="Arial"/>
                <w:b/>
                <w:bCs/>
                <w:color w:val="0F6E56"/>
                <w:sz w:val="18"/>
                <w:szCs w:val="18"/>
              </w:rPr>
              <w:t xml:space="preserve">Layered view of the confirmed and recommended technology choices. See spec §36 for the comprehensive list.</w:t>
            </w:r>
            <w:r>
              <w:rPr>
                <w:rFonts w:ascii="Arial" w:cs="Arial" w:eastAsia="Arial" w:hAnsi="Arial"/>
                <w:i/>
                <w:iCs/>
                <w:color w:val="555555"/>
                <w:sz w:val="18"/>
                <w:szCs w:val="18"/>
              </w:rP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960"/>
        <w:gridCol w:w="1200"/>
        <w:gridCol w:w="1200"/>
      </w:tblGrid>
      <w:tr>
        <w:trPr>
          <w:tblHeader/>
        </w:trPr>
        <w:tc>
          <w:tcPr>
            <w:tcW w:type="dxa" w:w="30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Item / Requirement</w:t>
            </w:r>
          </w:p>
        </w:tc>
        <w:tc>
          <w:tcPr>
            <w:tcW w:type="dxa" w:w="396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Detail / Description</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Owner</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Status</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Identity &amp; Access</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Keycloak (OIDC/OAuth2 authority, MFA, federation)</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Confirmed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Application runtime</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.NET 8+ / ASP.NET Core; EF Core or Dapper; Polly; Serilog</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Pending confirm</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Messaging</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RabbitMQ (async events); Temporal (long-running workflows)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Confirmed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Data store — relational</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PostgreSQL 15+</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Confirmed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Data store — vector</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pgvector extension (PostgreSQL)</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Confirmed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Data store — cache/session</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Redis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Confirmed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Data store — object</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MinIO (S3-compatible)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Confirmed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Observability</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Grafana OSS + Prometheus + Loki + Tempo + OpenTelemetry</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Confirmed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Edge &amp; gateway</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Kong/Traefik API gateway; NGINX reverse proxy</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Recommended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Security tooling</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ClamAV virus scan; HashiCorp Vault secrets; Trivy container scan; OWASP ZAP DAST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Recommended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Document processing</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Apache Tika; Tesseract OCR fallback; WeasyPrint PDF; python-docx + docxtpl</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Confirmed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Container &amp; orchestration</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Docker; Kubernetes or K3s; Helm; Argo CD</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Recommended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AI services (third-party)</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Anthropic Claude Sonnet 4.6 (claude-sonnet-4-6); Google Cloud Vision OCR</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Confirmed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Frontend (initial)</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TailwindCSS utility classes per existing component library; framework TBD</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Indicative</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Testing</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k6 load testing; Playwright E2E; Hoppscotch API testing</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QA</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Recommended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Marketing automation</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Mautic (referral funnels, talent report gating)</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Marketing</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Recommended</w:t>
            </w:r>
          </w:p>
        </w:tc>
      </w:tr>
    </w:tbl>
    <w:p>
      <w:r>
        <w:t xml:space="preserve"/>
      </w:r>
    </w:p>
    <w:p>
      <w:r>
        <w:t xml:space="preserve"/>
      </w:r>
    </w:p>
    <w:p>
      <w:pPr>
        <w:pStyle w:val="Heading2"/>
        <w:spacing w:after="80" w:before="200"/>
      </w:pPr>
      <w:r>
        <w:rPr>
          <w:rFonts w:ascii="Arial" w:cs="Arial" w:eastAsia="Arial" w:hAnsi="Arial"/>
        </w:rPr>
        <w:t xml:space="preserve">5. Licence and Cost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4"/>
              <w:left w:val="single" w:color="DDDDDD" w:sz="4"/>
              <w:bottom w:val="single" w:color="DDDDDD" w:sz="4"/>
              <w:right w:val="single" w:color="DDDDDD" w:sz="4"/>
            </w:tcBorders>
            <w:shd w:fill="F7F7F7" w:val="clear"/>
            <w:tcMar>
              <w:top w:type="dxa" w:w="100"/>
              <w:left w:type="dxa" w:w="160"/>
              <w:bottom w:type="dxa" w:w="100"/>
              <w:right w:type="dxa" w:w="160"/>
            </w:tcMar>
          </w:tcPr>
          <w:p>
            <w:r>
              <w:rPr>
                <w:rFonts w:ascii="Arial" w:cs="Arial" w:eastAsia="Arial" w:hAnsi="Arial"/>
                <w:b/>
                <w:bCs/>
                <w:color w:val="0F6E56"/>
                <w:sz w:val="18"/>
                <w:szCs w:val="18"/>
              </w:rPr>
              <w:t xml:space="preserve">All runtime stack components are open-source under permissive or copyleft licences compatible with commercial use. Hosting costs depend on Kubernetes capacity. AI services scale per usage per spec §28. No software licence fees apply to the open-source components.</w:t>
            </w:r>
            <w:r>
              <w:rPr>
                <w:rFonts w:ascii="Arial" w:cs="Arial" w:eastAsia="Arial" w:hAnsi="Arial"/>
                <w:i/>
                <w:iCs/>
                <w:color w:val="555555"/>
                <w:sz w:val="18"/>
                <w:szCs w:val="18"/>
              </w:rP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960"/>
        <w:gridCol w:w="1200"/>
        <w:gridCol w:w="1200"/>
      </w:tblGrid>
      <w:tr>
        <w:trPr>
          <w:tblHeader/>
        </w:trPr>
        <w:tc>
          <w:tcPr>
            <w:tcW w:type="dxa" w:w="30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Item / Requirement</w:t>
            </w:r>
          </w:p>
        </w:tc>
        <w:tc>
          <w:tcPr>
            <w:tcW w:type="dxa" w:w="396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Detail / Description</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Owner</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Status</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Keycloak</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Apache 2.0</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No licence fee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Confirmed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RabbitMQ</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Mozilla Public Licence 2.0</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No licence fee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Confirmed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Grafana OSS, Prometheus, Loki, Tempo, OpenTelemetry, k6</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AGPL-3.0 / Apache 2.0</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No licence fee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Confirmed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PostgreSQL</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PostgreSQL Licence (BSD-style)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No licence fee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Confirmed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MinIO</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AGPL-3.0</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No licence fee for SaaS-style deployment; consider commercial licence if SaaS-with-modifications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Note</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Redis</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BSD-3-Clause (RSAL changes — confirm version)</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No licence fee for current versions used</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Verify</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Kubernetes, Docker, Helm</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Apache 2.0</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No licence fee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Confirmed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HashiCorp Vault OSS</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BUSL — commercial use permitted with restrictions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Verify acceptable for use case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Verify</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Temporal</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MIT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No licence fee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Confirmed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ClamAV</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GPL v2</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No licence fee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Confirmed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Anthropic API (Claude)</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Pay-per-use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Year 1 ≈ USD 4.25/month combined</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Confirmed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Google Cloud Vision</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Pay-per-use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Free tier covers initial scale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Confirmed</w:t>
            </w:r>
          </w:p>
        </w:tc>
      </w:tr>
    </w:tbl>
    <w:p>
      <w:r>
        <w:t xml:space="preserve"/>
      </w:r>
    </w:p>
    <w:p>
      <w:r>
        <w:t xml:space="preserve"/>
      </w:r>
    </w:p>
    <w:p>
      <w:pPr>
        <w:pStyle w:val="Heading2"/>
        <w:spacing w:after="80" w:before="200"/>
      </w:pPr>
      <w:r>
        <w:rPr>
          <w:rFonts w:ascii="Arial" w:cs="Arial" w:eastAsia="Arial" w:hAnsi="Arial"/>
        </w:rPr>
        <w:t xml:space="preserve">6. Upgrade and Retirement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4"/>
              <w:left w:val="single" w:color="DDDDDD" w:sz="4"/>
              <w:bottom w:val="single" w:color="DDDDDD" w:sz="4"/>
              <w:right w:val="single" w:color="DDDDDD" w:sz="4"/>
            </w:tcBorders>
            <w:shd w:fill="F7F7F7" w:val="clear"/>
            <w:tcMar>
              <w:top w:type="dxa" w:w="100"/>
              <w:left w:type="dxa" w:w="160"/>
              <w:bottom w:type="dxa" w:w="100"/>
              <w:right w:type="dxa" w:w="160"/>
            </w:tcMar>
          </w:tcPr>
          <w:p>
            <w:r>
              <w:rPr>
                <w:rFonts w:ascii="Arial" w:cs="Arial" w:eastAsia="Arial" w:hAnsi="Arial"/>
                <w:b/>
                <w:bCs/>
                <w:color w:val="0F6E56"/>
                <w:sz w:val="18"/>
                <w:szCs w:val="18"/>
              </w:rPr>
              <w:t xml:space="preserve">Upgrade cadence and retirement policy. Major version upgrades occur in dedicated planning windows; security patches apply per ILLM-11-002 Monitoring and Alerting policy.</w:t>
            </w:r>
            <w:r>
              <w:rPr>
                <w:rFonts w:ascii="Arial" w:cs="Arial" w:eastAsia="Arial" w:hAnsi="Arial"/>
                <w:i/>
                <w:iCs/>
                <w:color w:val="555555"/>
                <w:sz w:val="18"/>
                <w:szCs w:val="18"/>
              </w:rP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960"/>
        <w:gridCol w:w="1200"/>
        <w:gridCol w:w="1200"/>
      </w:tblGrid>
      <w:tr>
        <w:trPr>
          <w:tblHeader/>
        </w:trPr>
        <w:tc>
          <w:tcPr>
            <w:tcW w:type="dxa" w:w="30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Item / Requirement</w:t>
            </w:r>
          </w:p>
        </w:tc>
        <w:tc>
          <w:tcPr>
            <w:tcW w:type="dxa" w:w="396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Detail / Description</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Owner</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Status</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Keycloak</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Track LTS releases; upgrade every 12–18 months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DevOps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Policy</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PostgreSQL</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Stay on supported major version; upgrade every 2–3 years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DevOps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Policy</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RabbitMQ</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Track minor LTS; upgrade annually</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DevOps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Policy</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Kubernetes</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Track stable minor; upgrade every 6 months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DevOps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Policy</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AI model versions</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Pin Claude model string to claude-sonnet-4-6; evaluate model upgrades quarterly</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Policy</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Retirement — Tesseract OCR fallback</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Retire if Cloud Vision SLA proves sufficient over Year 1</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Open</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Retirement — Ollama self-hosted fallback</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Phase 8 evaluation only</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Open</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Security patches</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Critical: 7 days; High: 30 days; Medium: next planning cycle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Security</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Policy</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End-of-life policy</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Components reaching upstream EoL replaced before EoL date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DevOps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Policy</w:t>
            </w:r>
          </w:p>
        </w:tc>
      </w:tr>
    </w:tbl>
    <w:p>
      <w:r>
        <w:t xml:space="preserve"/>
      </w:r>
    </w:p>
    <w:p>
      <w:r>
        <w:t xml:space="preserve"/>
      </w:r>
    </w:p>
    <w:p>
      <w:pPr>
        <w:pBdr>
          <w:top w:val="single" w:color="1D9E75" w:sz="6"/>
        </w:pBdr>
        <w:spacing w:after="120" w:before="200"/>
      </w:pPr>
      <w:r>
        <w:rPr>
          <w:rFonts w:ascii="Arial" w:cs="Arial" w:eastAsia="Arial" w:hAnsi="Arial"/>
          <w:b/>
          <w:bCs/>
          <w:color w:val="0F6E56"/>
          <w:sz w:val="22"/>
          <w:szCs w:val="22"/>
        </w:rPr>
        <w:t xml:space="preserve">Document 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r>
      <w:tr>
        <w:tc>
          <w:tcPr>
            <w:tcW w:type="dxa" w:w="468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Prepared By</w:t>
            </w:r>
          </w:p>
        </w:tc>
        <w:tc>
          <w:tcPr>
            <w:tcW w:type="dxa" w:w="468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Uriel Tapiwa Munjanga  |  Software Engineer &amp; Architect</w:t>
            </w:r>
          </w:p>
        </w:tc>
      </w:tr>
      <w:tr>
        <w:tc>
          <w:tcPr>
            <w:tcW w:type="dxa" w:w="46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Reviewed By</w:t>
            </w:r>
          </w:p>
        </w:tc>
        <w:tc>
          <w:tcPr>
            <w:tcW w:type="dxa" w:w="46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 Name, Title ]</w:t>
            </w:r>
          </w:p>
        </w:tc>
      </w:tr>
      <w:tr>
        <w:tc>
          <w:tcPr>
            <w:tcW w:type="dxa" w:w="468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Approved By</w:t>
            </w:r>
          </w:p>
        </w:tc>
        <w:tc>
          <w:tcPr>
            <w:tcW w:type="dxa" w:w="468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 Name, Title ]</w:t>
            </w:r>
          </w:p>
        </w:tc>
      </w:tr>
      <w:tr>
        <w:tc>
          <w:tcPr>
            <w:tcW w:type="dxa" w:w="46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Review Date</w:t>
            </w:r>
          </w:p>
        </w:tc>
        <w:tc>
          <w:tcPr>
            <w:tcW w:type="dxa" w:w="46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 DD Month YYYY ]</w:t>
            </w:r>
          </w:p>
        </w:tc>
      </w:tr>
      <w:tr>
        <w:tc>
          <w:tcPr>
            <w:tcW w:type="dxa" w:w="468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Approval Date</w:t>
            </w:r>
          </w:p>
        </w:tc>
        <w:tc>
          <w:tcPr>
            <w:tcW w:type="dxa" w:w="468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 DD Month YYYY ]</w:t>
            </w:r>
          </w:p>
        </w:tc>
      </w:tr>
      <w:tr>
        <w:tc>
          <w:tcPr>
            <w:tcW w:type="dxa" w:w="46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Next Review</w:t>
            </w:r>
          </w:p>
        </w:tc>
        <w:tc>
          <w:tcPr>
            <w:tcW w:type="dxa" w:w="46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 DD Month YYYY ]</w:t>
            </w:r>
          </w:p>
        </w:tc>
      </w:tr>
      <w:tr>
        <w:tc>
          <w:tcPr>
            <w:tcW w:type="dxa" w:w="468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Document Status</w:t>
            </w:r>
          </w:p>
        </w:tc>
        <w:tc>
          <w:tcPr>
            <w:tcW w:type="dxa" w:w="468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TEMPLATE — Pending Completion</w:t>
            </w:r>
          </w:p>
        </w:tc>
      </w:tr>
    </w:tbl>
    <w:p>
      <w:r>
        <w:t xml:space="preserve"/>
      </w:r>
    </w:p>
    <w:p>
      <w:pPr>
        <w:spacing w:after="80" w:before="60"/>
        <w:jc w:val="center"/>
      </w:pPr>
      <w:r>
        <w:rPr>
          <w:rFonts w:ascii="Arial" w:cs="Arial" w:eastAsia="Arial" w:hAnsi="Arial"/>
          <w:b w:val="false"/>
          <w:bCs w:val="false"/>
          <w:i w:val="false"/>
          <w:iCs w:val="false"/>
          <w:color w:val="555555"/>
          <w:sz w:val="16"/>
          <w:szCs w:val="16"/>
        </w:rPr>
        <w:t xml:space="preserve">Illumin Investments CC  (CC Reg: 2016/08234  |  VAT: 07851437-015)  |  Trading as Illumin  |  Windhoek, Namibia  |  illumin360.com</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D9E75" w:sz="4"/>
      </w:pBdr>
      <w:tabs>
        <w:tab w:val="right" w:pos="9026"/>
      </w:tabs>
      <w:spacing w:before="80"/>
    </w:pPr>
    <w:r>
      <w:rPr>
        <w:rFonts w:ascii="Arial" w:cs="Arial" w:eastAsia="Arial" w:hAnsi="Arial"/>
        <w:color w:val="555555"/>
        <w:sz w:val="16"/>
        <w:szCs w:val="16"/>
      </w:rPr>
      <w:t xml:space="preserve">Illumin Investments CC  |  CC Reg: 2016/08234  |  VAT: 07851437-015  |  illumin360.com</w:t>
    </w:r>
    <w:r>
      <w:rPr>
        <w:rFonts w:ascii="Arial" w:cs="Arial" w:eastAsia="Arial" w:hAnsi="Arial"/>
        <w:color w:val="555555"/>
        <w:sz w:val="16"/>
        <w:szCs w:val="16"/>
      </w:rPr>
      <w:t xml:space="preserve">	Page </w:t>
    </w: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D9E75" w:sz="6"/>
      </w:pBdr>
      <w:spacing w:after="100"/>
    </w:pPr>
    <w:r>
      <w:rPr>
        <w:rFonts w:ascii="Arial" w:cs="Arial" w:eastAsia="Arial" w:hAnsi="Arial"/>
        <w:b/>
        <w:bCs/>
        <w:color w:val="1D9E75"/>
        <w:sz w:val="20"/>
        <w:szCs w:val="20"/>
      </w:rPr>
      <w:t xml:space="preserve">ILLUMIN360  |  Technology Stack  </w:t>
    </w:r>
    <w:r>
      <w:rPr>
        <w:rFonts w:ascii="Arial" w:cs="Arial" w:eastAsia="Arial" w:hAnsi="Arial"/>
        <w:color w:val="555555"/>
        <w:sz w:val="18"/>
        <w:szCs w:val="18"/>
      </w:rPr>
      <w:t xml:space="preserve">ILLM-03-002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0F6E56"/>
      <w:sz w:val="32"/>
      <w:szCs w:val="32"/>
    </w:rPr>
  </w:style>
  <w:style w:type="paragraph" w:styleId="Heading2">
    <w:name w:val="Heading 2"/>
    <w:basedOn w:val="Normal"/>
    <w:next w:val="Normal"/>
    <w:qFormat/>
    <w:pPr>
      <w:spacing w:after="80" w:before="200"/>
      <w:outlineLvl w:val="1"/>
    </w:pPr>
    <w:rPr>
      <w:rFonts w:ascii="Arial" w:cs="Arial" w:eastAsia="Arial" w:hAnsi="Arial"/>
      <w:b/>
      <w:bCs/>
      <w:color w:val="0F6E56"/>
      <w:sz w:val="26"/>
      <w:szCs w:val="26"/>
    </w:rPr>
  </w:style>
  <w:style w:type="paragraph" w:styleId="Heading3">
    <w:name w:val="Heading 3"/>
    <w:basedOn w:val="Normal"/>
    <w:next w:val="Normal"/>
    <w:qFormat/>
    <w:pPr>
      <w:spacing w:after="60" w:before="140"/>
      <w:outlineLvl w:val="2"/>
    </w:pPr>
    <w:rPr>
      <w:rFonts w:ascii="Arial" w:cs="Arial" w:eastAsia="Arial" w:hAnsi="Arial"/>
      <w:b/>
      <w:bCs/>
      <w:color w:val="1A1A1A"/>
      <w:sz w:val="22"/>
      <w:szCs w:val="22"/>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2026-05-07T05:43:54.393Z</dcterms:created>
  <dcterms:modified xsi:type="dcterms:W3CDTF">2026-05-07T05:43:54.393Z</dcterms:modified>
</cp:coreProperties>
</file>

<file path=docProps/custom.xml><?xml version="1.0" encoding="utf-8"?>
<Properties xmlns="http://schemas.openxmlformats.org/officeDocument/2006/custom-properties" xmlns:vt="http://schemas.openxmlformats.org/officeDocument/2006/docPropsVTypes"/>
</file>