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PHASE 1 — CORE TALENT POOL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ILLM-06-001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06 — Incremental Delivery  |  Phase 1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Incremental + Agile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ILLM-05-008 — Velocity and Burndown Report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ILLM-06-002 — Phase 2 — Reporting, Payments, Notifications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QA Lead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Product Owner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spec. Phase 1 scope includes core matching engine, Professional/Student/Business registration, Auto-Application Engine, and Founder Programme quota enforcement.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ILLM-06-001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— Core Talent Pool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06 — Incremental Delivery  |  Phase 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Incremental + Agile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ILLM-05-008 — Velocity and Burndown Report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ILLM-06-002 — Phase 2 — Reporting, Payments, Notifications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QA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Product Owner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Phase Objectives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Phase 1 delivers the core talent pool with end-to-end registration, profile management, recruitment requests, matching engine, anonymous shortlist preview, Auto-Application audit trail, and Founder Programme quota enforcement. Reporting and payments arrive in Phase 2; this phase establishes the platform's defining mechanics.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O-1 Core registration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Professional, Student, Business registration via Keycloak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O-2 Profile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segment-specific profile fields and CV upload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O-3 Recruitment request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creates request with 3 of 4 search modes (internal in Phase 4)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O-4 Matching 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Two-pass matching with standard weights; 30s/5k target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O-5 Anonymous shortlist preview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 scores visible; names/contacts hidden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O-6 Auto-Application 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ledger per (request, candidate) consideration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O-7 Founder Programme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Quota-enforced grant of 300 Professional + 50 Business slots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O-8 Compliance D-03/D-04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Declaration and sensitive filter warning operational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Phase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Detailed in/out-of-scope items for the Phase 1 build.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— services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identity-svc, professional-svc, business-svc, recruitment-svc, matching-svc (core)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— portals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Portal, Student Portal, Business Portal (registration + core flows)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— Auto-Application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Standing-application principle, opt-outs, audit ledger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— Founder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Race-condition-safe grant logic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reporting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PDF/Word generation moved to Phase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payments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Subscription billing, hosted gateway moved to Phase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internal portal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Support Portal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— AI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Phase Deliverables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Concrete deliverables of Phase 1 with sign-off owners.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 Database migrations 001–015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Phase 1 schema present and run in dev/staging/prod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D-2 Keycloak realms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professional, student, business, admin realms configured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D-3 Registration flows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three segments registering and authenticating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D-4 Profile management UI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segment-specific fields editable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D-5 Matching engine v1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Two-pass, standard weights, 30s/5k target met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D-6 Auto-Application ledger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 populated correctly per request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D-7 Founder grant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Quota race-tested under 50-concurrent-write load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D-8 Anonymous preview UI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 scores visible; PII hidden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D-9 Compliance D-03/D-04 enforcement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Submission blocked without declaration; justification ≥50 words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D-10 OpenAPI spec for Phase 1 endpoints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Auto-generated reference docs published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Phase 1 release gates. All criteria must pass before Phase 2 begins.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A-1 Registration end-to-end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three segments can register, verify email, and log 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A-2 Founder race condition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Concurrent registrations resolve correctly; never two grants of slot 300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A-3 Auto-Application audit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Every request creates one auto_application_matches row per considered candidate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A-4 Matching engine performance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P95 ≤ 30 seconds for 5,000-candidate pool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A-5 Anonymous preview privacy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PII leakage in preview; verified by API contract test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A-6 D-03 enforcement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 submission blocked until declaration ticked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A-7 D-04 sensitive filter flow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Gender/age filter triggers warning + 50-word justification + admin alert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A-8 Audit log immutability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UI path can delete an audit log row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Dependencies that must be in place before Phase 1 can complete.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deployed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Realms, clients, role mappings configured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PostgreSQL deployed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v3.6 master migrations through Migration 015 applied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MinIO deployed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Buckets for CV upload provisioned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RabbitMQ deployed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 engine queue configured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ClamAV deployed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Virus scanning hooked into MinIO upload events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API key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Provisioned and stored in Vault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Phase 1 specific risks. Cross-reference the global risk register (ILLM-13-007).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quota race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Pure SELECT count is not safe — use SELECT FOR UPDATE serialisation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Mitigated by design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 engine performance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5k-candidate target requires query and index tuning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Tested in load runs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volume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ledger writes scale with request × candidate — verify partitioning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validate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misconfiguration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Realm setup must match the application's expectations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 and reviewed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Increment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Sign-off for Phase 1 transition to Phase 2.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deliverables D-1 to D-10 met acceptance criteria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Test pack executed and passed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demoed and accepted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Phase 1 — Core Talent Pool  </w:t>
    </w:r>
    <w:r>
      <w:rPr>
        <w:rFonts w:ascii="Arial" w:cs="Arial" w:eastAsia="Arial" w:hAnsi="Arial"/>
        <w:color w:val="555555"/>
        <w:sz w:val="18"/>
        <w:szCs w:val="18"/>
      </w:rPr>
      <w:t xml:space="preserve">ILLM-06-001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2026-05-07T05:43:55.815Z</dcterms:created>
  <dcterms:modified xsi:type="dcterms:W3CDTF">2026-05-07T05:43:55.815Z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