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left"/>
      </w:pPr>
      <w:r>
        <w:rPr>
          <w:rFonts w:ascii="Georgia" w:cs="Georgia" w:eastAsia="Georgia" w:hAnsi="Georgia"/>
          <w:b/>
          <w:bCs/>
          <w:color w:val="065A82"/>
          <w:sz w:val="52"/>
          <w:szCs w:val="52"/>
        </w:rPr>
        <w:t xml:space="preserve">IMPACT Weighted Average Approaches</w:t>
      </w:r>
    </w:p>
    <w:p>
      <w:pPr>
        <w:spacing w:before="200"/>
      </w:pPr>
      <w:r>
        <w:rPr>
          <w:rFonts w:ascii="Arial" w:cs="Arial" w:eastAsia="Arial" w:hAnsi="Arial"/>
          <w:color w:val="1C7293"/>
          <w:sz w:val="28"/>
          <w:szCs w:val="28"/>
        </w:rPr>
        <w:t xml:space="preserve">Detailed Technical Documentation</w:t>
      </w:r>
    </w:p>
    <w:p>
      <w:pPr>
        <w:pBdr>
          <w:bottom w:val="single" w:color="065A82" w:sz="6" w:space="1"/>
        </w:pBdr>
        <w:spacing w:before="100"/>
      </w:pPr>
    </w:p>
    <w:p>
      <w:pPr>
        <w:spacing w:before="400"/>
      </w:pPr>
      <w:r>
        <w:rPr>
          <w:rFonts w:ascii="Arial" w:cs="Arial" w:eastAsia="Arial" w:hAnsi="Arial"/>
          <w:color w:val="666666"/>
          <w:sz w:val="22"/>
          <w:szCs w:val="22"/>
        </w:rPr>
        <w:t xml:space="preserve">Data Transformation Pipeline, Weighted Average Methodologies,
Variability Scoring, and Results Interpretation Guide</w:t>
      </w:r>
    </w:p>
    <w:p>
      <w:r>
        <w:br w:type="page"/>
      </w:r>
    </w:p>
    <w:p>
      <w:pPr>
        <w:pStyle w:val="Heading1"/>
        <w:spacing w:before="300" w:after="150"/>
      </w:pPr>
      <w:r>
        <w:t xml:space="preserve">1. Data Transformation Pipeline</w:t>
      </w:r>
    </w:p>
    <w:p>
      <w:pPr>
        <w:spacing w:after="120"/>
      </w:pPr>
      <w:r>
        <w:rPr>
          <w:rFonts w:ascii="Arial" w:cs="Arial" w:eastAsia="Arial" w:hAnsi="Arial"/>
          <w:sz w:val="22"/>
          <w:szCs w:val="22"/>
        </w:rPr>
        <w:t xml:space="preserve">This section describes the complete data transformation process from raw IMPACT data files to the pre-processed format used for weighted average calculations. The pipeline is implemented in the impact_active_and_hystory function (data_processing.txt) and the prepare() method of ImpactWeightedAverages (code_reference.txt).</w:t>
      </w:r>
    </w:p>
    <w:p>
      <w:pPr>
        <w:pStyle w:val="Heading2"/>
        <w:spacing w:before="300" w:after="150"/>
      </w:pPr>
      <w:r>
        <w:t xml:space="preserve">1.1 Raw Data Ingestion</w:t>
      </w:r>
    </w:p>
    <w:p>
      <w:pPr>
        <w:spacing w:after="120"/>
      </w:pPr>
      <w:r>
        <w:rPr>
          <w:rFonts w:ascii="Arial" w:cs="Arial" w:eastAsia="Arial" w:hAnsi="Arial"/>
          <w:sz w:val="22"/>
          <w:szCs w:val="22"/>
        </w:rPr>
        <w:t xml:space="preserve">The process begins by reading two source datasets: IMPACT PA Active and IMPACT PA History. These are loaded via the data reader module (rdr.read_impact_pa_active and rdr.read_impact_pa_history) and concatenated into a single DataFrame using pd.concat with ignore_index=True. This merging step ensures that both current (active) and completed (historical) purchase agreements are available for analysis.</w:t>
      </w:r>
    </w:p>
    <w:p>
      <w:pPr>
        <w:pStyle w:val="Heading2"/>
        <w:spacing w:before="300" w:after="150"/>
      </w:pPr>
      <w:r>
        <w:t xml:space="preserve">1.2 Quality Filtering</w:t>
      </w:r>
    </w:p>
    <w:p>
      <w:pPr>
        <w:spacing w:after="120"/>
      </w:pPr>
      <w:r>
        <w:rPr>
          <w:rFonts w:ascii="Arial" w:cs="Arial" w:eastAsia="Arial" w:hAnsi="Arial"/>
          <w:sz w:val="22"/>
          <w:szCs w:val="22"/>
        </w:rPr>
        <w:t xml:space="preserve">Several filtering steps are applied to ensure data quality:</w:t>
      </w:r>
    </w:p>
    <w:p>
      <w:pPr>
        <w:pStyle w:val="ListParagraph"/>
        <w:numPr>
          <w:ilvl w:val="0"/>
          <w:numId w:val="2"/>
        </w:numPr>
        <w:spacing w:after="80"/>
      </w:pPr>
      <w:r>
        <w:rPr>
          <w:rFonts w:ascii="Arial" w:cs="Arial" w:eastAsia="Arial" w:hAnsi="Arial"/>
          <w:sz w:val="22"/>
          <w:szCs w:val="22"/>
        </w:rPr>
        <w:t xml:space="preserve">Positive unit price filter: Records with unit_price ≤ 0 are dropped. This removes erroneous or placeholder entries that would distort weighted average calculations.</w:t>
      </w:r>
    </w:p>
    <w:p>
      <w:pPr>
        <w:pStyle w:val="ListParagraph"/>
        <w:numPr>
          <w:ilvl w:val="0"/>
          <w:numId w:val="2"/>
        </w:numPr>
        <w:spacing w:after="80"/>
      </w:pPr>
      <w:r>
        <w:rPr>
          <w:rFonts w:ascii="Arial" w:cs="Arial" w:eastAsia="Arial" w:hAnsi="Arial"/>
          <w:sz w:val="22"/>
          <w:szCs w:val="22"/>
        </w:rPr>
        <w:t xml:space="preserve">Suffix code filter: Only records with blank (empty/whitespace) suffix codes are retained. The code uses a regex-based approach: pn_suffix values that are entirely whitespace are converted to NaN, and only NaN values pass the filter. This is supplemented by also accepting pn_suffix == 'nan' as a string.</w:t>
      </w:r>
    </w:p>
    <w:p>
      <w:pPr>
        <w:pStyle w:val="ListParagraph"/>
        <w:numPr>
          <w:ilvl w:val="0"/>
          <w:numId w:val="2"/>
        </w:numPr>
        <w:spacing w:after="80"/>
      </w:pPr>
      <w:r>
        <w:rPr>
          <w:rFonts w:ascii="Arial" w:cs="Arial" w:eastAsia="Arial" w:hAnsi="Arial"/>
          <w:sz w:val="22"/>
          <w:szCs w:val="22"/>
        </w:rPr>
        <w:t xml:space="preserve">Price Stability Code (PSC) filter: Records are filtered to keep only the accepted PSC values: PFM, PSE, PSA, and RMA. These codes represent valid pricing agreement types in the IMPACT system.</w:t>
      </w:r>
    </w:p>
    <w:p>
      <w:pPr>
        <w:pStyle w:val="ListParagraph"/>
        <w:numPr>
          <w:ilvl w:val="0"/>
          <w:numId w:val="2"/>
        </w:numPr>
        <w:spacing w:after="80"/>
      </w:pPr>
      <w:r>
        <w:rPr>
          <w:rFonts w:ascii="Arial" w:cs="Arial" w:eastAsia="Arial" w:hAnsi="Arial"/>
          <w:sz w:val="22"/>
          <w:szCs w:val="22"/>
        </w:rPr>
        <w:t xml:space="preserve">Temporal boundary: All records with po_year &gt; start_date.year are discarded, ensuring only data prior to the prediction period is used for training.</w:t>
      </w:r>
    </w:p>
    <w:p>
      <w:pPr>
        <w:pStyle w:val="Heading2"/>
        <w:spacing w:before="300" w:after="150"/>
      </w:pPr>
      <w:r>
        <w:t xml:space="preserve">1.3 Date Column Imputation and Validation</w:t>
      </w:r>
    </w:p>
    <w:p>
      <w:pPr>
        <w:spacing w:after="120"/>
      </w:pPr>
      <w:r>
        <w:rPr>
          <w:rFonts w:ascii="Arial" w:cs="Arial" w:eastAsia="Arial" w:hAnsi="Arial"/>
          <w:sz w:val="22"/>
          <w:szCs w:val="22"/>
        </w:rPr>
        <w:t xml:space="preserve">Date handling is critical for determining PA durations. The process_impact_date_columns function performs these corrections:</w:t>
      </w:r>
    </w:p>
    <w:p>
      <w:pPr>
        <w:pStyle w:val="ListParagraph"/>
        <w:numPr>
          <w:ilvl w:val="0"/>
          <w:numId w:val="2"/>
        </w:numPr>
        <w:spacing w:after="80"/>
      </w:pPr>
      <w:r>
        <w:rPr>
          <w:rFonts w:ascii="Arial" w:cs="Arial" w:eastAsia="Arial" w:hAnsi="Arial"/>
          <w:sz w:val="22"/>
          <w:szCs w:val="22"/>
        </w:rPr>
        <w:t xml:space="preserve">String-to-datetime conversion: Date columns in '%Y%m%d' format are converted to pandas datetime objects using convert_ymd_to_datetime.</w:t>
      </w:r>
    </w:p>
    <w:p>
      <w:pPr>
        <w:pStyle w:val="ListParagraph"/>
        <w:numPr>
          <w:ilvl w:val="0"/>
          <w:numId w:val="2"/>
        </w:numPr>
        <w:spacing w:after="80"/>
      </w:pPr>
      <w:r>
        <w:rPr>
          <w:rFonts w:ascii="Arial" w:cs="Arial" w:eastAsia="Arial" w:hAnsi="Arial"/>
          <w:sz w:val="22"/>
          <w:szCs w:val="22"/>
        </w:rPr>
        <w:t xml:space="preserve">Missing price_from imputation: When the price_from (start date) is NaN, it is replaced with place_beg_dt (the placement beginning date).</w:t>
      </w:r>
    </w:p>
    <w:p>
      <w:pPr>
        <w:pStyle w:val="ListParagraph"/>
        <w:numPr>
          <w:ilvl w:val="0"/>
          <w:numId w:val="2"/>
        </w:numPr>
        <w:spacing w:after="80"/>
      </w:pPr>
      <w:r>
        <w:rPr>
          <w:rFonts w:ascii="Arial" w:cs="Arial" w:eastAsia="Arial" w:hAnsi="Arial"/>
          <w:sz w:val="22"/>
          <w:szCs w:val="22"/>
        </w:rPr>
        <w:t xml:space="preserve">Missing price_to imputation: When the price_to (end date) is NaN, it is replaced with place_end_dt (the placement end date). This handles quantity-based PAs and sentinel values like 9999999 or 0000001.</w:t>
      </w:r>
    </w:p>
    <w:p>
      <w:pPr>
        <w:pStyle w:val="ListParagraph"/>
        <w:numPr>
          <w:ilvl w:val="0"/>
          <w:numId w:val="2"/>
        </w:numPr>
        <w:spacing w:after="80"/>
      </w:pPr>
      <w:r>
        <w:rPr>
          <w:rFonts w:ascii="Arial" w:cs="Arial" w:eastAsia="Arial" w:hAnsi="Arial"/>
          <w:sz w:val="22"/>
          <w:szCs w:val="22"/>
        </w:rPr>
        <w:t xml:space="preserve">Invalid range removal: Records where price_to ≤ price_from are excluded, as they represent logically invalid date ranges.</w:t>
      </w:r>
    </w:p>
    <w:p>
      <w:pPr>
        <w:pStyle w:val="ListParagraph"/>
        <w:numPr>
          <w:ilvl w:val="0"/>
          <w:numId w:val="2"/>
        </w:numPr>
        <w:spacing w:after="80"/>
      </w:pPr>
      <w:r>
        <w:rPr>
          <w:rFonts w:ascii="Arial" w:cs="Arial" w:eastAsia="Arial" w:hAnsi="Arial"/>
          <w:sz w:val="22"/>
          <w:szCs w:val="22"/>
        </w:rPr>
        <w:t xml:space="preserve">Forecasting boundary: Records with price_to beyond the forecasting_end_date are excluded to keep data within the relevant horizon.</w:t>
      </w:r>
    </w:p>
    <w:p>
      <w:pPr>
        <w:pStyle w:val="Heading2"/>
        <w:spacing w:before="300" w:after="150"/>
      </w:pPr>
      <w:r>
        <w:t xml:space="preserve">1.4 Value and Quantity Computation</w:t>
      </w:r>
    </w:p>
    <w:p>
      <w:pPr>
        <w:spacing w:after="120"/>
      </w:pPr>
      <w:r>
        <w:rPr>
          <w:rFonts w:ascii="Arial" w:cs="Arial" w:eastAsia="Arial" w:hAnsi="Arial"/>
          <w:sz w:val="22"/>
          <w:szCs w:val="22"/>
        </w:rPr>
        <w:t xml:space="preserve">The extract_impact_qty_and_value function derives two key fields for PA-type records:</w:t>
      </w:r>
    </w:p>
    <w:p>
      <w:pPr>
        <w:pStyle w:val="ListParagraph"/>
        <w:numPr>
          <w:ilvl w:val="0"/>
          <w:numId w:val="2"/>
        </w:numPr>
        <w:spacing w:after="80"/>
      </w:pPr>
      <w:r>
        <w:rPr>
          <w:rFonts w:ascii="Arial" w:cs="Arial" w:eastAsia="Arial" w:hAnsi="Arial"/>
          <w:sz w:val="22"/>
          <w:szCs w:val="22"/>
        </w:rPr>
        <w:t xml:space="preserve">qty = pa_max_mil + pa_max_com: Total quantity combines military and commercial maximum quantities.</w:t>
      </w:r>
    </w:p>
    <w:p>
      <w:pPr>
        <w:pStyle w:val="ListParagraph"/>
        <w:numPr>
          <w:ilvl w:val="0"/>
          <w:numId w:val="2"/>
        </w:numPr>
        <w:spacing w:after="80"/>
      </w:pPr>
      <w:r>
        <w:rPr>
          <w:rFonts w:ascii="Arial" w:cs="Arial" w:eastAsia="Arial" w:hAnsi="Arial"/>
          <w:sz w:val="22"/>
          <w:szCs w:val="22"/>
        </w:rPr>
        <w:t xml:space="preserve">value = unit_price × qty: Total contract value is the product of unit price and quantity.</w:t>
      </w:r>
    </w:p>
    <w:p>
      <w:pPr>
        <w:spacing w:after="120"/>
      </w:pPr>
      <w:r>
        <w:rPr>
          <w:rFonts w:ascii="Arial" w:cs="Arial" w:eastAsia="Arial" w:hAnsi="Arial"/>
          <w:sz w:val="22"/>
          <w:szCs w:val="22"/>
        </w:rPr>
        <w:t xml:space="preserve">After extraction, a recalculated unit_price = value / qty is stored, providing a normalized reference price.</w:t>
      </w:r>
    </w:p>
    <w:p>
      <w:pPr>
        <w:pStyle w:val="Heading2"/>
        <w:spacing w:before="300" w:after="150"/>
      </w:pPr>
      <w:r>
        <w:t xml:space="preserve">1.5 Part/PO-Level Aggregation (prepare() method)</w:t>
      </w:r>
    </w:p>
    <w:p>
      <w:pPr>
        <w:spacing w:after="120"/>
      </w:pPr>
      <w:r>
        <w:rPr>
          <w:rFonts w:ascii="Arial" w:cs="Arial" w:eastAsia="Arial" w:hAnsi="Arial"/>
          <w:sz w:val="22"/>
          <w:szCs w:val="22"/>
        </w:rPr>
        <w:t xml:space="preserve">In the ImpactWeightedAverages.prepare() method (code_reference.txt), the cleaned data is further processed:</w:t>
      </w:r>
    </w:p>
    <w:p>
      <w:pPr>
        <w:pStyle w:val="ListParagraph"/>
        <w:numPr>
          <w:ilvl w:val="0"/>
          <w:numId w:val="2"/>
        </w:numPr>
        <w:spacing w:after="80"/>
      </w:pPr>
      <w:r>
        <w:rPr>
          <w:rFonts w:ascii="Arial" w:cs="Arial" w:eastAsia="Arial" w:hAnsi="Arial"/>
          <w:sz w:val="22"/>
          <w:szCs w:val="22"/>
        </w:rPr>
        <w:t xml:space="preserve">Records with qty ≤ 1 are excluded to remove trivially small agreements.</w:t>
      </w:r>
    </w:p>
    <w:p>
      <w:pPr>
        <w:pStyle w:val="ListParagraph"/>
        <w:numPr>
          <w:ilvl w:val="0"/>
          <w:numId w:val="2"/>
        </w:numPr>
        <w:spacing w:after="80"/>
      </w:pPr>
      <w:r>
        <w:rPr>
          <w:rFonts w:ascii="Arial" w:cs="Arial" w:eastAsia="Arial" w:hAnsi="Arial"/>
          <w:sz w:val="22"/>
          <w:szCs w:val="22"/>
        </w:rPr>
        <w:t xml:space="preserve">Data is grouped by (part_number, po_number).</w:t>
      </w:r>
    </w:p>
    <w:p>
      <w:pPr>
        <w:pStyle w:val="ListParagraph"/>
        <w:numPr>
          <w:ilvl w:val="0"/>
          <w:numId w:val="2"/>
        </w:numPr>
        <w:spacing w:after="80"/>
      </w:pPr>
      <w:r>
        <w:rPr>
          <w:rFonts w:ascii="Arial" w:cs="Arial" w:eastAsia="Arial" w:hAnsi="Arial"/>
          <w:sz w:val="22"/>
          <w:szCs w:val="22"/>
        </w:rPr>
        <w:t xml:space="preserve">For each group, the following features are derived: duration in years and days (difference between min price_from and max price_to), the last observed unit price (taken from the record with the latest price_to; if ties exist, the one with the highest value is chosen), total quantity summed across unique qty entries, and total value calculated either as a single sum for single-record POs or via a year-by-year unit price assignment method for multi-record POs.</w:t>
      </w:r>
    </w:p>
    <w:p>
      <w:pPr>
        <w:spacing w:after="120"/>
      </w:pPr>
      <w:r>
        <w:rPr>
          <w:rFonts w:ascii="Arial" w:cs="Arial" w:eastAsia="Arial" w:hAnsi="Arial"/>
          <w:sz w:val="22"/>
          <w:szCs w:val="22"/>
        </w:rPr>
        <w:t xml:space="preserve">The output of this step is the impact_pa_and_history_pa file: a table of 9 unique part numbers across 32 rows of part/PO combinations, with columns for part_number, po_number, last_unit_price_observed, duration (years), duration (days), first/last observed dates, total_qty_for_this_po, and total_value_of_this_po.</w:t>
      </w:r>
    </w:p>
    <w:p>
      <w:r>
        <w:br w:type="page"/>
      </w:r>
    </w:p>
    <w:p>
      <w:pPr>
        <w:pStyle w:val="Heading1"/>
        <w:spacing w:before="300" w:after="150"/>
      </w:pPr>
      <w:r>
        <w:t xml:space="preserve">2. Weighted Average Approaches</w:t>
      </w:r>
    </w:p>
    <w:p>
      <w:pPr>
        <w:spacing w:after="120"/>
      </w:pPr>
      <w:r>
        <w:rPr>
          <w:rFonts w:ascii="Arial" w:cs="Arial" w:eastAsia="Arial" w:hAnsi="Arial"/>
          <w:sz w:val="22"/>
          <w:szCs w:val="22"/>
        </w:rPr>
        <w:t xml:space="preserve">Five distinct weighting strategies are implemented as subclasses of BaseImpactActiveAnalyzer. Each approach computes a weighted average of PA duration and value across all historical contracts for a given part number. The differences lie in how the weights are assigned.</w:t>
      </w:r>
    </w:p>
    <w:p>
      <w:pPr>
        <w:pStyle w:val="Heading2"/>
        <w:spacing w:before="300" w:after="150"/>
      </w:pPr>
      <w:r>
        <w:t xml:space="preserve">2.1 Baseline Method</w:t>
      </w:r>
    </w:p>
    <w:p>
      <w:pPr>
        <w:spacing w:after="120"/>
      </w:pPr>
      <w:r>
        <w:rPr>
          <w:rFonts w:ascii="Arial" w:cs="Arial" w:eastAsia="Arial" w:hAnsi="Arial"/>
          <w:sz w:val="22"/>
          <w:szCs w:val="22"/>
        </w:rPr>
        <w:t xml:space="preserve">The Baseline method examines only the last two PAs. Duration is the average of the last two PA durations, and value is determined by the penultimate observation. If the last two PAs have identical values, the method searches backwards for the most recent distinct (penultimate) value. This approach acts as a simple heuristic benchmark.</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Simple and easy to explain; captures the most recent trend direction.</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Ignores all but 2 data points; highly sensitive to noise in the last observations; unreliable for parts with fewer than 3 historical PAs.</w:t>
      </w:r>
    </w:p>
    <w:p>
      <w:pPr>
        <w:pStyle w:val="Heading2"/>
        <w:spacing w:before="300" w:after="150"/>
      </w:pPr>
      <w:r>
        <w:t xml:space="preserve">2.2 Equal Weight Method</w:t>
      </w:r>
    </w:p>
    <w:p>
      <w:pPr>
        <w:spacing w:after="120"/>
      </w:pPr>
      <w:r>
        <w:rPr>
          <w:rFonts w:ascii="Arial" w:cs="Arial" w:eastAsia="Arial" w:hAnsi="Arial"/>
          <w:sz w:val="22"/>
          <w:szCs w:val="22"/>
        </w:rPr>
        <w:t xml:space="preserve">All contracts receive a weight of 1.0 regardless of their size, cost, or age. The weighted average reduces to a simple arithmetic mean.</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Easy to compute and interpret; treats all historical contracts equally; no parameter tuning required.</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Ignores contract volume and financial magnitude; gives old, potentially irrelevant contracts the same influence as recent ones.</w:t>
      </w:r>
    </w:p>
    <w:p>
      <w:pPr>
        <w:pStyle w:val="Heading2"/>
        <w:spacing w:before="300" w:after="150"/>
      </w:pPr>
      <w:r>
        <w:t xml:space="preserve">2.3 Time Decay Method</w:t>
      </w:r>
    </w:p>
    <w:p>
      <w:pPr>
        <w:spacing w:after="120"/>
      </w:pPr>
      <w:r>
        <w:rPr>
          <w:rFonts w:ascii="Arial" w:cs="Arial" w:eastAsia="Arial" w:hAnsi="Arial"/>
          <w:sz w:val="22"/>
          <w:szCs w:val="22"/>
        </w:rPr>
        <w:t xml:space="preserve">Weights are computed using an exponential decay function: w = e^(−λ × days_ago), where days_ago is the number of days between each contract's end date and the most recent contract's end date. The λ parameter controls the speed of decay (default: 0.0001 in the run configuration).</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Automatically emphasizes recent market conditions; tunable via λ parameter; adapts to changing price environments.</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Ignores contract volume and cost; may over-emphasize recent anomalies; requires subjective choice of decay rate.</w:t>
      </w:r>
    </w:p>
    <w:p>
      <w:pPr>
        <w:pStyle w:val="Heading2"/>
        <w:spacing w:before="300" w:after="150"/>
      </w:pPr>
      <w:r>
        <w:t xml:space="preserve">2.4 Cost Weighted Method</w:t>
      </w:r>
    </w:p>
    <w:p>
      <w:pPr>
        <w:spacing w:after="120"/>
      </w:pPr>
      <w:r>
        <w:rPr>
          <w:rFonts w:ascii="Arial" w:cs="Arial" w:eastAsia="Arial" w:hAnsi="Arial"/>
          <w:sz w:val="22"/>
          <w:szCs w:val="22"/>
        </w:rPr>
        <w:t xml:space="preserve">Weights are proportional to total_cost, defined as value × duration_days (i.e., the total financial expenditure for the contract). Contracts with higher total cost have more influence on the average.</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Reflects actual financial impact; large, strategically important contracts naturally dominate.</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Ignores recency entirely; a single very expensive historical contract can dominate the average; no parameter tuning available.</w:t>
      </w:r>
    </w:p>
    <w:p>
      <w:pPr>
        <w:pStyle w:val="Heading2"/>
        <w:spacing w:before="300" w:after="150"/>
      </w:pPr>
      <w:r>
        <w:t xml:space="preserve">2.5 Hybrid Method (Duration × Time Decay)</w:t>
      </w:r>
    </w:p>
    <w:p>
      <w:pPr>
        <w:spacing w:after="120"/>
      </w:pPr>
      <w:r>
        <w:rPr>
          <w:rFonts w:ascii="Arial" w:cs="Arial" w:eastAsia="Arial" w:hAnsi="Arial"/>
          <w:sz w:val="22"/>
          <w:szCs w:val="22"/>
        </w:rPr>
        <w:t xml:space="preserve">Combines the cost-weighted and time-decay approaches: w = total_cost × e^(−λ × days_ago). This gives influence to both financial magnitude and recency.</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Balances two important dimensions (financial impact and recency); total cost acts as a counterweight to time decay; generally recommended for well-balanced estimates.</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Less intuitive to interpret than single-factor methods; still requires choosing λ; interaction effects between cost and recency can be non-obvious.</w:t>
      </w:r>
    </w:p>
    <w:p>
      <w:pPr>
        <w:pStyle w:val="Heading2"/>
        <w:spacing w:before="300" w:after="150"/>
      </w:pPr>
      <w:r>
        <w:t xml:space="preserve">2.6 Approach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800"/>
        <w:gridCol w:w="2060"/>
      </w:tblGrid>
      <w:tr>
        <w:tc>
          <w:tcPr>
            <w:tcW w:type="dxa" w:w="1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Weight Formula</w:t>
            </w:r>
          </w:p>
        </w:tc>
        <w:tc>
          <w:tcPr>
            <w:tcW w:type="dxa" w:w="18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18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c>
          <w:tcPr>
            <w:tcW w:type="dxa" w:w="20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2 PAs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Ignores history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Equal</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1/n</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No bias</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Ignores magnitude</w:t>
            </w:r>
          </w:p>
        </w:tc>
        <w:tc>
          <w:tcPr>
            <w:tcW w:type="dxa" w:w="20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Decay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e^(−λ×days)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Recency focus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Ignores cost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(decay rate)</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total_cost</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Financial impact</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Ignores recency</w:t>
            </w:r>
          </w:p>
        </w:tc>
        <w:tc>
          <w:tcPr>
            <w:tcW w:type="dxa" w:w="20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cost×e^(−λ×days)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interplay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 (decay rate)</w:t>
            </w:r>
          </w:p>
        </w:tc>
      </w:tr>
    </w:tbl>
    <w:p>
      <w:r>
        <w:br w:type="page"/>
      </w:r>
    </w:p>
    <w:p>
      <w:pPr>
        <w:pStyle w:val="Heading1"/>
        <w:spacing w:before="300" w:after="150"/>
      </w:pPr>
      <w:r>
        <w:t xml:space="preserve">3. Code Reference: Key Transformations and Outputs</w:t>
      </w:r>
    </w:p>
    <w:p>
      <w:pPr>
        <w:spacing w:after="120"/>
      </w:pPr>
      <w:r>
        <w:rPr>
          <w:rFonts w:ascii="Arial" w:cs="Arial" w:eastAsia="Arial" w:hAnsi="Arial"/>
          <w:sz w:val="22"/>
          <w:szCs w:val="22"/>
        </w:rPr>
        <w:t xml:space="preserve">The ImpactWeightedAverages class in code_reference.txt orchestrates the full pipeline from prepared data to final outputs. The key transformations in the run() method proceed as follows:</w:t>
      </w:r>
    </w:p>
    <w:p>
      <w:pPr>
        <w:pStyle w:val="Heading2"/>
        <w:spacing w:before="300" w:after="150"/>
      </w:pPr>
      <w:r>
        <w:t xml:space="preserve">3.1 Weighted Average Calculation</w:t>
      </w:r>
    </w:p>
    <w:p>
      <w:pPr>
        <w:spacing w:after="120"/>
      </w:pPr>
      <w:r>
        <w:rPr>
          <w:rFonts w:ascii="Arial" w:cs="Arial" w:eastAsia="Arial" w:hAnsi="Arial"/>
          <w:sz w:val="22"/>
          <w:szCs w:val="22"/>
        </w:rPr>
        <w:t xml:space="preserve">For each part number, the _calculate_weighted_average method iterates over all five approaches. For each approach it creates an analyzer instance via the factory function imp.create_analyzer, then calls calculate_duration_and_value() which returns the weighted average duration (days) and weighted average value ($). It also calls get_contract_summary_table() which returns a DataFrame showing each contract's raw attributes alongside its assigned weight, weight percentage, weighted duration, and weighted value.</w:t>
      </w:r>
    </w:p>
    <w:p>
      <w:pPr>
        <w:spacing w:after="120"/>
      </w:pPr>
      <w:r>
        <w:rPr>
          <w:rFonts w:ascii="Arial" w:cs="Arial" w:eastAsia="Arial" w:hAnsi="Arial"/>
          <w:sz w:val="22"/>
          <w:szCs w:val="22"/>
        </w:rPr>
        <w:t xml:space="preserve">The percentage of change between the last observed PA value and the weighted average value is computed as the escalation rate. An annualized rate is derived by dividing the escalation rate by the average duration in years.</w:t>
      </w:r>
    </w:p>
    <w:p>
      <w:pPr>
        <w:pStyle w:val="Heading2"/>
        <w:spacing w:before="300" w:after="150"/>
      </w:pPr>
      <w:r>
        <w:t xml:space="preserve">3.2 MAD-Based Variability Scoring</w:t>
      </w:r>
    </w:p>
    <w:p>
      <w:pPr>
        <w:spacing w:after="120"/>
      </w:pPr>
      <w:r>
        <w:rPr>
          <w:rFonts w:ascii="Arial" w:cs="Arial" w:eastAsia="Arial" w:hAnsi="Arial"/>
          <w:sz w:val="22"/>
          <w:szCs w:val="22"/>
        </w:rPr>
        <w:t xml:space="preserve">After computing weighted averages for all parts and approaches, the system calculates robustness metrics to identify which approach produces the most consistent (least variable) annual escalation rate:</w:t>
      </w:r>
    </w:p>
    <w:p>
      <w:pPr>
        <w:pStyle w:val="ListParagraph"/>
        <w:numPr>
          <w:ilvl w:val="0"/>
          <w:numId w:val="2"/>
        </w:numPr>
        <w:spacing w:after="80"/>
      </w:pPr>
      <w:r>
        <w:rPr>
          <w:rFonts w:ascii="Arial" w:cs="Arial" w:eastAsia="Arial" w:hAnsi="Arial"/>
          <w:sz w:val="22"/>
          <w:szCs w:val="22"/>
        </w:rPr>
        <w:t xml:space="preserve">Population-level MAD: For each approach, the median and Median Absolute Deviation (MAD) of annual_rate are computed across all parts using scipy.stats.median_abs_deviation.</w:t>
      </w:r>
    </w:p>
    <w:p>
      <w:pPr>
        <w:pStyle w:val="ListParagraph"/>
        <w:numPr>
          <w:ilvl w:val="0"/>
          <w:numId w:val="2"/>
        </w:numPr>
        <w:spacing w:after="80"/>
      </w:pPr>
      <w:r>
        <w:rPr>
          <w:rFonts w:ascii="Arial" w:cs="Arial" w:eastAsia="Arial" w:hAnsi="Arial"/>
          <w:sz w:val="22"/>
          <w:szCs w:val="22"/>
        </w:rPr>
        <w:t xml:space="preserve">Deviation score: Each individual part's annual rate is compared to its approach's population median via: deviation = |x − median| / (1.4826 × MAD). The 1.4826 scaling factor makes the measure directly analogous to standard deviation but robust to outliers. A score of 0 means the value equals the median; a score of 1 means it is approximately one standard deviation away.</w:t>
      </w:r>
    </w:p>
    <w:p>
      <w:pPr>
        <w:pStyle w:val="ListParagraph"/>
        <w:numPr>
          <w:ilvl w:val="0"/>
          <w:numId w:val="2"/>
        </w:numPr>
        <w:spacing w:after="80"/>
      </w:pPr>
      <w:r>
        <w:rPr>
          <w:rFonts w:ascii="Arial" w:cs="Arial" w:eastAsia="Arial" w:hAnsi="Arial"/>
          <w:sz w:val="22"/>
          <w:szCs w:val="22"/>
        </w:rPr>
        <w:t xml:space="preserve">Ranking: Within each part, the five approach scores are ranked (method='min'). Rank 1 indicates the approach with the lowest deviation score, meaning its annual rate is closest to the median behavior of the population. This is the recommended approach.</w:t>
      </w:r>
    </w:p>
    <w:p>
      <w:pPr>
        <w:pStyle w:val="Heading2"/>
        <w:spacing w:before="300" w:after="150"/>
      </w:pPr>
      <w:r>
        <w:t xml:space="preserve">3.3 Step Escalation Forecasting</w:t>
      </w:r>
    </w:p>
    <w:p>
      <w:pPr>
        <w:spacing w:after="120"/>
      </w:pPr>
      <w:r>
        <w:rPr>
          <w:rFonts w:ascii="Arial" w:cs="Arial" w:eastAsia="Arial" w:hAnsi="Arial"/>
          <w:sz w:val="22"/>
          <w:szCs w:val="22"/>
        </w:rPr>
        <w:t xml:space="preserve">The _generate_pas_given_wgt_avg method projects future PAs for each part and approach combination:</w:t>
      </w:r>
    </w:p>
    <w:p>
      <w:pPr>
        <w:pStyle w:val="ListParagraph"/>
        <w:numPr>
          <w:ilvl w:val="0"/>
          <w:numId w:val="2"/>
        </w:numPr>
        <w:spacing w:after="80"/>
      </w:pPr>
      <w:r>
        <w:rPr>
          <w:rFonts w:ascii="Arial" w:cs="Arial" w:eastAsia="Arial" w:hAnsi="Arial"/>
          <w:sz w:val="22"/>
          <w:szCs w:val="22"/>
        </w:rPr>
        <w:t xml:space="preserve">The forecast period spans from the last observed PA end date to the configured forecasting_end_date.</w:t>
      </w:r>
    </w:p>
    <w:p>
      <w:pPr>
        <w:pStyle w:val="ListParagraph"/>
        <w:numPr>
          <w:ilvl w:val="0"/>
          <w:numId w:val="2"/>
        </w:numPr>
        <w:spacing w:after="80"/>
      </w:pPr>
      <w:r>
        <w:rPr>
          <w:rFonts w:ascii="Arial" w:cs="Arial" w:eastAsia="Arial" w:hAnsi="Arial"/>
          <w:sz w:val="22"/>
          <w:szCs w:val="22"/>
        </w:rPr>
        <w:t xml:space="preserve">The period is divided into steps of duration equal to the weighted average duration (converted to months).</w:t>
      </w:r>
    </w:p>
    <w:p>
      <w:pPr>
        <w:pStyle w:val="ListParagraph"/>
        <w:numPr>
          <w:ilvl w:val="0"/>
          <w:numId w:val="2"/>
        </w:numPr>
        <w:spacing w:after="80"/>
      </w:pPr>
      <w:r>
        <w:rPr>
          <w:rFonts w:ascii="Arial" w:cs="Arial" w:eastAsia="Arial" w:hAnsi="Arial"/>
          <w:sz w:val="22"/>
          <w:szCs w:val="22"/>
        </w:rPr>
        <w:t xml:space="preserve">For each step, a compound escalation is applied: value_n = value_{n-1} + (value_{n-1} × escalation_rate), where escalation_rate is the percent change between the last PA and the weighted average.</w:t>
      </w:r>
    </w:p>
    <w:p>
      <w:pPr>
        <w:pStyle w:val="ListParagraph"/>
        <w:numPr>
          <w:ilvl w:val="0"/>
          <w:numId w:val="2"/>
        </w:numPr>
        <w:spacing w:after="80"/>
      </w:pPr>
      <w:r>
        <w:rPr>
          <w:rFonts w:ascii="Arial" w:cs="Arial" w:eastAsia="Arial" w:hAnsi="Arial"/>
          <w:sz w:val="22"/>
          <w:szCs w:val="22"/>
        </w:rPr>
        <w:t xml:space="preserve">If the total forecast period cannot be evenly divided, a complementary partial period is appended.</w:t>
      </w:r>
    </w:p>
    <w:p>
      <w:pPr>
        <w:pStyle w:val="Heading2"/>
        <w:spacing w:before="300" w:after="150"/>
      </w:pPr>
      <w:r>
        <w:t xml:space="preserve">3.4 Execution Outputs</w:t>
      </w:r>
    </w:p>
    <w:p>
      <w:pPr>
        <w:spacing w:after="120"/>
      </w:pPr>
      <w:r>
        <w:rPr>
          <w:rFonts w:ascii="Arial" w:cs="Arial" w:eastAsia="Arial" w:hAnsi="Arial"/>
          <w:sz w:val="22"/>
          <w:szCs w:val="22"/>
        </w:rPr>
        <w:t xml:space="preserve">The run() method produces four CSV files, all written to support_modules_outputs/impact_weighted_averages/: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1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impact_pa_and_history_pa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Cleaned and aggregated PA data at (part_number, po_number) level. Contains 32 rows across 9 parts with duration, unit price, total quantity, and total value.</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wgt_avg_results_per_part</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Statistics</w:t>
            </w:r>
          </w:p>
        </w:tc>
        <w:tc>
          <w:tcPr>
            <w:tcW w:type="dxa" w:w="5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Weighted averages per part per approach (45 rows = 9 parts × 5 approaches). Includes average duration, value, escalation rate, annual rate, deviation score, and variability ranking.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pa_step_escalation_prediction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PAs generated via step escalation (92 rows). Each row is a predicted PA with start/end dates, impact_purchase_cost, approach label, and ranking metadata.</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weight_assigment_explainability</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Process</w:t>
            </w:r>
          </w:p>
        </w:tc>
        <w:tc>
          <w:tcPr>
            <w:tcW w:type="dxa" w:w="5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Detailed contract summary tables (320 rows) from each analyzer, showing contract_id, dates, value, duration, weight, weight_pct, weighted_duration, and weighted_value per part and approach.</w:t>
            </w:r>
          </w:p>
        </w:tc>
      </w:tr>
    </w:tbl>
    <w:p>
      <w:r>
        <w:br w:type="page"/>
      </w:r>
    </w:p>
    <w:p>
      <w:pPr>
        <w:pStyle w:val="Heading1"/>
        <w:spacing w:before="300" w:after="150"/>
      </w:pPr>
      <w:r>
        <w:t xml:space="preserve">4. Variability Ranking System</w:t>
      </w:r>
    </w:p>
    <w:p>
      <w:pPr>
        <w:spacing w:after="120"/>
      </w:pPr>
      <w:r>
        <w:rPr>
          <w:rFonts w:ascii="Arial" w:cs="Arial" w:eastAsia="Arial" w:hAnsi="Arial"/>
          <w:sz w:val="22"/>
          <w:szCs w:val="22"/>
        </w:rPr>
        <w:t xml:space="preserve">The system includes an automated recommendation mechanism that identifies the weighted average approach with the least variability relative to the population median. Low variability scores are desirable because they indicate that the approach's annual escalation rate for a given part is consistent with the broader trend across all parts.</w:t>
      </w:r>
    </w:p>
    <w:p>
      <w:pPr>
        <w:pStyle w:val="Heading2"/>
        <w:spacing w:before="300" w:after="150"/>
      </w:pPr>
      <w:r>
        <w:t xml:space="preserve">4.1 Deviation Score Interpretation</w:t>
      </w:r>
    </w:p>
    <w:p>
      <w:pPr>
        <w:spacing w:after="120"/>
      </w:pPr>
      <w:r>
        <w:rPr>
          <w:rFonts w:ascii="Arial" w:cs="Arial" w:eastAsia="Arial" w:hAnsi="Arial"/>
          <w:sz w:val="22"/>
          <w:szCs w:val="22"/>
        </w:rPr>
        <w:t xml:space="preserve">The deviation score used as the guide for choosing the approach is based on the Median Absolute Deviation (MAD), which is directly analogous to standard deviation but more robust to outliers. While standard deviation uses the mean and is sensitive to extreme values, the MAD-based score uses the median and is therefore a more reliable measure when the distribution of annual rates contains outliers or is non-symmetric.</w:t>
      </w:r>
    </w:p>
    <w:p>
      <w:pPr>
        <w:spacing w:after="120"/>
      </w:pPr>
      <w:r>
        <w:rPr>
          <w:rFonts w:ascii="Arial" w:cs="Arial" w:eastAsia="Arial" w:hAnsi="Arial"/>
          <w:sz w:val="22"/>
          <w:szCs w:val="22"/>
        </w:rPr>
        <w:t xml:space="preserve">The interpretation of the deviation score values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48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the median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annual rate equals the population median. Ideal consistency.</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&lt; 1.0</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Within 1 MAD</w:t>
            </w:r>
          </w:p>
        </w:tc>
        <w:tc>
          <w:tcPr>
            <w:tcW w:type="dxa" w:w="4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Normal variability. The approach is producing consistent results relative to the population.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 – 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deviation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annual rate deviates noticeably. Review the explainability file to understand the weight distribution.</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&gt; 3.0</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Significant outlier</w:t>
            </w:r>
          </w:p>
        </w:tc>
        <w:tc>
          <w:tcPr>
            <w:tcW w:type="dxa" w:w="4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The approach is producing an unusual result for this part. Investigate the historical PA data for anomalies.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&gt; 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outlier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evidence that this approach is not suitable for this part. The ranking system will assign it a high rank (low priority).</w:t>
            </w:r>
          </w:p>
        </w:tc>
      </w:tr>
    </w:tbl>
    <w:p>
      <w:pPr>
        <w:pStyle w:val="Heading2"/>
        <w:spacing w:before="300" w:after="150"/>
      </w:pPr>
      <w:r>
        <w:t xml:space="preserve">4.2 Ranking Logic</w:t>
      </w:r>
    </w:p>
    <w:p>
      <w:pPr>
        <w:spacing w:after="120"/>
      </w:pPr>
      <w:r>
        <w:rPr>
          <w:rFonts w:ascii="Arial" w:cs="Arial" w:eastAsia="Arial" w:hAnsi="Arial"/>
          <w:sz w:val="22"/>
          <w:szCs w:val="22"/>
        </w:rPr>
        <w:t xml:space="preserve">Within each part number, the five deviation scores are ranked using pandas rank(method='min'). The approach receiving rank 1 has the lowest deviation score and is the system's recommended approach. When multiple approaches share the same deviation score, they receive the same rank (tied ranking).</w:t>
      </w:r>
    </w:p>
    <w:p>
      <w:pPr>
        <w:spacing w:after="120"/>
      </w:pPr>
      <w:r>
        <w:rPr>
          <w:rFonts w:ascii="Arial" w:cs="Arial" w:eastAsia="Arial" w:hAnsi="Arial"/>
          <w:sz w:val="22"/>
          <w:szCs w:val="22"/>
        </w:rPr>
        <w:t xml:space="preserve">Important: The ranking is relative within each part. Rank 1 for part A and rank 1 for part B may correspond to different approaches. The system does not impose a global best approach; it selects per-part based on consistency with the population.</w:t>
      </w:r>
    </w:p>
    <w:p>
      <w:r>
        <w:br w:type="page"/>
      </w:r>
    </w:p>
    <w:p>
      <w:pPr>
        <w:pStyle w:val="Heading1"/>
        <w:spacing w:before="300" w:after="150"/>
      </w:pPr>
      <w:r>
        <w:t xml:space="preserve">5. Output File Mapping to Pipeline Stages</w:t>
      </w:r>
    </w:p>
    <w:p>
      <w:pPr>
        <w:spacing w:after="120"/>
      </w:pPr>
      <w:r>
        <w:rPr>
          <w:rFonts w:ascii="Arial" w:cs="Arial" w:eastAsia="Arial" w:hAnsi="Arial"/>
          <w:sz w:val="22"/>
          <w:szCs w:val="22"/>
        </w:rPr>
        <w:t xml:space="preserve">Each output file corresponds to a specific stage in the data transformation pipeline:</w:t>
      </w:r>
    </w:p>
    <w:p>
      <w:pPr>
        <w:pStyle w:val="Heading2"/>
        <w:spacing w:before="300" w:after="150"/>
      </w:pPr>
      <w:r>
        <w:t xml:space="preserve">5.1 impact_pa_and_history_pa (Historical Data)</w:t>
      </w:r>
    </w:p>
    <w:p>
      <w:pPr>
        <w:spacing w:after="120"/>
      </w:pPr>
      <w:r>
        <w:rPr>
          <w:rFonts w:ascii="Arial" w:cs="Arial" w:eastAsia="Arial" w:hAnsi="Arial"/>
          <w:b/>
          <w:bCs/>
          <w:sz w:val="22"/>
          <w:szCs w:val="22"/>
        </w:rPr>
        <w:t xml:space="preserve">Pipeline stage: </w:t>
      </w:r>
      <w:r>
        <w:rPr>
          <w:rFonts w:ascii="Arial" w:cs="Arial" w:eastAsia="Arial" w:hAnsi="Arial"/>
          <w:sz w:val="22"/>
          <w:szCs w:val="22"/>
        </w:rPr>
        <w:t xml:space="preserve">Output of prepare() — data cleaning, quality filtering, date imputation, and (part_number, po_number) aggregation.</w:t>
      </w:r>
    </w:p>
    <w:p>
      <w:pPr>
        <w:spacing w:after="120"/>
      </w:pPr>
      <w:r>
        <w:rPr>
          <w:rFonts w:ascii="Arial" w:cs="Arial" w:eastAsia="Arial" w:hAnsi="Arial"/>
          <w:b/>
          <w:bCs/>
          <w:sz w:val="22"/>
          <w:szCs w:val="22"/>
        </w:rPr>
        <w:t xml:space="preserve">Key observation: </w:t>
      </w:r>
      <w:r>
        <w:rPr>
          <w:rFonts w:ascii="Arial" w:cs="Arial" w:eastAsia="Arial" w:hAnsi="Arial"/>
          <w:sz w:val="22"/>
          <w:szCs w:val="22"/>
        </w:rPr>
        <w:t xml:space="preserve">The po_number column is renamed to pa_number in the final output for business clarity. This file represents the foundational historical record from which all statistics and predictions are derived.</w:t>
      </w:r>
    </w:p>
    <w:p>
      <w:pPr>
        <w:pStyle w:val="Heading2"/>
        <w:spacing w:before="300" w:after="150"/>
      </w:pPr>
      <w:r>
        <w:t xml:space="preserve">5.2 wgt_avg_results_per_part (Statistics)</w:t>
      </w:r>
    </w:p>
    <w:p>
      <w:pPr>
        <w:spacing w:after="120"/>
      </w:pPr>
      <w:r>
        <w:rPr>
          <w:rFonts w:ascii="Arial" w:cs="Arial" w:eastAsia="Arial" w:hAnsi="Arial"/>
          <w:b/>
          <w:bCs/>
          <w:sz w:val="22"/>
          <w:szCs w:val="22"/>
        </w:rPr>
        <w:t xml:space="preserve">Pipeline stage: </w:t>
      </w:r>
      <w:r>
        <w:rPr>
          <w:rFonts w:ascii="Arial" w:cs="Arial" w:eastAsia="Arial" w:hAnsi="Arial"/>
          <w:sz w:val="22"/>
          <w:szCs w:val="22"/>
        </w:rPr>
        <w:t xml:space="preserve">Output of _calculate_weighted_average + _add_variability_score + _add_variability_rank — the core statistical computation phase.</w:t>
      </w:r>
    </w:p>
    <w:p>
      <w:pPr>
        <w:spacing w:after="120"/>
      </w:pPr>
      <w:r>
        <w:rPr>
          <w:rFonts w:ascii="Arial" w:cs="Arial" w:eastAsia="Arial" w:hAnsi="Arial"/>
          <w:b/>
          <w:bCs/>
          <w:sz w:val="22"/>
          <w:szCs w:val="22"/>
        </w:rPr>
        <w:t xml:space="preserve">Key observation: </w:t>
      </w:r>
      <w:r>
        <w:rPr>
          <w:rFonts w:ascii="Arial" w:cs="Arial" w:eastAsia="Arial" w:hAnsi="Arial"/>
          <w:sz w:val="22"/>
          <w:szCs w:val="22"/>
        </w:rPr>
        <w:t xml:space="preserve">This is the primary decision-support file. The 'least variability ranking' column directly indicates which approach to use. The 'annual_rate' column shows the implied yearly escalation trend.</w:t>
      </w:r>
    </w:p>
    <w:p>
      <w:pPr>
        <w:pStyle w:val="Heading2"/>
        <w:spacing w:before="300" w:after="150"/>
      </w:pPr>
      <w:r>
        <w:t xml:space="preserve">5.3 pa_step_escalation_prediction (Estimation)</w:t>
      </w:r>
    </w:p>
    <w:p>
      <w:pPr>
        <w:spacing w:after="120"/>
      </w:pPr>
      <w:r>
        <w:rPr>
          <w:rFonts w:ascii="Arial" w:cs="Arial" w:eastAsia="Arial" w:hAnsi="Arial"/>
          <w:b/>
          <w:bCs/>
          <w:sz w:val="22"/>
          <w:szCs w:val="22"/>
        </w:rPr>
        <w:t xml:space="preserve">Pipeline stage: </w:t>
      </w:r>
      <w:r>
        <w:rPr>
          <w:rFonts w:ascii="Arial" w:cs="Arial" w:eastAsia="Arial" w:hAnsi="Arial"/>
          <w:sz w:val="22"/>
          <w:szCs w:val="22"/>
        </w:rPr>
        <w:t xml:space="preserve">Output of _generate_pas_given_wgt_avg — the forecasting/projection phase.</w:t>
      </w:r>
    </w:p>
    <w:p>
      <w:pPr>
        <w:spacing w:after="120"/>
      </w:pPr>
      <w:r>
        <w:rPr>
          <w:rFonts w:ascii="Arial" w:cs="Arial" w:eastAsia="Arial" w:hAnsi="Arial"/>
          <w:b/>
          <w:bCs/>
          <w:sz w:val="22"/>
          <w:szCs w:val="22"/>
        </w:rPr>
        <w:t xml:space="preserve">Key observation: </w:t>
      </w:r>
      <w:r>
        <w:rPr>
          <w:rFonts w:ascii="Arial" w:cs="Arial" w:eastAsia="Arial" w:hAnsi="Arial"/>
          <w:sz w:val="22"/>
          <w:szCs w:val="22"/>
        </w:rPr>
        <w:t xml:space="preserve">The number of rows per part varies because it depends on the weighted average duration (step size) and the remaining forecast horizon. Parts with shorter average PA durations will have more predicted PAs. The file is sorted by part_number, least_variability_ranking, and wgt_avg_approach for easy navigation.</w:t>
      </w:r>
    </w:p>
    <w:p>
      <w:pPr>
        <w:pStyle w:val="Heading2"/>
        <w:spacing w:before="300" w:after="150"/>
      </w:pPr>
      <w:r>
        <w:t xml:space="preserve">5.4 weight_assigment_explainability (Process)</w:t>
      </w:r>
    </w:p>
    <w:p>
      <w:pPr>
        <w:spacing w:after="120"/>
      </w:pPr>
      <w:r>
        <w:rPr>
          <w:rFonts w:ascii="Arial" w:cs="Arial" w:eastAsia="Arial" w:hAnsi="Arial"/>
          <w:b/>
          <w:bCs/>
          <w:sz w:val="22"/>
          <w:szCs w:val="22"/>
        </w:rPr>
        <w:t xml:space="preserve">Pipeline stage: </w:t>
      </w:r>
      <w:r>
        <w:rPr>
          <w:rFonts w:ascii="Arial" w:cs="Arial" w:eastAsia="Arial" w:hAnsi="Arial"/>
          <w:sz w:val="22"/>
          <w:szCs w:val="22"/>
        </w:rPr>
        <w:t xml:space="preserve">Side output of _calculate_weighted_average — emitted by get_contract_summary_table() for each part/approach combination.</w:t>
      </w:r>
    </w:p>
    <w:p>
      <w:pPr>
        <w:spacing w:after="120"/>
      </w:pPr>
      <w:r>
        <w:rPr>
          <w:rFonts w:ascii="Arial" w:cs="Arial" w:eastAsia="Arial" w:hAnsi="Arial"/>
          <w:b/>
          <w:bCs/>
          <w:sz w:val="22"/>
          <w:szCs w:val="22"/>
        </w:rPr>
        <w:t xml:space="preserve">Key observation: </w:t>
      </w:r>
      <w:r>
        <w:rPr>
          <w:rFonts w:ascii="Arial" w:cs="Arial" w:eastAsia="Arial" w:hAnsi="Arial"/>
          <w:sz w:val="22"/>
          <w:szCs w:val="22"/>
        </w:rPr>
        <w:t xml:space="preserve">This file provides full traceability. For any given part and approach, you can see exactly which contracts contributed, what weight each received, and how much each contributed to the final weighted average. This is essential for audit and stakeholder review.</w:t>
      </w:r>
    </w:p>
    <w:p>
      <w:r>
        <w:br w:type="page"/>
      </w:r>
    </w:p>
    <w:p>
      <w:pPr>
        <w:pStyle w:val="Heading1"/>
        <w:spacing w:before="300" w:after="150"/>
      </w:pPr>
      <w:r>
        <w:t xml:space="preserve">6. Results Interpretation and Data-Driven Decision Guide</w:t>
      </w:r>
    </w:p>
    <w:p>
      <w:pPr>
        <w:pStyle w:val="Heading2"/>
        <w:spacing w:before="300" w:after="150"/>
      </w:pPr>
      <w:r>
        <w:t xml:space="preserve">6.1 Reading the Statistics File</w:t>
      </w:r>
    </w:p>
    <w:p>
      <w:pPr>
        <w:spacing w:after="120"/>
      </w:pPr>
      <w:r>
        <w:rPr>
          <w:rFonts w:ascii="Arial" w:cs="Arial" w:eastAsia="Arial" w:hAnsi="Arial"/>
          <w:sz w:val="22"/>
          <w:szCs w:val="22"/>
        </w:rPr>
        <w:t xml:space="preserve">For each part, the wgt_avg_results_per_part file presents 5 rows (one per approach). To identify the recommended approach:</w:t>
      </w:r>
    </w:p>
    <w:p>
      <w:pPr>
        <w:pStyle w:val="ListParagraph"/>
        <w:numPr>
          <w:ilvl w:val="0"/>
          <w:numId w:val="3"/>
        </w:numPr>
        <w:spacing w:after="80"/>
      </w:pPr>
      <w:r>
        <w:rPr>
          <w:rFonts w:ascii="Arial" w:cs="Arial" w:eastAsia="Arial" w:hAnsi="Arial"/>
          <w:sz w:val="22"/>
          <w:szCs w:val="22"/>
        </w:rPr>
        <w:t xml:space="preserve">Filter to the part of interest.</w:t>
      </w:r>
    </w:p>
    <w:p>
      <w:pPr>
        <w:pStyle w:val="ListParagraph"/>
        <w:numPr>
          <w:ilvl w:val="0"/>
          <w:numId w:val="3"/>
        </w:numPr>
        <w:spacing w:after="80"/>
      </w:pPr>
      <w:r>
        <w:rPr>
          <w:rFonts w:ascii="Arial" w:cs="Arial" w:eastAsia="Arial" w:hAnsi="Arial"/>
          <w:sz w:val="22"/>
          <w:szCs w:val="22"/>
        </w:rPr>
        <w:t xml:space="preserve">Sort by 'least variability ranking' ascending.</w:t>
      </w:r>
    </w:p>
    <w:p>
      <w:pPr>
        <w:pStyle w:val="ListParagraph"/>
        <w:numPr>
          <w:ilvl w:val="0"/>
          <w:numId w:val="3"/>
        </w:numPr>
        <w:spacing w:after="80"/>
      </w:pPr>
      <w:r>
        <w:rPr>
          <w:rFonts w:ascii="Arial" w:cs="Arial" w:eastAsia="Arial" w:hAnsi="Arial"/>
          <w:sz w:val="22"/>
          <w:szCs w:val="22"/>
        </w:rPr>
        <w:t xml:space="preserve">The row with ranking = 1.0 is the recommended approach.</w:t>
      </w:r>
    </w:p>
    <w:p>
      <w:pPr>
        <w:pStyle w:val="ListParagraph"/>
        <w:numPr>
          <w:ilvl w:val="0"/>
          <w:numId w:val="3"/>
        </w:numPr>
        <w:spacing w:after="80"/>
      </w:pPr>
      <w:r>
        <w:rPr>
          <w:rFonts w:ascii="Arial" w:cs="Arial" w:eastAsia="Arial" w:hAnsi="Arial"/>
          <w:sz w:val="22"/>
          <w:szCs w:val="22"/>
        </w:rPr>
        <w:t xml:space="preserve">Check its 'annual_rate' to understand the implied yearly price trend.</w:t>
      </w:r>
    </w:p>
    <w:p>
      <w:pPr>
        <w:pStyle w:val="ListParagraph"/>
        <w:numPr>
          <w:ilvl w:val="0"/>
          <w:numId w:val="3"/>
        </w:numPr>
        <w:spacing w:after="80"/>
      </w:pPr>
      <w:r>
        <w:rPr>
          <w:rFonts w:ascii="Arial" w:cs="Arial" w:eastAsia="Arial" w:hAnsi="Arial"/>
          <w:sz w:val="22"/>
          <w:szCs w:val="22"/>
        </w:rPr>
        <w:t xml:space="preserve">Verify the deviation score is &lt; 1.0 for confidence in the recommendation.</w:t>
      </w:r>
    </w:p>
    <w:p>
      <w:pPr>
        <w:pStyle w:val="Heading2"/>
        <w:spacing w:before="300" w:after="150"/>
      </w:pPr>
      <w:r>
        <w:t xml:space="preserve">6.2 Reading the Estimation File</w:t>
      </w:r>
    </w:p>
    <w:p>
      <w:pPr>
        <w:spacing w:after="120"/>
      </w:pPr>
      <w:r>
        <w:rPr>
          <w:rFonts w:ascii="Arial" w:cs="Arial" w:eastAsia="Arial" w:hAnsi="Arial"/>
          <w:sz w:val="22"/>
          <w:szCs w:val="22"/>
        </w:rPr>
        <w:t xml:space="preserve">The pa_step_escalation_prediction file contains the projected future PAs. For decision-making:</w:t>
      </w:r>
    </w:p>
    <w:p>
      <w:pPr>
        <w:pStyle w:val="ListParagraph"/>
        <w:numPr>
          <w:ilvl w:val="0"/>
          <w:numId w:val="2"/>
        </w:numPr>
        <w:spacing w:after="80"/>
      </w:pPr>
      <w:r>
        <w:rPr>
          <w:rFonts w:ascii="Arial" w:cs="Arial" w:eastAsia="Arial" w:hAnsi="Arial"/>
          <w:sz w:val="22"/>
          <w:szCs w:val="22"/>
        </w:rPr>
        <w:t xml:space="preserve">Focus on rows where 'least variability ranking' = 1.0 for each part — these are the recommended projections.</w:t>
      </w:r>
    </w:p>
    <w:p>
      <w:pPr>
        <w:pStyle w:val="ListParagraph"/>
        <w:numPr>
          <w:ilvl w:val="0"/>
          <w:numId w:val="2"/>
        </w:numPr>
        <w:spacing w:after="80"/>
      </w:pPr>
      <w:r>
        <w:rPr>
          <w:rFonts w:ascii="Arial" w:cs="Arial" w:eastAsia="Arial" w:hAnsi="Arial"/>
          <w:sz w:val="22"/>
          <w:szCs w:val="22"/>
        </w:rPr>
        <w:t xml:space="preserve">The 'impact_purchase_cost' column shows the projected cost for each future PA step.</w:t>
      </w:r>
    </w:p>
    <w:p>
      <w:pPr>
        <w:pStyle w:val="ListParagraph"/>
        <w:numPr>
          <w:ilvl w:val="0"/>
          <w:numId w:val="2"/>
        </w:numPr>
        <w:spacing w:after="80"/>
      </w:pPr>
      <w:r>
        <w:rPr>
          <w:rFonts w:ascii="Arial" w:cs="Arial" w:eastAsia="Arial" w:hAnsi="Arial"/>
          <w:sz w:val="22"/>
          <w:szCs w:val="22"/>
        </w:rPr>
        <w:t xml:space="preserve">The 'start_date' and 'end_date' columns define the coverage period of each projected PA.</w:t>
      </w:r>
    </w:p>
    <w:p>
      <w:pPr>
        <w:pStyle w:val="ListParagraph"/>
        <w:numPr>
          <w:ilvl w:val="0"/>
          <w:numId w:val="2"/>
        </w:numPr>
        <w:spacing w:after="80"/>
      </w:pPr>
      <w:r>
        <w:rPr>
          <w:rFonts w:ascii="Arial" w:cs="Arial" w:eastAsia="Arial" w:hAnsi="Arial"/>
          <w:sz w:val="22"/>
          <w:szCs w:val="22"/>
        </w:rPr>
        <w:t xml:space="preserve">Compare projections across approaches to understand the range of possible outcomes.</w:t>
      </w:r>
    </w:p>
    <w:p>
      <w:pPr>
        <w:pStyle w:val="Heading2"/>
        <w:spacing w:before="300" w:after="150"/>
      </w:pPr>
      <w:r>
        <w:t xml:space="preserve">6.3 Using the Explainability File for Auditing</w:t>
      </w:r>
    </w:p>
    <w:p>
      <w:pPr>
        <w:spacing w:after="120"/>
      </w:pPr>
      <w:r>
        <w:rPr>
          <w:rFonts w:ascii="Arial" w:cs="Arial" w:eastAsia="Arial" w:hAnsi="Arial"/>
          <w:sz w:val="22"/>
          <w:szCs w:val="22"/>
        </w:rPr>
        <w:t xml:space="preserve">When a stakeholder questions why a particular approach was recommended or why a specific cost was projected:</w:t>
      </w:r>
    </w:p>
    <w:p>
      <w:pPr>
        <w:pStyle w:val="ListParagraph"/>
        <w:numPr>
          <w:ilvl w:val="0"/>
          <w:numId w:val="2"/>
        </w:numPr>
        <w:spacing w:after="80"/>
      </w:pPr>
      <w:r>
        <w:rPr>
          <w:rFonts w:ascii="Arial" w:cs="Arial" w:eastAsia="Arial" w:hAnsi="Arial"/>
          <w:sz w:val="22"/>
          <w:szCs w:val="22"/>
        </w:rPr>
        <w:t xml:space="preserve">Filter the explainability file by model_part_id and approach.</w:t>
      </w:r>
    </w:p>
    <w:p>
      <w:pPr>
        <w:pStyle w:val="ListParagraph"/>
        <w:numPr>
          <w:ilvl w:val="0"/>
          <w:numId w:val="2"/>
        </w:numPr>
        <w:spacing w:after="80"/>
      </w:pPr>
      <w:r>
        <w:rPr>
          <w:rFonts w:ascii="Arial" w:cs="Arial" w:eastAsia="Arial" w:hAnsi="Arial"/>
          <w:sz w:val="22"/>
          <w:szCs w:val="22"/>
        </w:rPr>
        <w:t xml:space="preserve">Examine the weight_pct column to see each historical contract's contribution.</w:t>
      </w:r>
    </w:p>
    <w:p>
      <w:pPr>
        <w:pStyle w:val="ListParagraph"/>
        <w:numPr>
          <w:ilvl w:val="0"/>
          <w:numId w:val="2"/>
        </w:numPr>
        <w:spacing w:after="80"/>
      </w:pPr>
      <w:r>
        <w:rPr>
          <w:rFonts w:ascii="Arial" w:cs="Arial" w:eastAsia="Arial" w:hAnsi="Arial"/>
          <w:sz w:val="22"/>
          <w:szCs w:val="22"/>
        </w:rPr>
        <w:t xml:space="preserve">For time-decay approaches, older contracts will show smaller weights — verify this matches the expected decay pattern.</w:t>
      </w:r>
    </w:p>
    <w:p>
      <w:pPr>
        <w:pStyle w:val="ListParagraph"/>
        <w:numPr>
          <w:ilvl w:val="0"/>
          <w:numId w:val="2"/>
        </w:numPr>
        <w:spacing w:after="80"/>
      </w:pPr>
      <w:r>
        <w:rPr>
          <w:rFonts w:ascii="Arial" w:cs="Arial" w:eastAsia="Arial" w:hAnsi="Arial"/>
          <w:sz w:val="22"/>
          <w:szCs w:val="22"/>
        </w:rPr>
        <w:t xml:space="preserve">For cost-weighted approaches, contracts with higher total_cost will dominate — validate that these are the contracts you want to have the most influence.</w:t>
      </w:r>
    </w:p>
    <w:p>
      <w:pPr>
        <w:pStyle w:val="Heading2"/>
        <w:spacing w:before="300" w:after="150"/>
      </w:pPr>
      <w:r>
        <w:t xml:space="preserve">6.4 Decision Framework</w:t>
      </w:r>
    </w:p>
    <w:p>
      <w:pPr>
        <w:spacing w:after="120"/>
      </w:pPr>
      <w:r>
        <w:rPr>
          <w:rFonts w:ascii="Arial" w:cs="Arial" w:eastAsia="Arial" w:hAnsi="Arial"/>
          <w:sz w:val="22"/>
          <w:szCs w:val="22"/>
        </w:rPr>
        <w:t xml:space="preserve">When selecting an approach for a specific part in practice, consider the following decision framework:</w:t>
      </w:r>
    </w:p>
    <w:p>
      <w:pPr>
        <w:pStyle w:val="ListParagraph"/>
        <w:numPr>
          <w:ilvl w:val="0"/>
          <w:numId w:val="2"/>
        </w:numPr>
        <w:spacing w:after="80"/>
      </w:pPr>
      <w:r>
        <w:rPr>
          <w:rFonts w:ascii="Arial" w:cs="Arial" w:eastAsia="Arial" w:hAnsi="Arial"/>
          <w:sz w:val="22"/>
          <w:szCs w:val="22"/>
        </w:rPr>
        <w:t xml:space="preserve">Default recommendation: Use the approach with 'least variability ranking' = 1. This is the most statistically consistent choice.</w:t>
      </w:r>
    </w:p>
    <w:p>
      <w:pPr>
        <w:pStyle w:val="ListParagraph"/>
        <w:numPr>
          <w:ilvl w:val="0"/>
          <w:numId w:val="2"/>
        </w:numPr>
        <w:spacing w:after="80"/>
      </w:pPr>
      <w:r>
        <w:rPr>
          <w:rFonts w:ascii="Arial" w:cs="Arial" w:eastAsia="Arial" w:hAnsi="Arial"/>
          <w:sz w:val="22"/>
          <w:szCs w:val="22"/>
        </w:rPr>
        <w:t xml:space="preserve">Override scenario 1: If the recommended approach has a deviation score &gt; 3.0, consider whether the part has unusual pricing history. In such cases, manual review of the historical data file is advised.</w:t>
      </w:r>
    </w:p>
    <w:p>
      <w:pPr>
        <w:pStyle w:val="ListParagraph"/>
        <w:numPr>
          <w:ilvl w:val="0"/>
          <w:numId w:val="2"/>
        </w:numPr>
        <w:spacing w:after="80"/>
      </w:pPr>
      <w:r>
        <w:rPr>
          <w:rFonts w:ascii="Arial" w:cs="Arial" w:eastAsia="Arial" w:hAnsi="Arial"/>
          <w:sz w:val="22"/>
          <w:szCs w:val="22"/>
        </w:rPr>
        <w:t xml:space="preserve">Override scenario 2: If business context suggests that recent pricing trends should be given extra importance (e.g., a recently renegotiated contract), consider using Time Decay or Hybrid even if they are not rank 1.</w:t>
      </w:r>
    </w:p>
    <w:p>
      <w:pPr>
        <w:pStyle w:val="ListParagraph"/>
        <w:numPr>
          <w:ilvl w:val="0"/>
          <w:numId w:val="2"/>
        </w:numPr>
        <w:spacing w:after="80"/>
      </w:pPr>
      <w:r>
        <w:rPr>
          <w:rFonts w:ascii="Arial" w:cs="Arial" w:eastAsia="Arial" w:hAnsi="Arial"/>
          <w:sz w:val="22"/>
          <w:szCs w:val="22"/>
        </w:rPr>
        <w:t xml:space="preserve">Override scenario 3: If the part has only 2 historical PAs, be cautious with the Baseline approach, as it becomes equivalent to a simple two-point comparison with no averaging.</w:t>
      </w:r>
    </w:p>
    <w:p>
      <w:pPr>
        <w:pStyle w:val="ListParagraph"/>
        <w:numPr>
          <w:ilvl w:val="0"/>
          <w:numId w:val="2"/>
        </w:numPr>
        <w:spacing w:after="80"/>
      </w:pPr>
      <w:r>
        <w:rPr>
          <w:rFonts w:ascii="Arial" w:cs="Arial" w:eastAsia="Arial" w:hAnsi="Arial"/>
          <w:sz w:val="22"/>
          <w:szCs w:val="22"/>
        </w:rPr>
        <w:t xml:space="preserve">Sensitivity analysis: Compare the impact_purchase_cost across all five approaches for the same part. If the range is narrow, any approach will yield similar results. If the range is wide, the choice of approach matters significantly, and the ranking becomes more important.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6" w:space="1"/>
      </w:pBdr>
      <w:tabs>
        <w:tab w:val="right" w:pos="9360"/>
      </w:tabs>
    </w:pPr>
    <w:r>
      <w:rPr>
        <w:rFonts w:ascii="Arial" w:cs="Arial" w:eastAsia="Arial" w:hAnsi="Arial"/>
        <w:color w:val="999999"/>
        <w:sz w:val="18"/>
        <w:szCs w:val="18"/>
      </w:rPr>
      <w:t xml:space="preserve">IMPACT Weighted Average Approaches</w:t>
    </w:r>
    <w:r>
      <w:t xml:space="preserve">	</w:t>
    </w:r>
    <w:r>
      <w:rPr>
        <w:rFonts w:ascii="Arial" w:cs="Arial" w:eastAsia="Arial" w:hAnsi="Arial"/>
        <w:color w:val="999999"/>
        <w:sz w:val="18"/>
        <w:szCs w:val="18"/>
      </w:rPr>
      <w:t xml:space="preserve">Detailed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65A8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C72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1B6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2026-02-16T23:42:33.389Z</dcterms:created>
  <dcterms:modified xsi:type="dcterms:W3CDTF">2026-02-16T23:42:33.390Z</dcterms:modified>
</cp:coreProperties>
</file>

<file path=docProps/custom.xml><?xml version="1.0" encoding="utf-8"?>
<Properties xmlns="http://schemas.openxmlformats.org/officeDocument/2006/custom-properties" xmlns:vt="http://schemas.openxmlformats.org/officeDocument/2006/docPropsVTypes"/>
</file>