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3CCB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</w:rPr>
        <w:t xml:space="preserve">по практической работе № </w:t>
      </w:r>
      <w:r>
        <w:rPr>
          <w:b w:val="1"/>
          <w:color w:val="000000"/>
        </w:rPr>
        <w:t xml:space="preserve">7 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 xml:space="preserve"> «</w:t>
      </w:r>
      <w:bookmarkStart w:id="0" w:name="_dx_frag_StartFragment"/>
      <w:bookmarkEnd w:id="0"/>
      <w:r>
        <w:rPr>
          <w:b w:val="1"/>
          <w:color w:val="000000"/>
        </w:rPr>
        <w:t>Формализация основных функций»</w:t>
      </w:r>
    </w:p>
    <w:p>
      <w:pPr>
        <w:ind w:firstLine="0"/>
        <w:jc w:val="center"/>
        <w:rPr>
          <w:b w:val="1"/>
        </w:rPr>
      </w:pPr>
    </w:p>
    <w:p>
      <w:pPr>
        <w:ind w:firstLine="0"/>
        <w:jc w:val="center"/>
        <w:rPr>
          <w:b w:val="1"/>
        </w:rPr>
      </w:pPr>
      <w:r>
        <w:rPr>
          <w:b w:val="1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</w:pPr>
      <w:r>
        <w:rPr>
          <w:b w:val="1"/>
        </w:rPr>
        <w:t>специальность 09.02.07 Информационные системы и программирование</w:t>
      </w:r>
    </w:p>
    <w:p/>
    <w:p>
      <w:pPr>
        <w:ind w:firstLine="0"/>
      </w:pPr>
    </w:p>
    <w:p>
      <w:pPr>
        <w:ind w:firstLine="0" w:left="4956"/>
      </w:pPr>
      <w:r>
        <w:t>Выполнил: студент группы 101К</w:t>
      </w:r>
    </w:p>
    <w:p>
      <w:pPr>
        <w:ind w:firstLine="0" w:left="4956"/>
        <w:rPr>
          <w:color w:val="000000"/>
        </w:rPr>
      </w:pPr>
      <w:r>
        <w:rPr>
          <w:color w:val="000000"/>
        </w:rPr>
        <w:t>Медведева А.Н.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ind w:hanging="0" w:left="0"/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формализовать основные функции системы. </w:t>
      </w:r>
    </w:p>
    <w:p/>
    <w:p>
      <w:pPr>
        <w:rPr>
          <w:b w:val="1"/>
        </w:rPr>
      </w:pPr>
      <w:r>
        <w:rPr>
          <w:b w:val="1"/>
        </w:rPr>
        <w:t>Решение задач</w:t>
      </w:r>
    </w:p>
    <w:p>
      <w:pPr>
        <w:ind w:hanging="0" w:left="0"/>
        <w:rPr>
          <w:sz w:val="24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Регистрация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 xml:space="preserve">Поля для регистрации: email, логин, пароль </w:t>
            </w:r>
          </w:p>
        </w:tc>
      </w:tr>
      <w:tr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</w:pPr>
            <w:r>
              <w:t>Авторизация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</w:pPr>
            <w:r>
              <w:t>Поля для авторизации: логин, пароль</w:t>
            </w:r>
          </w:p>
        </w:tc>
      </w:tr>
      <w:tr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 xml:space="preserve">Добавление товаров 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булевая метка, опубликован ли товар. </w:t>
            </w:r>
          </w:p>
        </w:tc>
      </w:tr>
      <w:tr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 xml:space="preserve">Покупка товара 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>При покупке товара он добавляется в корзину. В корзине возможно оформить заказ, заполнив дополнительные поля.</w:t>
            </w:r>
          </w:p>
        </w:tc>
      </w:tr>
      <w:tr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>Настройка профиля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 настройках профиля можно редактировать аватарку, ник, информацию о себе, пароль, </w:t>
            </w:r>
            <w:r>
              <w:t>email, черный список, альбомы.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Галерея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В профиле авторизованного пользователя есть альбомы, в которых хранятся созданные им образы.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Настройка альбомов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>Их можно открыть для всех пользователей или только для себя. Так же можно редактировать аватарку и название альбома.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Лента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 ленте отображаются посты других пользователей. 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>Редактирование своих постов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Свой пост можно редактировать в случае допущения ошибки</w:t>
            </w:r>
            <w:r>
              <w:rPr>
                <w:sz w:val="28"/>
              </w:rPr>
              <w:t xml:space="preserve"> или удалить.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Комментарии можно оставлять под постами других пользователей.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Редактирование своих комментариев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>Свой комментарий можно редактировать в случае допущения ошибки</w:t>
            </w:r>
            <w:r>
              <w:t xml:space="preserve"> или уда</w:t>
            </w:r>
            <w:r>
              <w:t>лить.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Ответы на комментарии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Можно отвечать на комментарии под своими постами и постами других пользователей.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Общий чат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В общем чате общаются все авторизованные пользователи.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Личный чат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 личном чате общаются два </w:t>
            </w:r>
            <w:r>
              <w:t xml:space="preserve">авторизованных </w:t>
            </w:r>
            <w:r>
              <w:rPr>
                <w:sz w:val="28"/>
              </w:rPr>
              <w:t>пользователя.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Групповой чат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В групповом чате общается несколько приглашенных в него авторизованных пользователей.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Музыка в посте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Помимо картинки и текста в пост можно вставить загруженную песню.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Приглашение новых пользователей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Приглашение можно отправить в некоторые соцсети или пригласить самостоятельно.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Создание персонажа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Сам процесс создания персонажа в конструкторе.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Черный список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Пользователь может добавлять в черный список других пользователей, в этом случае он просто не будет видеть сообщений этих пользователей. Админ, модератор или пользователь с высоким статусом может банить на определенный срок.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Статусы для пользователей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Зависимо от то</w:t>
            </w:r>
            <w:r>
              <w:rPr>
                <w:sz w:val="28"/>
              </w:rPr>
              <w:t>го, насколько пользователь активный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как хорошо общается с людьми</w:t>
            </w:r>
            <w:r>
              <w:rPr>
                <w:sz w:val="28"/>
              </w:rPr>
              <w:t xml:space="preserve"> и сколько покупок он сделал</w:t>
            </w:r>
            <w:r>
              <w:rPr>
                <w:sz w:val="28"/>
              </w:rPr>
              <w:t>, он может получить статус от "нормальный</w:t>
            </w:r>
            <w:r>
              <w:rPr>
                <w:sz w:val="28"/>
              </w:rPr>
              <w:t xml:space="preserve"> чел"</w:t>
            </w:r>
            <w:r>
              <w:rPr>
                <w:sz w:val="28"/>
              </w:rPr>
              <w:t>(1)</w:t>
            </w:r>
            <w:r>
              <w:rPr>
                <w:sz w:val="28"/>
              </w:rPr>
              <w:t xml:space="preserve"> до "киборг убийца"(10)</w:t>
            </w:r>
          </w:p>
        </w:tc>
      </w:tr>
      <w:tr>
        <w:tc>
          <w:tcPr>
            <w:tcW w:w="4863" w:type="dxa"/>
            <w:shd w:val="clear" w:color="auto" w:fill="FFFFFF"/>
            <w:vAlign w:val="top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ВИП пользователи</w:t>
            </w:r>
          </w:p>
        </w:tc>
        <w:tc>
          <w:tcPr>
            <w:tcW w:w="4863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Например есть 10 латных костюмов из которых сразу 5 доступны для ВИПа, а остальные дешевые</w:t>
            </w:r>
          </w:p>
        </w:tc>
      </w:tr>
    </w:tbl>
    <w:p>
      <w:pPr>
        <w:ind w:hanging="0" w:left="0"/>
        <w:rPr>
          <w:sz w:val="24"/>
        </w:rPr>
      </w:pPr>
    </w:p>
    <w:p>
      <w:pPr>
        <w:ind w:hanging="0" w:left="0"/>
        <w:rPr>
          <w:sz w:val="24"/>
        </w:rPr>
      </w:pPr>
    </w:p>
    <w:p>
      <w:pPr>
        <w:rPr>
          <w:b w:val="1"/>
        </w:rPr>
      </w:pPr>
      <w:r>
        <w:rPr>
          <w:b w:val="1"/>
        </w:rPr>
        <w:t>Выводы</w:t>
      </w:r>
    </w:p>
    <w:p>
      <w:pPr>
        <w:rPr>
          <w:sz w:val="24"/>
        </w:rPr>
      </w:pPr>
    </w:p>
    <w:p>
      <w:pPr>
        <w:rPr>
          <w:b w:val="1"/>
          <w:sz w:val="24"/>
        </w:rPr>
      </w:pPr>
      <w:r>
        <w:rPr>
          <w:sz w:val="28"/>
        </w:rPr>
        <w:t>В это</w:t>
      </w:r>
      <w:r>
        <w:rPr>
          <w:sz w:val="28"/>
        </w:rPr>
        <w:t>й практической работе я формализовала многие функции системы своего проекта.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