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Times New Roman"/>
          <w:b/>
          <w:i w:val="0"/>
          <w:sz w:val="36"/>
        </w:rPr>
        <w:t>Controlled Semantic Sampling: A Robust Auditing Methodology (S-DBPA)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Uriya Cohen-Eliya, Iggy Segev Gal, Yuval Vardi</w:t>
      </w:r>
    </w:p>
    <w:p>
      <w:pPr>
        <w:pStyle w:val="Heading1"/>
      </w:pPr>
      <w:r>
        <w:t>Abstract</w:t>
      </w:r>
    </w:p>
    <w:p>
      <w:pPr>
        <w:jc w:val="both"/>
      </w:pPr>
      <w:r>
        <w:rPr>
          <w:rFonts w:ascii="Times New Roman" w:hAnsi="Times New Roman" w:eastAsia="Times New Roman"/>
          <w:b w:val="0"/>
          <w:i/>
          <w:sz w:val="24"/>
        </w:rPr>
        <w:t>The evaluation of Large Language Models (LLMs) for specific persona adherence is often brittle, relying on specific prompt formulations that lack semantic robustness. Standard methodologies, such as the Distribution-Based Perturbation Analysis (DBPA), utilize distribution-based distance metrics but fail to account for the inherent high variance of single-prompt perturbations. This paper introduces S-DBPA (Semantic DBPA), a methodology incorporating Controlled Semantic Sampling. We provide a theoretical framework proving the exchangeability of semantic variations under the null hypothesis and demonstrating statistically valid type I error control. Experimental results confirm that S-DBPA achieves superior stability across adversarial wording variations compared to standard approaches.</w:t>
      </w:r>
    </w:p>
    <w:p>
      <w:pPr>
        <w:pStyle w:val="Heading1"/>
      </w:pPr>
      <w:r>
        <w:t>1. Introduction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Modern auditing of LLMs requires robust statistical tools to quantify behavioral shifts induced by personas. A critical limitation of current approaches is their sensitivity to lexical surface forms. 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A prompt </w:t>
      </w:r>
      <m:oMath>
        <m:r>
          <m:t>P</m:t>
        </m:r>
      </m:oMath>
      <w:r>
        <w:rPr>
          <w:rFonts w:ascii="Times New Roman" w:hAnsi="Times New Roman" w:eastAsia="Times New Roman"/>
          <w:b w:val="0"/>
          <w:i w:val="0"/>
          <w:sz w:val="24"/>
        </w:rPr>
        <w:t xml:space="preserve"> ("Act as a doctor") and its semantic equivalent </w:t>
      </w:r>
      <m:oMath>
        <m:sSup>
          <m:e>
            <m:r>
              <m:t>P</m:t>
            </m:r>
          </m:e>
          <m:sup>
            <m:r>
              <m:t>'</m:t>
            </m:r>
          </m:sup>
        </m:sSup>
      </m:oMath>
      <w:r>
        <w:rPr>
          <w:rFonts w:ascii="Times New Roman" w:hAnsi="Times New Roman" w:eastAsia="Times New Roman"/>
          <w:b w:val="0"/>
          <w:i w:val="0"/>
          <w:sz w:val="24"/>
        </w:rPr>
        <w:t xml:space="preserve"> ("You are a doctor") often yield </w:t>
      </w:r>
      <w:r>
        <w:rPr>
          <w:rFonts w:ascii="Times New Roman" w:hAnsi="Times New Roman" w:eastAsia="Times New Roman"/>
          <w:b w:val="0"/>
          <w:i w:val="0"/>
          <w:sz w:val="24"/>
        </w:rPr>
        <w:t>statistically distinguishable response distributions under standard testing, leading to inconsistent auditing conclusions.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We propose </w:t>
      </w:r>
      <w:r>
        <w:rPr>
          <w:rFonts w:ascii="Times New Roman" w:hAnsi="Times New Roman" w:eastAsia="Times New Roman"/>
          <w:b/>
          <w:i w:val="0"/>
          <w:sz w:val="24"/>
        </w:rPr>
        <w:t>S-DBPA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, which redefines the unit of analysis from a single prompt to a "Semantic Neighborhood". By integrating a Controlled Semantic Sampling step — generating a distribution of synonymous prompts </w:t>
      </w:r>
      <m:oMath>
        <m:sSub>
          <m:e>
            <m:r>
              <m:t>P</m:t>
            </m:r>
          </m:e>
          <m:sub>
            <m:r>
              <m:t>sem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4"/>
        </w:rPr>
        <w:t xml:space="preserve"> via a paraphrasing model </w:t>
      </w:r>
      <m:oMath>
        <m:r>
          <m:t>ϕ</m:t>
        </m:r>
      </m:oMath>
      <w:r>
        <w:rPr>
          <w:rFonts w:ascii="Times New Roman" w:hAnsi="Times New Roman" w:eastAsia="Times New Roman"/>
          <w:b w:val="0"/>
          <w:i w:val="0"/>
          <w:sz w:val="24"/>
        </w:rPr>
        <w:t xml:space="preserve"> and filtering via an embedding model </w:t>
      </w:r>
      <m:oMath>
        <m:r>
          <m:t>ψ</m:t>
        </m:r>
      </m:oMath>
      <w:r>
        <w:rPr>
          <w:rFonts w:ascii="Times New Roman" w:hAnsi="Times New Roman" w:eastAsia="Times New Roman"/>
          <w:b w:val="0"/>
          <w:i w:val="0"/>
          <w:sz w:val="24"/>
        </w:rPr>
        <w:t xml:space="preserve"> — we construct a robust test statistic that is invariant to trivial wording changes.</w:t>
      </w:r>
    </w:p>
    <w:p>
      <w:pPr>
        <w:pStyle w:val="Heading1"/>
      </w:pPr>
      <w:r>
        <w:t>2. Controlled Semantic Sampling: The 4-Step S-DBPA Methodology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S-DBPA introduces a rigorous 4-step process to ensure auditing robustness. This structure was designed to isolate semantic intent from lexical variation:</w:t>
      </w:r>
    </w:p>
    <w:p>
      <w:pPr>
        <w:pStyle w:val="ListNumber"/>
      </w:pPr>
      <w:r>
        <w:rPr>
          <w:rFonts w:ascii="Times New Roman" w:hAnsi="Times New Roman" w:eastAsia="Times New Roman"/>
          <w:b/>
          <w:i w:val="0"/>
          <w:sz w:val="24"/>
        </w:rPr>
        <w:t xml:space="preserve">Step 1: Semantic Neighborhood Generation </w:t>
      </w:r>
      <w:r>
        <w:rPr>
          <w:rFonts w:ascii="Times New Roman" w:hAnsi="Times New Roman" w:eastAsia="Times New Roman"/>
          <w:b/>
          <w:i w:val="0"/>
          <w:sz w:val="24"/>
        </w:rPr>
        <w:t>(</w:t>
      </w:r>
      <m:oMath>
        <m:sSub>
          <m:e>
            <m:r>
              <m:t>P</m:t>
            </m:r>
          </m:e>
          <m:sub>
            <m:r>
              <m:t>raw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4"/>
        </w:rPr>
        <w:t>)</w:t>
      </w:r>
      <w:r>
        <w:rPr>
          <w:rFonts w:ascii="Times New Roman" w:hAnsi="Times New Roman" w:eastAsia="Times New Roman"/>
          <w:b w:val="0"/>
          <w:i w:val="0"/>
          <w:sz w:val="24"/>
        </w:rPr>
        <w:br/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We first explore the "semantic manifold" of the base prompt by generating a large set of candidate variations using a paraphrasing LLM. </w:t>
      </w:r>
      <w:r>
        <w:rPr>
          <w:rFonts w:ascii="Times New Roman" w:hAnsi="Times New Roman" w:eastAsia="Times New Roman"/>
          <w:b w:val="0"/>
          <w:i/>
          <w:sz w:val="24"/>
        </w:rPr>
        <w:t xml:space="preserve">Rationale: </w:t>
      </w:r>
      <w:r>
        <w:rPr>
          <w:rFonts w:ascii="Times New Roman" w:hAnsi="Times New Roman" w:eastAsia="Times New Roman"/>
          <w:b w:val="0"/>
          <w:i w:val="0"/>
          <w:sz w:val="24"/>
        </w:rPr>
        <w:t>A single prompt is just one point in intent-space. To audit the concept, we must cover the local area.</w:t>
      </w:r>
    </w:p>
    <w:p>
      <w:pPr>
        <w:pStyle w:val="ListNumber"/>
      </w:pPr>
      <w:r>
        <w:rPr>
          <w:rFonts w:ascii="Times New Roman" w:hAnsi="Times New Roman" w:eastAsia="Times New Roman"/>
          <w:b/>
          <w:i w:val="0"/>
          <w:sz w:val="24"/>
        </w:rPr>
        <w:t xml:space="preserve">Step 2: Semantic Filtering </w:t>
      </w:r>
      <w:r>
        <w:rPr>
          <w:rFonts w:ascii="Times New Roman" w:hAnsi="Times New Roman" w:eastAsia="Times New Roman"/>
          <w:b/>
          <w:i w:val="0"/>
          <w:sz w:val="24"/>
        </w:rPr>
        <w:t>(</w:t>
      </w:r>
      <m:oMath>
        <m:sSub>
          <m:e>
            <m:r>
              <m:t>P</m:t>
            </m:r>
          </m:e>
          <m:sub>
            <m:r>
              <m:t>sem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4"/>
        </w:rPr>
        <w:t>)</w:t>
      </w:r>
      <w:r>
        <w:rPr>
          <w:rFonts w:ascii="Times New Roman" w:hAnsi="Times New Roman" w:eastAsia="Times New Roman"/>
          <w:b w:val="0"/>
          <w:i w:val="0"/>
          <w:sz w:val="24"/>
        </w:rPr>
        <w:br/>
      </w:r>
      <w:r>
        <w:rPr>
          <w:rFonts w:ascii="Times New Roman" w:hAnsi="Times New Roman" w:eastAsia="Times New Roman"/>
          <w:b w:val="0"/>
          <w:i w:val="0"/>
          <w:sz w:val="24"/>
        </w:rPr>
        <w:t>We apply a strict cosine similarity filter (</w:t>
      </w:r>
      <m:oMath>
        <m:r>
          <m:t>τ=0.50</m:t>
        </m:r>
      </m:oMath>
      <w:r>
        <w:rPr>
          <w:rFonts w:ascii="Times New Roman" w:hAnsi="Times New Roman" w:eastAsia="Times New Roman"/>
          <w:b w:val="0"/>
          <w:i w:val="0"/>
          <w:sz w:val="24"/>
        </w:rPr>
        <w:t xml:space="preserve">) using an embedding model to retain only high-quality paraphrases. </w:t>
      </w:r>
      <w:r>
        <w:rPr>
          <w:rFonts w:ascii="Times New Roman" w:hAnsi="Times New Roman" w:eastAsia="Times New Roman"/>
          <w:b w:val="0"/>
          <w:i/>
          <w:sz w:val="24"/>
        </w:rPr>
        <w:t xml:space="preserve">Rationale: 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Generative models can hallucinate or drift. Filtering ensures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4"/>
        </w:rPr>
        <w:t xml:space="preserve"> validity by strictly enforcing semantic equivalence.</w:t>
      </w:r>
    </w:p>
    <w:p>
      <w:pPr>
        <w:pStyle w:val="ListNumber"/>
      </w:pPr>
      <w:r>
        <w:rPr>
          <w:rFonts w:ascii="Times New Roman" w:hAnsi="Times New Roman" w:eastAsia="Times New Roman"/>
          <w:b/>
          <w:i w:val="0"/>
          <w:sz w:val="24"/>
        </w:rPr>
        <w:t>Step 3: Response Sampling</w:t>
        <w:br/>
      </w:r>
      <w:r>
        <w:rPr>
          <w:rFonts w:ascii="Times New Roman" w:hAnsi="Times New Roman" w:eastAsia="Times New Roman"/>
          <w:b w:val="0"/>
          <w:i w:val="0"/>
          <w:sz w:val="24"/>
        </w:rPr>
        <w:t>We sample responses (</w:t>
      </w:r>
      <m:oMath>
        <m:sSup>
          <m:e>
            <m:sSub>
              <m:e>
                <m:r>
                  <m:t>r</m:t>
                </m:r>
              </m:e>
              <m:sub>
                <m:r>
                  <m:t>i</m:t>
                </m:r>
              </m:sub>
            </m:sSub>
          </m:e>
          <m:sup>
            <m:r>
              <m:t>'</m:t>
            </m:r>
          </m:sup>
        </m:sSup>
      </m:oMath>
      <w:r>
        <w:rPr>
          <w:rFonts w:ascii="Times New Roman" w:hAnsi="Times New Roman" w:eastAsia="Times New Roman"/>
          <w:b w:val="0"/>
          <w:i w:val="0"/>
          <w:sz w:val="24"/>
        </w:rPr>
        <w:t xml:space="preserve">) from the subject model using the filtered set of prompts. </w:t>
      </w:r>
      <w:r>
        <w:rPr>
          <w:rFonts w:ascii="Times New Roman" w:hAnsi="Times New Roman" w:eastAsia="Times New Roman"/>
          <w:b w:val="0"/>
          <w:i/>
          <w:sz w:val="24"/>
        </w:rPr>
        <w:t xml:space="preserve">Rationale: </w:t>
      </w:r>
      <w:r>
        <w:rPr>
          <w:rFonts w:ascii="Times New Roman" w:hAnsi="Times New Roman" w:eastAsia="Times New Roman"/>
          <w:b w:val="0"/>
          <w:i w:val="0"/>
          <w:sz w:val="24"/>
        </w:rPr>
        <w:t>This marginalizes out the noise associated with any specific phrasing, effectively Monte Carlo integrating over the semantic neighborhood.</w:t>
      </w:r>
    </w:p>
    <w:p>
      <w:pPr>
        <w:pStyle w:val="ListNumber"/>
      </w:pPr>
      <w:r>
        <w:rPr>
          <w:rFonts w:ascii="Times New Roman" w:hAnsi="Times New Roman" w:eastAsia="Times New Roman"/>
          <w:b/>
          <w:i w:val="0"/>
          <w:sz w:val="24"/>
        </w:rPr>
        <w:t>Step 4: Distributional Statistic</w:t>
        <w:br/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Finally, we compute the Jensen-Shannon Divergence (JSD) between the neighborhood response distribution and the reference distribution. </w:t>
      </w:r>
      <w:r>
        <w:rPr>
          <w:rFonts w:ascii="Times New Roman" w:hAnsi="Times New Roman" w:eastAsia="Times New Roman"/>
          <w:b w:val="0"/>
          <w:i/>
          <w:sz w:val="24"/>
        </w:rPr>
        <w:t xml:space="preserve">Rationale: </w:t>
      </w:r>
      <w:r>
        <w:rPr>
          <w:rFonts w:ascii="Times New Roman" w:hAnsi="Times New Roman" w:eastAsia="Times New Roman"/>
          <w:b w:val="0"/>
          <w:i w:val="0"/>
          <w:sz w:val="24"/>
        </w:rPr>
        <w:t>JSD is a symmetric, smoothed metric ideal for comparing high-dimensional embedding distributions.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Let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4"/>
        </w:rPr>
        <w:t xml:space="preserve"> be the LLM under audit. Let </w:t>
      </w:r>
      <m:oMath>
        <m:r>
          <m:t>p</m:t>
        </m:r>
      </m:oMath>
      <w:r>
        <w:rPr>
          <w:rFonts w:ascii="Times New Roman" w:hAnsi="Times New Roman" w:eastAsia="Times New Roman"/>
          <w:b w:val="0"/>
          <w:i w:val="0"/>
          <w:sz w:val="24"/>
        </w:rPr>
        <w:t xml:space="preserve"> be a base prompt. S-DBPA formalized this sampling stage as follows:</w:t>
      </w:r>
    </w:p>
    <w:p>
      <m:oMathPara>
        <m:oMath>
          <m:eqArr>
            <m:e>
              <!-- Line 1: P_raw = {p'_1, ..., p'_N} ~ Generator(p) -->
              <m:r>
                <m:t>1. </m:t>
              </m:r>
              <m:sSub>
                <m:e>
                  <m:r>
                    <m:t>P</m:t>
                  </m:r>
                </m:e>
                <m:sub>
                  <m:r>
                    <m:t>raw</m:t>
                  </m:r>
                </m:sub>
              </m:sSub>
              <m:r>
                <m:t> = {</m:t>
              </m:r>
              <m:sSub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'</m:t>
                      </m:r>
                    </m:sup>
                  </m:sSup>
                </m:e>
                <m:sub>
                  <m:r>
                    <m:t>1</m:t>
                  </m:r>
                </m:sub>
              </m:sSub>
              <m:r>
                <m:t>, ..., </m:t>
              </m:r>
              <m:sSub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'</m:t>
                      </m:r>
                    </m:sup>
                  </m:sSup>
                </m:e>
                <m:sub>
                  <m:r>
                    <m:t>N</m:t>
                  </m:r>
                </m:sub>
              </m:sSub>
              <m:r>
                <m:t>} ~ Generator(p)</m:t>
              </m:r>
              <!-- Line 2: P_sem = {x in P_raw | cos(psi(x), psi(p)) > tau} -->
              <m:r>
                <m:br/>
              </m:r>
              <m:r>
                <m:t>2. </m:t>
              </m:r>
              <m:sSub>
                <m:e>
                  <m:r>
                    <m:t>P</m:t>
                  </m:r>
                </m:e>
                <m:sub>
                  <m:r>
                    <m:t>sem</m:t>
                  </m:r>
                </m:sub>
              </m:sSub>
              <m:r>
                <m:t> = {x ∈ </m:t>
              </m:r>
              <m:sSub>
                <m:e>
                  <m:r>
                    <m:t>P</m:t>
                  </m:r>
                </m:e>
                <m:sub>
                  <m:r>
                    <m:t>raw</m:t>
                  </m:r>
                </m:sub>
              </m:sSub>
              <m:r>
                <m:t> | cos(ψ(x), ψ(p)) &gt; τ}</m:t>
              </m:r>
              <!-- Line 3: forall p'_i in P_sem, r'_i ~ f_theta(p'_i) -->
              <m:r>
                <m:br/>
              </m:r>
              <m:r>
                <m:t>3. ∀</m:t>
              </m:r>
              <m:sSub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'</m:t>
                      </m:r>
                    </m:sup>
                  </m:sSup>
                </m:e>
                <m:sub>
                  <m:r>
                    <m:t>i</m:t>
                  </m:r>
                </m:sub>
              </m:sSub>
              <m:r>
                <m:t> ∈ </m:t>
              </m:r>
              <m:sSub>
                <m:e>
                  <m:r>
                    <m:t>P</m:t>
                  </m:r>
                </m:e>
                <m:sub>
                  <m:r>
                    <m:t>sem</m:t>
                  </m:r>
                </m:sub>
              </m:sSub>
              <m:r>
                <m:t>, </m:t>
              </m:r>
              <m:sSub>
                <m:e>
                  <m:sSup>
                    <m:e>
                      <m:r>
                        <m:t>r</m:t>
                      </m:r>
                    </m:e>
                    <m:sup>
                      <m:r>
                        <m:t>'</m:t>
                      </m:r>
                    </m:sup>
                  </m:sSup>
                </m:e>
                <m:sub>
                  <m:r>
                    <m:t>i</m:t>
                  </m:r>
                </m:sub>
              </m:sSub>
              <m:r>
                <m:t> ~ </m:t>
              </m:r>
              <m:sSub>
                <m:e>
                  <m:r>
                    <m:t>f</m:t>
                  </m:r>
                </m:e>
                <m:sub>
                  <m:r>
                    <m:t>θ</m:t>
                  </m:r>
                </m:sub>
              </m:sSub>
              <m:r>
                <m:t>(</m:t>
              </m:r>
              <m:sSub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'</m:t>
                      </m:r>
                    </m:sup>
                  </m:sSup>
                </m:e>
                <m:sub>
                  <m:r>
                    <m:t>i</m:t>
                  </m:r>
                </m:sub>
              </m:sSub>
              <m:r>
                <m:t>)</m:t>
              </m:r>
              <!-- Line 4: Statistic: T(...) -->
              <m:r>
                <m:br/>
              </m:r>
              <m:r>
                <m:t>4. Statistic: T({</m:t>
              </m:r>
              <m:sSub>
                <m:e>
                  <m:sSup>
                    <m:e>
                      <m:r>
                        <m:t>r</m:t>
                      </m:r>
                    </m:e>
                    <m:sup>
                      <m:r>
                        <m:t>'</m:t>
                      </m:r>
                    </m:sup>
                  </m:sSup>
                </m:e>
                <m:sub>
                  <m:r>
                    <m:t>i</m:t>
                  </m:r>
                </m:sub>
              </m:sSub>
              <m:r>
                <m:t>}, </m:t>
              </m:r>
              <m:sSub>
                <m:e>
                  <m:r>
                    <m:t>R</m:t>
                  </m:r>
                </m:e>
                <m:sub>
                  <m:r>
                    <m:t>ref</m:t>
                  </m:r>
                </m:sub>
              </m:sSub>
              <m:r>
                <m:t>)</m:t>
              </m:r>
            </m:e>
          </m:eqArr>
        </m:oMath>
      </m:oMathPara>
    </w:p>
    <w:p>
      <w:pPr>
        <w:pStyle w:val="Heading2"/>
      </w:pPr>
      <w:r>
        <w:t>2.1 Proof of Exchangeability Under Null Hypothesis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To establish the validity of the permutation test used in S-DBPA, we must prove that under the null hypothesis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4"/>
        </w:rPr>
        <w:t xml:space="preserve"> (that the persona has no effect), the responses from the semantic neighborhood are exchangeable with the reference responses.</w:t>
      </w:r>
    </w:p>
    <w:p>
      <w:r>
        <w:rPr>
          <w:rFonts w:ascii="Times New Roman" w:hAnsi="Times New Roman" w:eastAsia="Times New Roman"/>
          <w:b/>
          <w:i w:val="0"/>
          <w:sz w:val="24"/>
        </w:rPr>
        <w:t xml:space="preserve">Theorem 1 (Semantic Exchangeability): 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Let </w:t>
      </w:r>
      <m:oMath>
        <m:r>
          <m:t>S</m:t>
        </m:r>
      </m:oMath>
      <w:r>
        <w:rPr>
          <w:rFonts w:ascii="Times New Roman" w:hAnsi="Times New Roman" w:eastAsia="Times New Roman"/>
          <w:b w:val="0"/>
          <w:i w:val="0"/>
          <w:sz w:val="24"/>
        </w:rPr>
        <w:t xml:space="preserve"> be a set of semantically equivalent prompts such that for any </w:t>
      </w:r>
      <m:oMath>
        <m:sSub>
          <m:e>
            <m:r>
              <m:t>p</m:t>
            </m:r>
          </m:e>
          <m:sub>
            <m:r>
              <m:t>a</m:t>
            </m:r>
          </m:sub>
        </m:sSub>
        <m:r>
          <m:t>, </m:t>
        </m:r>
        <m:sSub>
          <m:e>
            <m:r>
              <m:t>p</m:t>
            </m:r>
          </m:e>
          <m:sub>
            <m:r>
              <m:t>b</m:t>
            </m:r>
          </m:sub>
        </m:sSub>
        <m:r>
          <m:t> ∈ S</m:t>
        </m:r>
      </m:oMath>
      <w:r>
        <w:rPr>
          <w:rFonts w:ascii="Times New Roman" w:hAnsi="Times New Roman" w:eastAsia="Times New Roman"/>
          <w:b w:val="0"/>
          <w:i w:val="0"/>
          <w:sz w:val="24"/>
        </w:rPr>
        <w:t xml:space="preserve">, the conditional distribution of responses </w:t>
      </w:r>
      <m:oMath>
        <m:r>
          <m:t>P(r|</m:t>
        </m:r>
        <m:sSub>
          <m:e>
            <m:r>
              <m:t>p</m:t>
            </m:r>
          </m:e>
          <m:sub>
            <m:r>
              <m:t>a</m:t>
            </m:r>
          </m:sub>
        </m:sSub>
        <m:r>
          <m:t>) = P(r|</m:t>
        </m:r>
        <m:sSub>
          <m:e>
            <m:r>
              <m:t>p</m:t>
            </m:r>
          </m:e>
          <m:sub>
            <m:r>
              <m:t>b</m:t>
            </m:r>
          </m:sub>
        </m:sSub>
        <m:r>
          <m:t>)</m:t>
        </m:r>
      </m:oMath>
      <w:r>
        <w:rPr>
          <w:rFonts w:ascii="Times New Roman" w:hAnsi="Times New Roman" w:eastAsia="Times New Roman"/>
          <w:b w:val="0"/>
          <w:i w:val="0"/>
          <w:sz w:val="24"/>
        </w:rPr>
        <w:t xml:space="preserve"> under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4"/>
        </w:rPr>
        <w:t xml:space="preserve">. 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Then the joint distribution of responses generated from </w:t>
      </w:r>
      <m:oMath>
        <m:r>
          <m:t>S</m:t>
        </m:r>
      </m:oMath>
      <w:r>
        <w:rPr>
          <w:rFonts w:ascii="Times New Roman" w:hAnsi="Times New Roman" w:eastAsia="Times New Roman"/>
          <w:b w:val="0"/>
          <w:i w:val="0"/>
          <w:sz w:val="24"/>
        </w:rPr>
        <w:t xml:space="preserve"> is invariant under permutation with the reference set </w:t>
      </w:r>
      <m:oMath>
        <m:sSub>
          <m:e>
            <m:r>
              <m:t>R</m:t>
            </m:r>
          </m:e>
          <m:sub>
            <m:r>
              <m:t>ref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4"/>
        </w:rPr>
        <w:t>.</w:t>
      </w:r>
    </w:p>
    <w:p>
      <w:pPr>
        <w:jc w:val="both"/>
      </w:pPr>
    </w:p>
    <w:p>
      <w:r>
        <w:rPr>
          <w:rFonts w:ascii="Times New Roman" w:hAnsi="Times New Roman" w:eastAsia="Times New Roman"/>
          <w:b/>
          <w:i w:val="0"/>
          <w:sz w:val="24"/>
        </w:rPr>
        <w:t xml:space="preserve">Proof: 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Assume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4"/>
        </w:rPr>
        <w:t xml:space="preserve"> implies that the persona instructions in </w:t>
      </w:r>
      <m:oMath>
        <m:r>
          <m:t>S</m:t>
        </m:r>
      </m:oMath>
      <w:r>
        <w:rPr>
          <w:rFonts w:ascii="Times New Roman" w:hAnsi="Times New Roman" w:eastAsia="Times New Roman"/>
          <w:b w:val="0"/>
          <w:i w:val="0"/>
          <w:sz w:val="24"/>
        </w:rPr>
        <w:t xml:space="preserve"> are ignored or irrelevant to the task features. The prompt can be decomposed into </w:t>
      </w:r>
      <m:oMath>
        <m:sSub>
          <m:e>
            <m:r>
              <m:t>x</m:t>
            </m:r>
          </m:e>
          <m:sub>
            <m:r>
              <m:t>task</m:t>
            </m:r>
          </m:sub>
        </m:sSub>
        <m:r>
          <m:t> + </m:t>
        </m:r>
        <m:sSub>
          <m:e>
            <m:r>
              <m:t>x</m:t>
            </m:r>
          </m:e>
          <m:sub>
            <m:r>
              <m:t>persona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4"/>
        </w:rPr>
        <w:t xml:space="preserve">. Under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4"/>
        </w:rPr>
        <w:t xml:space="preserve">, </w:t>
      </w:r>
      <m:oMath>
        <m:sSub>
          <m:e>
            <m:r>
              <m:t>f</m:t>
            </m:r>
          </m:e>
          <m:sub>
            <m:r>
              <m:t>θ</m:t>
            </m:r>
          </m:sub>
        </m:sSub>
        <m:r>
          <m:t>(r|</m:t>
        </m:r>
        <m:sSub>
          <m:e>
            <m:r>
              <m:t>x</m:t>
            </m:r>
          </m:e>
          <m:sub>
            <m:r>
              <m:t>task</m:t>
            </m:r>
          </m:sub>
        </m:sSub>
        <m:r>
          <m:t>, </m:t>
        </m:r>
        <m:sSub>
          <m:e>
            <m:r>
              <m:t>x</m:t>
            </m:r>
          </m:e>
          <m:sub>
            <m:r>
              <m:t>persona</m:t>
            </m:r>
          </m:sub>
        </m:sSub>
        <m:r>
          <m:t>) = </m:t>
        </m:r>
        <m:sSub>
          <m:e>
            <m:r>
              <m:t>f</m:t>
            </m:r>
          </m:e>
          <m:sub>
            <m:r>
              <m:t>θ</m:t>
            </m:r>
          </m:sub>
        </m:sSub>
        <m:r>
          <m:t>(r|</m:t>
        </m:r>
        <m:sSub>
          <m:e>
            <m:r>
              <m:t>x</m:t>
            </m:r>
          </m:e>
          <m:sub>
            <m:r>
              <m:t>task</m:t>
            </m:r>
          </m:sub>
        </m:sSub>
        <m:r>
          <m:t>)</m:t>
        </m:r>
      </m:oMath>
      <w:r>
        <w:rPr>
          <w:rFonts w:ascii="Times New Roman" w:hAnsi="Times New Roman" w:eastAsia="Times New Roman"/>
          <w:b w:val="0"/>
          <w:i w:val="0"/>
          <w:sz w:val="24"/>
        </w:rPr>
        <w:t xml:space="preserve">. 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Since standard DBPA assumes </w:t>
      </w:r>
      <m:oMath>
        <m:sSub>
          <m:e>
            <m:r>
              <m:t>R</m:t>
            </m:r>
          </m:e>
          <m:sub>
            <m:r>
              <m:t>ref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4"/>
        </w:rPr>
        <w:t xml:space="preserve"> is generated by </w:t>
      </w:r>
      <m:oMath>
        <m:sSub>
          <m:e>
            <m:r>
              <m:t>x</m:t>
            </m:r>
          </m:e>
          <m:sub>
            <m:r>
              <m:t>task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4"/>
        </w:rPr>
        <w:t xml:space="preserve"> (or a neutral equivalent), then both </w:t>
      </w:r>
      <m:oMath>
        <m:sSub>
          <m:e>
            <m:r>
              <m:t>R</m:t>
            </m:r>
          </m:e>
          <m:sub>
            <m:r>
              <m:t>sem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4"/>
        </w:rPr>
        <w:t xml:space="preserve"> and </w:t>
      </w:r>
      <m:oMath>
        <m:sSub>
          <m:e>
            <m:r>
              <m:t>R</m:t>
            </m:r>
          </m:e>
          <m:sub>
            <m:r>
              <m:t>ref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4"/>
        </w:rPr>
        <w:t xml:space="preserve"> are i.i.d. samples from </w:t>
      </w:r>
      <m:oMath>
        <m:sSub>
          <m:e>
            <m:r>
              <m:t>f</m:t>
            </m:r>
          </m:e>
          <m:sub>
            <m:r>
              <m:t>θ</m:t>
            </m:r>
          </m:sub>
        </m:sSub>
        <m:r>
          <m:t>(.|</m:t>
        </m:r>
        <m:sSub>
          <m:e>
            <m:r>
              <m:t>x</m:t>
            </m:r>
          </m:e>
          <m:sub>
            <m:r>
              <m:t>task</m:t>
            </m:r>
          </m:sub>
        </m:sSub>
        <m:r>
          <m:t>)</m:t>
        </m:r>
      </m:oMath>
      <w:r>
        <w:rPr>
          <w:rFonts w:ascii="Times New Roman" w:hAnsi="Times New Roman" w:eastAsia="Times New Roman"/>
          <w:b w:val="0"/>
          <w:i w:val="0"/>
          <w:sz w:val="24"/>
        </w:rPr>
        <w:t xml:space="preserve">. </w:t>
      </w:r>
      <w:r>
        <w:rPr>
          <w:rFonts w:ascii="Times New Roman" w:hAnsi="Times New Roman" w:eastAsia="Times New Roman"/>
          <w:b w:val="0"/>
          <w:i w:val="0"/>
          <w:sz w:val="24"/>
        </w:rPr>
        <w:t>Therefore, the sequence of random variables (</w:t>
      </w:r>
      <m:oMath>
        <m:sSub>
          <m:e>
            <m:r>
              <m:t>R</m:t>
            </m:r>
          </m:e>
          <m:sub>
            <m:r>
              <m:t>sem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4"/>
        </w:rPr>
        <w:t xml:space="preserve">, </w:t>
      </w:r>
      <m:oMath>
        <m:sSub>
          <m:e>
            <m:r>
              <m:t>R</m:t>
            </m:r>
          </m:e>
          <m:sub>
            <m:r>
              <m:t>ref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4"/>
        </w:rPr>
        <w:t>) is exchangeable. Consequently, the permutation p-value is exact. Q.E.D.</w:t>
      </w:r>
    </w:p>
    <w:p>
      <w:pPr>
        <w:pStyle w:val="Heading2"/>
      </w:pPr>
      <w:r>
        <w:t>2.2 Theoretical Justification for Robustness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Standard DBPA estimates an effect size </w:t>
      </w:r>
      <w:r>
        <w:rPr>
          <w:rFonts w:ascii="Times New Roman" w:hAnsi="Times New Roman" w:eastAsia="Times New Roman"/>
          <w:b w:val="0"/>
          <w:i w:val="0"/>
          <w:sz w:val="24"/>
        </w:rPr>
        <w:t>omega_p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(approx)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Standard DBPA estimates an effect size using the expectation of the distance metric. 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This estimator has high variance with respect to </w:t>
      </w:r>
      <m:oMath>
        <m:r>
          <m:t>p</m:t>
        </m:r>
      </m:oMath>
      <w:r>
        <w:rPr>
          <w:rFonts w:ascii="Times New Roman" w:hAnsi="Times New Roman" w:eastAsia="Times New Roman"/>
          <w:b w:val="0"/>
          <w:i w:val="0"/>
          <w:sz w:val="24"/>
        </w:rPr>
        <w:t xml:space="preserve"> due to token-level sensitivity. </w:t>
      </w:r>
      <w:r>
        <w:rPr>
          <w:rFonts w:ascii="Times New Roman" w:hAnsi="Times New Roman" w:eastAsia="Times New Roman"/>
          <w:b w:val="0"/>
          <w:i w:val="0"/>
          <w:sz w:val="24"/>
        </w:rPr>
        <w:t>S-DBPA estimates the expected effect over the semantic manifold:</w:t>
      </w:r>
    </w:p>
    <w:p>
      <m:oMathPara>
        <m:oMath>
          <m:sSub>
            <m:e>
              <m:r>
                <m:t>ω</m:t>
              </m:r>
            </m:e>
            <m:sub>
              <m:r>
                <m:t>S</m:t>
              </m:r>
            </m:sub>
          </m:sSub>
          <m:r>
            <m:t> = </m:t>
          </m:r>
          <m:sSub>
            <m:e>
              <m:r>
                <m:t>E</m:t>
              </m:r>
            </m:e>
            <m:sub>
              <m:r>
                <m:t>p~S</m:t>
              </m:r>
            </m:sub>
          </m:sSub>
          <m:d>
            <m:dPr>
              <m:begChr m:val="["/>
              <m:endChr m:val="]"/>
            </m:dPr>
            <m:e>
              <m:r>
                <m:t> E </m:t>
              </m:r>
              <m:d>
                <m:dPr>
                  <m:begChr m:val="["/>
                  <m:endChr m:val="]"/>
                </m:dPr>
                <m:e>
                  <m:r>
                    <m:t>D(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t>, 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ref</m:t>
                      </m:r>
                    </m:sub>
                  </m:sSub>
                  <m:r>
                    <m:t>)</m:t>
                  </m:r>
                </m:e>
              </m:d>
            </m:e>
          </m:d>
        </m:oMath>
      </m:oMathPara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By the Law of Large Numbers, as |</w:t>
      </w:r>
      <w:r>
        <w:rPr>
          <w:rFonts w:ascii="Times New Roman" w:hAnsi="Times New Roman" w:eastAsia="Times New Roman"/>
          <w:b w:val="0"/>
          <w:i w:val="0"/>
          <w:sz w:val="24"/>
        </w:rPr>
        <w:t>S</w:t>
      </w:r>
      <w:r>
        <w:rPr>
          <w:rFonts w:ascii="Times New Roman" w:hAnsi="Times New Roman" w:eastAsia="Times New Roman"/>
          <w:b w:val="0"/>
          <w:i w:val="0"/>
          <w:sz w:val="24"/>
        </w:rPr>
        <w:t>| tends to infinity, the variance of this estimator decreases, providing a stable audit metric.</w:t>
      </w:r>
    </w:p>
    <w:p>
      <w:pPr>
        <w:pStyle w:val="Heading2"/>
      </w:pPr>
      <w:r>
        <w:t>2.3 Experimental Setup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To validate our methodology, we utilized the following configuration: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 xml:space="preserve">Sample Size: </w:t>
      </w:r>
      <m:oMath>
        <m:r>
          <m:t>N=200</m:t>
        </m:r>
      </m:oMath>
      <w:r>
        <w:rPr>
          <w:rFonts w:ascii="Times New Roman" w:hAnsi="Times New Roman" w:eastAsia="Times New Roman"/>
          <w:b w:val="0"/>
          <w:i w:val="0"/>
          <w:sz w:val="24"/>
        </w:rPr>
        <w:t xml:space="preserve"> independent samples per condition.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 xml:space="preserve">Subject Model: </w:t>
      </w:r>
      <w:r>
        <w:rPr>
          <w:rFonts w:ascii="Times New Roman" w:hAnsi="Times New Roman" w:eastAsia="Times New Roman"/>
          <w:b w:val="0"/>
          <w:i w:val="0"/>
          <w:sz w:val="24"/>
        </w:rPr>
        <w:t>Qwen/Qwen2.5-1.5B-Instruct (Simulated via HuggingFace Transformers).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 xml:space="preserve">Paraphrasing Model: </w:t>
      </w:r>
      <w:r>
        <w:rPr>
          <w:rFonts w:ascii="Times New Roman" w:hAnsi="Times New Roman" w:eastAsia="Times New Roman"/>
          <w:b w:val="0"/>
          <w:i w:val="0"/>
          <w:sz w:val="24"/>
        </w:rPr>
        <w:t>Qwen/Qwen2.5-1.5B-Instruct prompted to generate semantic variations.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 xml:space="preserve">Semantic Filter: 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sentence-transformers/all-MiniLM-L6-v2 using Cosine Similarity with a threshold of </w:t>
      </w:r>
      <m:oMath>
        <m:r>
          <m:t>τ=0.50</m:t>
        </m:r>
      </m:oMath>
      <w:r>
        <w:rPr>
          <w:rFonts w:ascii="Times New Roman" w:hAnsi="Times New Roman" w:eastAsia="Times New Roman"/>
          <w:b w:val="0"/>
          <w:i w:val="0"/>
          <w:sz w:val="24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 xml:space="preserve">Output Embedding Model: </w:t>
      </w:r>
      <w:r>
        <w:rPr>
          <w:rFonts w:ascii="Times New Roman" w:hAnsi="Times New Roman" w:eastAsia="Times New Roman"/>
          <w:b w:val="0"/>
          <w:i w:val="0"/>
          <w:sz w:val="24"/>
        </w:rPr>
        <w:t>sentence-transformers/all-MiniLM-L6-v2 (used for calculating JSD).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 xml:space="preserve">Statistic: </w:t>
      </w:r>
      <w:r>
        <w:rPr>
          <w:rFonts w:ascii="Times New Roman" w:hAnsi="Times New Roman" w:eastAsia="Times New Roman"/>
          <w:b w:val="0"/>
          <w:i w:val="0"/>
          <w:sz w:val="24"/>
        </w:rPr>
        <w:t>Jensen-Shannon Divergence (JSD) between response embedding distributions.</w:t>
      </w:r>
    </w:p>
    <w:p>
      <w:pPr>
        <w:jc w:val="both"/>
      </w:pPr>
      <w:r>
        <w:rPr>
          <w:rFonts w:ascii="Times New Roman" w:hAnsi="Times New Roman" w:eastAsia="Times New Roman"/>
          <w:b w:val="0"/>
          <w:i/>
          <w:sz w:val="20"/>
        </w:rPr>
        <w:t>Note on Models: While the original DBPA framework utilized text-embedding-ada-002 for output distance measurements, we employed all-MiniLM-L6-v2 for both the semantic filtering and output embedding stages. This design choice was made to ensure a fully local, reproducible evaluation pipeline without dependencies on external proprietary APIs.</w:t>
      </w:r>
    </w:p>
    <w:p>
      <w:pPr>
        <w:pStyle w:val="Heading1"/>
      </w:pPr>
      <w:r>
        <w:t>3. Experimental Results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To demonstrate the utility of S-DBPA, we conducted a robustness audit using a "Doctor" persona. The goal was to determine if the auditing metric remains stable across semantically equivalent prompts, as a robust metric should yield consistent p-values regardless of trivial phrasing differences.</w:t>
      </w:r>
    </w:p>
    <w:p>
      <w:pPr>
        <w:pStyle w:val="Heading2"/>
      </w:pPr>
      <w:r>
        <w:t>3.1 Experimental Procedure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We compared the standard DBPA baseline against our S-DBPA methodology using the following protocol: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Baseline Prompt (</w:t>
      </w:r>
      <m:oMath>
        <m:sSub>
          <m:e>
            <m:r>
              <m:t>P</m:t>
            </m:r>
          </m:e>
          <m:sub>
            <m:r>
              <m:t>base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4"/>
        </w:rPr>
        <w:t>): "Act as a doctor."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 xml:space="preserve">Manual Variations: </w:t>
      </w:r>
      <w:r>
        <w:rPr>
          <w:rFonts w:ascii="Times New Roman" w:hAnsi="Times New Roman" w:eastAsia="Times New Roman"/>
          <w:b w:val="0"/>
          <w:i w:val="0"/>
          <w:sz w:val="24"/>
        </w:rPr>
        <w:t>We manually created 3 adversarial variations to simulate prompt engineering:</w:t>
      </w:r>
    </w:p>
    <w:p>
      <w:pPr>
        <w:pStyle w:val="ListBullet2"/>
      </w:pP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4"/>
        </w:rPr>
        <w:t>: "You are a skilled doctor."</w:t>
      </w:r>
    </w:p>
    <w:p>
      <w:pPr>
        <w:pStyle w:val="ListBullet2"/>
      </w:pP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4"/>
        </w:rPr>
        <w:t>: "Play the role of a physician."</w:t>
      </w:r>
    </w:p>
    <w:p>
      <w:pPr>
        <w:pStyle w:val="ListBullet2"/>
      </w:pPr>
      <m:oMath>
        <m:sSub>
          <m:e>
            <m:r>
              <m:t>V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/>
          <w:b w:val="0"/>
          <w:i w:val="0"/>
          <w:sz w:val="24"/>
        </w:rPr>
        <w:t>: "Provide answers as a medical professional."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 xml:space="preserve">Reference Group: </w:t>
      </w:r>
      <w:r>
        <w:rPr>
          <w:rFonts w:ascii="Times New Roman" w:hAnsi="Times New Roman" w:eastAsia="Times New Roman"/>
          <w:b w:val="0"/>
          <w:i w:val="0"/>
          <w:sz w:val="24"/>
        </w:rPr>
        <w:t>A shared "Neutral" reference generated by the prompt "John" (representing a generic unconditioned persona).</w:t>
      </w:r>
    </w:p>
    <w:p>
      <w:r>
        <w:t>For each variation, we ran both methodologies:</w:t>
      </w:r>
    </w:p>
    <w:p>
      <w:r>
        <w:rPr>
          <w:rFonts w:ascii="Times New Roman" w:hAnsi="Times New Roman" w:eastAsia="Times New Roman"/>
          <w:b/>
          <w:i w:val="0"/>
          <w:sz w:val="24"/>
        </w:rPr>
        <w:t xml:space="preserve">1. Standard DBPA: 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We sampled </w:t>
      </w:r>
      <m:oMath>
        <m:r>
          <m:t>N=200</m:t>
        </m:r>
      </m:oMath>
      <w:r>
        <w:rPr>
          <w:rFonts w:ascii="Times New Roman" w:hAnsi="Times New Roman" w:eastAsia="Times New Roman"/>
          <w:b w:val="0"/>
          <w:i w:val="0"/>
          <w:sz w:val="24"/>
        </w:rPr>
        <w:t xml:space="preserve"> responses directly from the prompt variation and compared them to the neutral reference.</w:t>
      </w:r>
    </w:p>
    <w:p>
      <w:r>
        <w:rPr>
          <w:rFonts w:ascii="Times New Roman" w:hAnsi="Times New Roman" w:eastAsia="Times New Roman"/>
          <w:b/>
          <w:i w:val="0"/>
          <w:sz w:val="24"/>
        </w:rPr>
        <w:t xml:space="preserve">2. S-DBPA (Ours): </w:t>
      </w:r>
      <w:r>
        <w:rPr>
          <w:rFonts w:ascii="Times New Roman" w:hAnsi="Times New Roman" w:eastAsia="Times New Roman"/>
          <w:b w:val="0"/>
          <w:i w:val="0"/>
          <w:sz w:val="24"/>
        </w:rPr>
        <w:t>We generated a semantic neighborhood around the prompt variation, filtered for meaning (</w:t>
      </w:r>
      <m:oMath>
        <m:r>
          <m:t>τ=0.50</m:t>
        </m:r>
      </m:oMath>
      <w:r>
        <w:rPr>
          <w:rFonts w:ascii="Times New Roman" w:hAnsi="Times New Roman" w:eastAsia="Times New Roman"/>
          <w:b w:val="0"/>
          <w:i w:val="0"/>
          <w:sz w:val="24"/>
        </w:rPr>
        <w:t xml:space="preserve">), and then sampled </w:t>
      </w:r>
      <m:oMath>
        <m:r>
          <m:t>N=200</m:t>
        </m:r>
      </m:oMath>
      <w:r>
        <w:rPr>
          <w:rFonts w:ascii="Times New Roman" w:hAnsi="Times New Roman" w:eastAsia="Times New Roman"/>
          <w:b w:val="0"/>
          <w:i w:val="0"/>
          <w:sz w:val="24"/>
        </w:rPr>
        <w:t xml:space="preserve"> responses from this neighborhood.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Visual Analysis: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bustness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0"/>
        </w:rPr>
        <w:t>Figure 1: Comparison of P-Value Stability (Log Scale) between DBPA and S-DBPA.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sd_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0"/>
        </w:rPr>
        <w:t>Figure 2: Comparison of Effect Size (JSD) between DBPA and S-DBPA.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As shown in Figure 1, 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Standard DBPA exhibits significant volatility, with p-values fluctuating widely between variations. </w:t>
      </w:r>
      <w:r>
        <w:rPr>
          <w:rFonts w:ascii="Times New Roman" w:hAnsi="Times New Roman" w:eastAsia="Times New Roman"/>
          <w:b w:val="0"/>
          <w:i w:val="0"/>
          <w:sz w:val="24"/>
        </w:rPr>
        <w:t>In contrast, S-DBPA maintains a consistent signal, effectively smoothing out the noise introduced by specific wording choices.</w:t>
      </w:r>
    </w:p>
    <w:p>
      <w:pPr>
        <w:pStyle w:val="Heading2"/>
      </w:pPr>
      <w:r>
        <w:t>3.2 Quantitative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Prompt Variation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DBPA JSD (</w:t>
            </w:r>
            <m:oMath>
              <m:r>
                <m:t>ω</m:t>
              </m:r>
            </m:oMath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DBPA P-Value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S-DBPA JSD (</w:t>
            </w:r>
            <m:oMath>
              <m:r>
                <m:t>ω</m:t>
              </m:r>
            </m:oMath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S-DBPA P-Value</w:t>
            </w:r>
          </w:p>
        </w:tc>
      </w:tr>
      <w:tr>
        <w:tc>
          <w:tcPr>
            <w:tcW w:type="dxa" w:w="1728"/>
          </w:tcPr>
          <w:p>
            <w:r>
              <w:t>Act as a doctor.</w:t>
            </w:r>
          </w:p>
        </w:tc>
        <w:tc>
          <w:tcPr>
            <w:tcW w:type="dxa" w:w="1728"/>
          </w:tcPr>
          <w:p>
            <w:r>
              <w:t>0.2248</w:t>
            </w:r>
          </w:p>
        </w:tc>
        <w:tc>
          <w:tcPr>
            <w:tcW w:type="dxa" w:w="1728"/>
          </w:tcPr>
          <w:p>
            <w:r>
              <w:t>0.0010</w:t>
            </w:r>
          </w:p>
        </w:tc>
        <w:tc>
          <w:tcPr>
            <w:tcW w:type="dxa" w:w="1728"/>
          </w:tcPr>
          <w:p>
            <w:r>
              <w:t>0.3078</w:t>
            </w:r>
          </w:p>
        </w:tc>
        <w:tc>
          <w:tcPr>
            <w:tcW w:type="dxa" w:w="1728"/>
          </w:tcPr>
          <w:p>
            <w:r>
              <w:t>&lt; 0.001</w:t>
            </w:r>
          </w:p>
        </w:tc>
      </w:tr>
      <w:tr>
        <w:tc>
          <w:tcPr>
            <w:tcW w:type="dxa" w:w="1728"/>
          </w:tcPr>
          <w:p>
            <w:r>
              <w:t>You are a skilled doctor.</w:t>
            </w:r>
          </w:p>
        </w:tc>
        <w:tc>
          <w:tcPr>
            <w:tcW w:type="dxa" w:w="1728"/>
          </w:tcPr>
          <w:p>
            <w:r>
              <w:t>0.1255</w:t>
            </w:r>
          </w:p>
        </w:tc>
        <w:tc>
          <w:tcPr>
            <w:tcW w:type="dxa" w:w="1728"/>
          </w:tcPr>
          <w:p>
            <w:r>
              <w:t>0.6230</w:t>
            </w:r>
          </w:p>
        </w:tc>
        <w:tc>
          <w:tcPr>
            <w:tcW w:type="dxa" w:w="1728"/>
          </w:tcPr>
          <w:p>
            <w:r>
              <w:t>0.3375</w:t>
            </w:r>
          </w:p>
        </w:tc>
        <w:tc>
          <w:tcPr>
            <w:tcW w:type="dxa" w:w="1728"/>
          </w:tcPr>
          <w:p>
            <w:r>
              <w:t>&lt; 0.001</w:t>
            </w:r>
          </w:p>
        </w:tc>
      </w:tr>
      <w:tr>
        <w:tc>
          <w:tcPr>
            <w:tcW w:type="dxa" w:w="1728"/>
          </w:tcPr>
          <w:p>
            <w:r>
              <w:t>Play the role of a physician.</w:t>
            </w:r>
          </w:p>
        </w:tc>
        <w:tc>
          <w:tcPr>
            <w:tcW w:type="dxa" w:w="1728"/>
          </w:tcPr>
          <w:p>
            <w:r>
              <w:t>0.1403</w:t>
            </w:r>
          </w:p>
        </w:tc>
        <w:tc>
          <w:tcPr>
            <w:tcW w:type="dxa" w:w="1728"/>
          </w:tcPr>
          <w:p>
            <w:r>
              <w:t>0.2790</w:t>
            </w:r>
          </w:p>
        </w:tc>
        <w:tc>
          <w:tcPr>
            <w:tcW w:type="dxa" w:w="1728"/>
          </w:tcPr>
          <w:p>
            <w:r>
              <w:t>0.3547</w:t>
            </w:r>
          </w:p>
        </w:tc>
        <w:tc>
          <w:tcPr>
            <w:tcW w:type="dxa" w:w="1728"/>
          </w:tcPr>
          <w:p>
            <w:r>
              <w:t>&lt; 0.001</w:t>
            </w:r>
          </w:p>
        </w:tc>
      </w:tr>
      <w:tr>
        <w:tc>
          <w:tcPr>
            <w:tcW w:type="dxa" w:w="1728"/>
          </w:tcPr>
          <w:p>
            <w:r>
              <w:t>Provide answers as a medical professional.</w:t>
            </w:r>
          </w:p>
        </w:tc>
        <w:tc>
          <w:tcPr>
            <w:tcW w:type="dxa" w:w="1728"/>
          </w:tcPr>
          <w:p>
            <w:r>
              <w:t>0.2493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0.2628</w:t>
            </w:r>
          </w:p>
        </w:tc>
        <w:tc>
          <w:tcPr>
            <w:tcW w:type="dxa" w:w="1728"/>
          </w:tcPr>
          <w:p>
            <w:r>
              <w:t>&lt; 0.001</w:t>
            </w:r>
          </w:p>
        </w:tc>
      </w:tr>
    </w:tbl>
    <w:p>
      <w:pPr>
        <w:pStyle w:val="Heading1"/>
      </w:pPr>
      <w:r>
        <w:t>4. Conclusion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S-DBPA addresses a critical flaw in current LLM auditing: the fragility of single-prompt testing. By formalizing the concept of Semantic Neighborhoods and leveraging generative sampling, we provide a methodology that is statistically rigorous and practically robust. This ensures that auditing outcomes reflect genuine model behavioral capabilities rather than artifacts of prompt engineering.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