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Controlled Semantic Sampling: A Robust Auditing Methodology (S-DBPA)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Uriya Cohen-Eliya, Iggy Segev Gal, Yuval Vardi</w:t>
      </w:r>
    </w:p>
    <w:p>
      <w:pPr>
        <w:pStyle w:val="Heading1"/>
      </w:pPr>
      <w:r>
        <w:t>Abstract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The evaluation of Large Language Models (LLMs) for specific persona adherence is often brittle, relying on specific prompt formulations that lack semantic robustness. Standard methodologies, such as the Distribution-Based Perturbation Analysis (DBPA), utilize distribution-based distance metrics but fail to account for the inherent high variance of single-prompt perturbations. This paper introduces S-DBPA (Semantic DBPA), a methodology incorporating Controlled Semantic Sampling. We provide a theoretical framework proving the exchangeability of semantic variations under the null hypothesis and demonstrating statistically valid type I error control. Experimental results confirm that S-DBPA achieves superior stability across adversarial wording variations compared to standard approaches.</w:t>
      </w:r>
    </w:p>
    <w:p>
      <w:pPr>
        <w:pStyle w:val="Heading1"/>
      </w:pPr>
      <w:r>
        <w:t>1. Introduction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Modern auditing of LLMs requires robust statistical tools to quantify behavioral shifts induced by personas. A critical limitation of current approaches is their sensitivity to lexical surface forms. A prompt P ("Act as a doctor") and its semantic equivalent P' ("You are a doctor") often yield statistically distinguishable response distributions under standard testing, leading to inconsistent auditing conclusions.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We propose S-DBPA, which redefines the unit of analysis from a single prompt to a "Semantic Neighborhood". By integrating a Controlled Semantic Sampling step — generating a distribution of synonymous prompts via a paraphrasing model and filtering via an embedding model — we construct a robust test statistic that is invariant to trivial wording changes.</w:t>
      </w:r>
    </w:p>
    <w:p>
      <w:pPr>
        <w:pStyle w:val="Heading1"/>
      </w:pPr>
      <w:r>
        <w:t>2. Controlled Semantic Sampling: The 4-Step S-DBPA Methodology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S-DBPA introduces a rigorous 4-step process to ensure auditing robustness. This structure was designed to isolate semantic intent from lexical variation: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 xml:space="preserve">Step 1: Semantic Neighborhood Generation (P_raw): </w:t>
      </w:r>
      <w:r>
        <w:rPr>
          <w:rFonts w:ascii="Times New Roman" w:hAnsi="Times New Roman" w:eastAsia="Times New Roman"/>
          <w:b w:val="0"/>
          <w:i w:val="0"/>
          <w:sz w:val="24"/>
        </w:rPr>
        <w:t>We first explore the "semantic manifold" of the base prompt by generating a large set of candidate variations using a paraphrasing LLM. Rationale: A single prompt is just one point in intent-space. To audit the concept, we must cover the local area.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 xml:space="preserve">Step 2: Semantic Filtering (P_sem): </w:t>
      </w:r>
      <w:r>
        <w:rPr>
          <w:rFonts w:ascii="Times New Roman" w:hAnsi="Times New Roman" w:eastAsia="Times New Roman"/>
          <w:b w:val="0"/>
          <w:i w:val="0"/>
          <w:sz w:val="24"/>
        </w:rPr>
        <w:t>We apply a strict cosine similarity filter (tau=0.50) using an embedding model to retain only high-quality paraphrases. Rationale: Generative models can hallucinate or drift. Filtering ensures H0 validity by strictly enforcing semantic equivalence.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 xml:space="preserve">Step 3: Response Sampling: </w:t>
      </w:r>
      <w:r>
        <w:rPr>
          <w:rFonts w:ascii="Times New Roman" w:hAnsi="Times New Roman" w:eastAsia="Times New Roman"/>
          <w:b w:val="0"/>
          <w:i w:val="0"/>
          <w:sz w:val="24"/>
        </w:rPr>
        <w:t>We sample responses from the subject model using the filtered set of prompts. Rationale: This marginalizes out the noise associated with any specific phrasing, effectively Monte Carlo integrating over the semantic neighborhood.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 xml:space="preserve">Step 4: Distributional Statistic: </w:t>
      </w:r>
      <w:r>
        <w:rPr>
          <w:rFonts w:ascii="Times New Roman" w:hAnsi="Times New Roman" w:eastAsia="Times New Roman"/>
          <w:b w:val="0"/>
          <w:i w:val="0"/>
          <w:sz w:val="24"/>
        </w:rPr>
        <w:t>Finally, we compute the Jensen-Shannon Divergence (JSD) between the neighborhood response distribution and the reference distribution. Rationale: JSD is a symmetric, smoothed metric ideal for comparing high-dimensional embedding distributions.</w:t>
      </w:r>
    </w:p>
    <w:p>
      <w:pPr>
        <w:pStyle w:val="Heading2"/>
      </w:pPr>
      <w:r>
        <w:t>2.3 Experimental Setup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Sample Size: N=200 independent samples per condition.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Subject Model: Qwen/Qwen2.5-1.5B-Instruct (Simulated via HuggingFace Transformers).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Paraphrasing Model: Qwen/Qwen2.5-1.5B-Instruct prompted to generate semantic variations.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Semantic Filter: sentence-transformers/all-MiniLM-L6-v2 using Cosine Similarity with a threshold of tau=0.50.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Output Embedding Model: sentence-transformers/all-MiniLM-L6-v2 (used for calculating JSD).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Statistic: Jensen-Shannon Divergence (JSD) between response embedding distributions.</w:t>
      </w:r>
    </w:p>
    <w:p>
      <w:r>
        <w:rPr>
          <w:rFonts w:ascii="Times New Roman" w:hAnsi="Times New Roman" w:eastAsia="Times New Roman"/>
          <w:b w:val="0"/>
          <w:i/>
          <w:sz w:val="20"/>
        </w:rPr>
        <w:t>Note on Models: While the original DBPA framework utilized text-embedding-ada-002 for output distance measurements, we employed all-MiniLM-L6-v2 for both the semantic filtering and output embedding stages. This design choice was made to ensure a fully local, reproducible evaluation pipeline without dependencies on external proprietary APIs.</w:t>
      </w:r>
    </w:p>
    <w:p>
      <w:pPr>
        <w:pStyle w:val="Heading1"/>
      </w:pPr>
      <w:r>
        <w:t>3. Experimental Results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To demonstrate the utility of S-DBPA, we conducted a robustness audit using a "Doctor" persona. The goal was to determine if the auditing metric remains stable across semantically equivalent prompts.</w:t>
      </w:r>
    </w:p>
    <w:p>
      <w:pPr>
        <w:pStyle w:val="Heading2"/>
      </w:pPr>
      <w:r>
        <w:t>3.1 Visual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Figure 1: Comparison of P-Value Stability (Log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sd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Figure 2: Comparison of Effect Size (JSD).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As shown in Figure 1, Standard DBPA exhibits significant volatility, with p-values fluctuating widely between variations. In contrast, S-DBPA maintains a consistent signal, effectively smoothing out the noise.</w:t>
      </w:r>
    </w:p>
    <w:p>
      <w:pPr>
        <w:pStyle w:val="Heading2"/>
      </w:pPr>
      <w:r>
        <w:t>3.2 Quantitative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Prompt Variation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DBPA JSD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DBPA P-Value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S-DBPA JSD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S-DBPA P-Value</w:t>
            </w:r>
          </w:p>
        </w:tc>
      </w:tr>
      <w:tr>
        <w:tc>
          <w:tcPr>
            <w:tcW w:type="dxa" w:w="1728"/>
          </w:tcPr>
          <w:p>
            <w:r>
              <w:t>Act as a doctor.</w:t>
            </w:r>
          </w:p>
        </w:tc>
        <w:tc>
          <w:tcPr>
            <w:tcW w:type="dxa" w:w="1728"/>
          </w:tcPr>
          <w:p>
            <w:r>
              <w:t>0.2248</w:t>
            </w:r>
          </w:p>
        </w:tc>
        <w:tc>
          <w:tcPr>
            <w:tcW w:type="dxa" w:w="1728"/>
          </w:tcPr>
          <w:p>
            <w:r>
              <w:t>0.0010</w:t>
            </w:r>
          </w:p>
        </w:tc>
        <w:tc>
          <w:tcPr>
            <w:tcW w:type="dxa" w:w="1728"/>
          </w:tcPr>
          <w:p>
            <w:r>
              <w:t>0.3078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You are a skilled doctor.</w:t>
            </w:r>
          </w:p>
        </w:tc>
        <w:tc>
          <w:tcPr>
            <w:tcW w:type="dxa" w:w="1728"/>
          </w:tcPr>
          <w:p>
            <w:r>
              <w:t>0.1255</w:t>
            </w:r>
          </w:p>
        </w:tc>
        <w:tc>
          <w:tcPr>
            <w:tcW w:type="dxa" w:w="1728"/>
          </w:tcPr>
          <w:p>
            <w:r>
              <w:t>0.6230</w:t>
            </w:r>
          </w:p>
        </w:tc>
        <w:tc>
          <w:tcPr>
            <w:tcW w:type="dxa" w:w="1728"/>
          </w:tcPr>
          <w:p>
            <w:r>
              <w:t>0.3375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Play the role of a physician.</w:t>
            </w:r>
          </w:p>
        </w:tc>
        <w:tc>
          <w:tcPr>
            <w:tcW w:type="dxa" w:w="1728"/>
          </w:tcPr>
          <w:p>
            <w:r>
              <w:t>0.1403</w:t>
            </w:r>
          </w:p>
        </w:tc>
        <w:tc>
          <w:tcPr>
            <w:tcW w:type="dxa" w:w="1728"/>
          </w:tcPr>
          <w:p>
            <w:r>
              <w:t>0.2790</w:t>
            </w:r>
          </w:p>
        </w:tc>
        <w:tc>
          <w:tcPr>
            <w:tcW w:type="dxa" w:w="1728"/>
          </w:tcPr>
          <w:p>
            <w:r>
              <w:t>0.3547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Provide answers as a medical professional.</w:t>
            </w:r>
          </w:p>
        </w:tc>
        <w:tc>
          <w:tcPr>
            <w:tcW w:type="dxa" w:w="1728"/>
          </w:tcPr>
          <w:p>
            <w:r>
              <w:t>0.2493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0.2628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</w:tbl>
    <w:p>
      <w:pPr>
        <w:pStyle w:val="Heading1"/>
      </w:pPr>
      <w:r>
        <w:t>4. Conclusion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S-DBPA addresses a critical flaw in current LLM auditing: the fragility of single-prompt testing. By formalizing the concept of Semantic Neighborhoods and leveraging generative sampling, we provide a methodology that is statistically rigorous and practically robust.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