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Controlled Semantic Sampling: A Robust Auditing Methodology (S-DBPA)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Uriya Cohen-Eliya, Iggy Segev Gal, Yuval Vardi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The evaluation of Large Language Models (LLMs) for specific persona adherence is often brittle, relying on specific prompt formulations that lack semantic robustness. Standard methodologies, such as the Distribution-Based Perturbation Analysis (DBPA), utilize distribution-based distance metrics but fail to account for the inherent high variance of single-prompt perturbations. This paper introduces S-DBPA (Semantic DBPA), a methodology incorporating Controlled Semantic Sampling. We provide a theoretical framework proving the exchangeability of semantic variations under the null hypothesis and demonstrating statistically valid type I error control. Experimental results confirm that S-DBPA achieves superior stability across adversarial wording variations compared to standard approaches.</w:t>
      </w:r>
    </w:p>
    <w:p>
      <w:pPr>
        <w:pStyle w:val="Heading1"/>
      </w:pPr>
      <w:r>
        <w:t>1. Introduction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Modern auditing of LLMs requires robust statistical tools to quantify behavioral shifts induced by personas. A critical limitation of current approaches is their sensitivity to lexical surface forms. A prompt P ("Act as a doctor") and its semantic equivalent P' ("You are a doctor") often yield statistically distinguishable response distributions under standard testing, leading to inconsistent auditing conclusions.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propose </w:t>
      </w:r>
      <w:r>
        <w:rPr>
          <w:rFonts w:ascii="Times New Roman" w:hAnsi="Times New Roman" w:eastAsia="Times New Roman"/>
          <w:b/>
          <w:i w:val="0"/>
          <w:sz w:val="24"/>
        </w:rPr>
        <w:t>S-DBPA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which redefines the unit of analysis from a single prompt to a "Semantic Neighborhood". By integrating a Controlled Semantic Sampling step — generating a distribution of synonymous prompts </w:t>
      </w:r>
      <w:r>
        <w:rPr>
          <w:rFonts w:ascii="Times New Roman" w:hAnsi="Times New Roman" w:eastAsia="Times New Roman"/>
          <w:b w:val="0"/>
          <w:i/>
          <w:sz w:val="24"/>
        </w:rPr>
        <w:t>P_sem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via a paraphrasing model </w:t>
      </w:r>
      <w:r>
        <w:rPr>
          <w:rFonts w:ascii="Times New Roman" w:hAnsi="Times New Roman" w:eastAsia="Times New Roman"/>
          <w:b w:val="0"/>
          <w:i/>
          <w:sz w:val="24"/>
        </w:rPr>
        <w:t>phi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filtering via an embedding model </w:t>
      </w:r>
      <w:r>
        <w:rPr>
          <w:rFonts w:ascii="Times New Roman" w:hAnsi="Times New Roman" w:eastAsia="Times New Roman"/>
          <w:b w:val="0"/>
          <w:i/>
          <w:sz w:val="24"/>
        </w:rPr>
        <w:t>psi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we construct a robust test statistic that is invariant to trivial wording changes.</w:t>
      </w:r>
    </w:p>
    <w:p>
      <w:pPr>
        <w:pStyle w:val="Heading1"/>
      </w:pPr>
      <w:r>
        <w:t>2. Controlled Semantic Sampling: The 4-Step S-DBPA Methodology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introduces a rigorous 4-step process to ensure auditing robustness. This structure was designed to isolate semantic intent from lexical variation: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1: Semantic Neighborhood Generation (P_raw)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first explore the "semantic manifold" of the base prompt by generating a large set of candidate variations using a paraphrasing LLM.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A single prompt is just one point in intent-space. To audit the concept, we must cover the local area.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2: Semantic Filtering (P_sem)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apply a strict cosine similarity filter (tau=0.50) using an embedding model to retain only high-quality paraphrases.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Generative models can hallucinate or drift. Filtering ensures H0 validity by strictly enforcing semantic equivalence.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3: Response Sampling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sample responses from the subject model using the filtered set of prompts.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This marginalizes out the noise associated with any specific phrasing, effectively Monte Carlo integrating over the semantic neighborhood.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4: Distributional Statistic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Finally, we compute the Jensen-Shannon Divergence (JSD) between the neighborhood response distribution and the reference distribution.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JSD is a symmetric, smoothed metric ideal for comparing high-dimensional embedding distributions.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Let </w:t>
      </w:r>
      <w:r>
        <w:rPr>
          <w:rFonts w:ascii="Times New Roman" w:hAnsi="Times New Roman" w:eastAsia="Times New Roman"/>
          <w:b w:val="0"/>
          <w:i/>
          <w:sz w:val="24"/>
        </w:rPr>
        <w:t>f_theta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 the LLM under audit. Let </w:t>
      </w:r>
      <w:r>
        <w:rPr>
          <w:rFonts w:ascii="Times New Roman" w:hAnsi="Times New Roman" w:eastAsia="Times New Roman"/>
          <w:b w:val="0"/>
          <w:i/>
          <w:sz w:val="24"/>
        </w:rPr>
        <w:t>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 a base prompt. S-DBPA formalized this sampling stage as follows:</w:t>
      </w:r>
    </w:p>
    <w:p>
      <m:oMathPara>
        <m:oMath>
          <m:eqArr>
            <m:e>
              <!-- Line 1 -->
              <m:r>
                <m:t>1.</m:t>
              </m:r>
              <m:r>
                <m:t>  </m:t>
              </m:r>
              <m:r>
                <m:t>P</m:t>
              </m:r>
              <m:sSub>
                <m:e>
                  <m:r>
                    <m:t>raw</m:t>
                  </m:r>
                </m:e>
                <m:sub>
                  <m:phantom/>
                </m:sub>
              </m:sSub>
              <m:r>
                <m:t>=</m:t>
              </m:r>
              <m:d>
                <m:dPr>
                  <m:begChr m:val="{"/>
                  <m:endChr m:val="}"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'</m:t>
                      </m:r>
                    </m:sup>
                  </m:sSup>
                  <m:sSub>
                    <m:e>
                      <m:r>
                        <m:t>1</m:t>
                      </m:r>
                    </m:e>
                    <m:sub>
                      <m:phantom/>
                    </m:sub>
                  </m:sSub>
                  <m:r>
                    <m:t>,...,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'</m:t>
                      </m:r>
                    </m:sup>
                  </m:sSup>
                  <m:sSub>
                    <m:e>
                      <m:r>
                        <m:t>N</m:t>
                      </m:r>
                    </m:e>
                    <m:sub>
                      <m:phantom/>
                    </m:sub>
                  </m:sSub>
                </m:e>
              </m:d>
              <m:r>
                <m:t>~Generator(p)</m:t>
              </m:r>
              <!-- Line 2 -->
              <m:r>
                <m:t>
2.</m:t>
              </m:r>
              <m:r>
                <m:t>  </m:t>
              </m:r>
              <m:r>
                <m:t>P</m:t>
              </m:r>
              <m:sSub>
                <m:e>
                  <m:r>
                    <m:t>sem</m:t>
                  </m:r>
                </m:e>
                <m:sub>
                  <m:phantom/>
                </m:sub>
              </m:sSub>
              <m:r>
                <m:t>=</m:t>
              </m:r>
              <m:d>
                <m:dPr>
                  <m:begChr m:val="{"/>
                  <m:endChr m:val="}"/>
                </m:dPr>
                <m:e>
                  <m:r>
                    <m:t>x</m:t>
                  </m:r>
                  <m:r>
                    <m:t>∈</m:t>
                  </m:r>
                  <m:r>
                    <m:t>P</m:t>
                  </m:r>
                  <m:sSub>
                    <m:e>
                      <m:r>
                        <m:t>raw</m:t>
                      </m:r>
                    </m:e>
                    <m:sub>
                      <m:phantom/>
                    </m:sub>
                  </m:sSub>
                  <m:r>
                    <m:t>|</m:t>
                  </m:r>
                  <m:r>
                    <m:t>cos(</m:t>
                  </m:r>
                  <m:r>
                    <m:t>ψ</m:t>
                  </m:r>
                  <m:r>
                    <m:t>(x),</m:t>
                  </m:r>
                  <m:r>
                    <m:t>ψ</m:t>
                  </m:r>
                  <m:r>
                    <m:t>(p))&gt;</m:t>
                  </m:r>
                  <m:r>
                    <m:t>τ</m:t>
                  </m:r>
                </m:e>
              </m:d>
              <!-- Line 3 -->
              <m:r>
                <m:t>
3.</m:t>
              </m:r>
              <m:r>
                <m:t>  </m:t>
              </m:r>
              <m:r>
                <m:t>∀</m:t>
              </m:r>
              <m:sSup>
                <m:e>
                  <m:r>
                    <m:t>p</m:t>
                  </m:r>
                </m:e>
                <m:sup>
                  <m:r>
                    <m:t>'</m:t>
                  </m:r>
                </m:sup>
              </m:sSup>
              <m:sSub>
                <m:e>
                  <m:r>
                    <m:t>i</m:t>
                  </m:r>
                </m:e>
                <m:sub>
                  <m:phantom/>
                </m:sub>
              </m:sSub>
              <m:r>
                <m:t>∈</m:t>
              </m:r>
              <m:r>
                <m:t>P</m:t>
              </m:r>
              <m:sSub>
                <m:e>
                  <m:r>
                    <m:t>sem</m:t>
                  </m:r>
                </m:e>
                <m:sub>
                  <m:phantom/>
                </m:sub>
              </m:sSub>
              <m:r>
                <m:t>,</m:t>
              </m:r>
              <m:r>
                <m:t> </m:t>
              </m:r>
              <m:sSup>
                <m:e>
                  <m:r>
                    <m:t>r</m:t>
                  </m:r>
                </m:e>
                <m:sup>
                  <m:r>
                    <m:t>'</m:t>
                  </m:r>
                </m:sup>
              </m:sSup>
              <m:sSub>
                <m:e>
                  <m:r>
                    <m:t>i</m:t>
                  </m:r>
                </m:e>
                <m:sub>
                  <m:phantom/>
                </m:sub>
              </m:sSub>
              <m:r>
                <m:t>~</m:t>
              </m:r>
              <m:r>
                <m:t>f</m:t>
              </m:r>
              <m:sSub>
                <m:e>
                  <m:r>
                    <m:t>θ</m:t>
                  </m:r>
                </m:e>
                <m:sub>
                  <m:phantom/>
                </m:sub>
              </m:sSub>
              <m:r>
                <m:t>(</m:t>
              </m:r>
              <m:sSup>
                <m:e>
                  <m:r>
                    <m:t>p</m:t>
                  </m:r>
                </m:e>
                <m:sup>
                  <m:r>
                    <m:t>'</m:t>
                  </m:r>
                </m:sup>
              </m:sSup>
              <m:sSub>
                <m:e>
                  <m:r>
                    <m:t>i</m:t>
                  </m:r>
                </m:e>
                <m:sub>
                  <m:phantom/>
                </m:sub>
              </m:sSub>
              <m:r>
                <m:t>)</m:t>
              </m:r>
              <!-- Line 4 -->
              <m:r>
                <m:t>
4.</m:t>
              </m:r>
              <m:r>
                <m:t>  </m:t>
              </m:r>
              <m:r>
                <m:t>Statistic:</m:t>
              </m:r>
              <m:r>
                <m:t>T({</m:t>
              </m:r>
              <m:sSup>
                <m:e>
                  <m:r>
                    <m:t>r</m:t>
                  </m:r>
                </m:e>
                <m:sup>
                  <m:r>
                    <m:t>'</m:t>
                  </m:r>
                </m:sup>
              </m:sSup>
              <m:sSub>
                <m:e>
                  <m:r>
                    <m:t>i</m:t>
                  </m:r>
                </m:e>
                <m:sub>
                  <m:phantom/>
                </m:sub>
              </m:sSub>
              <m:r>
                <m:t>},</m:t>
              </m:r>
              <m:r>
                <m:t>R</m:t>
              </m:r>
              <m:sSub>
                <m:e>
                  <m:r>
                    <m:t>ref</m:t>
                  </m:r>
                </m:e>
                <m:sub>
                  <m:phantom/>
                </m:sub>
              </m:sSub>
              <m:r>
                <m:t>)</m:t>
              </m:r>
            </m:e>
          </m:eqArr>
        </m:oMath>
      </m:oMathPara>
    </w:p>
    <w:p>
      <w:pPr>
        <w:pStyle w:val="Heading2"/>
      </w:pPr>
      <w:r>
        <w:t>2.1 Proof of Exchangeability Under Null Hypothesis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establish the validity of the permutation test used in S-DBPA, we must prove that under the null hypothesis, the responses from the semantic neighborhood are exchangeable with the reference responses.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Theorem 1 (Semantic Exchangeability): </w:t>
      </w:r>
      <w:r>
        <w:rPr>
          <w:rFonts w:ascii="Times New Roman" w:hAnsi="Times New Roman" w:eastAsia="Times New Roman"/>
          <w:b w:val="0"/>
          <w:i/>
          <w:sz w:val="24"/>
        </w:rPr>
        <w:t xml:space="preserve">Let </w:t>
      </w:r>
      <m:oMath>
        <m:r>
          <m:rPr>
            <m:sty m:val="p"/>
          </m:rPr>
          <m:t>S</m:t>
        </m:r>
      </m:oMath>
      <w:r>
        <w:rPr>
          <w:rFonts w:ascii="Times New Roman" w:hAnsi="Times New Roman" w:eastAsia="Times New Roman"/>
          <w:b w:val="0"/>
          <w:i/>
          <w:sz w:val="24"/>
        </w:rPr>
        <w:t xml:space="preserve"> be a set of semantically equivalent prompts such that for any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∈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/>
          <w:b w:val="0"/>
          <w:i/>
          <w:sz w:val="24"/>
        </w:rPr>
        <w:t xml:space="preserve">, the conditional distribution of responses </w:t>
      </w:r>
      <m:oMath>
        <m:r>
          <m:t>P(r|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t>)=P(r|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/>
          <w:sz w:val="24"/>
        </w:rPr>
        <w:t xml:space="preserve">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/>
          <w:sz w:val="24"/>
        </w:rPr>
        <w:t xml:space="preserve">. </w:t>
      </w:r>
      <w:r>
        <w:rPr>
          <w:rFonts w:ascii="Times New Roman" w:hAnsi="Times New Roman" w:eastAsia="Times New Roman"/>
          <w:b w:val="0"/>
          <w:i/>
          <w:sz w:val="24"/>
        </w:rPr>
        <w:t xml:space="preserve">Then the joint distribution of responses generated from </w:t>
      </w:r>
      <m:oMath>
        <m:r>
          <m:rPr>
            <m:sty m:val="p"/>
          </m:rPr>
          <m:t>S</m:t>
        </m:r>
      </m:oMath>
      <w:r>
        <w:rPr>
          <w:rFonts w:ascii="Times New Roman" w:hAnsi="Times New Roman" w:eastAsia="Times New Roman"/>
          <w:b w:val="0"/>
          <w:i/>
          <w:sz w:val="24"/>
        </w:rPr>
        <w:t xml:space="preserve"> is invariant under permutation with the reference set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/>
          <w:sz w:val="24"/>
        </w:rPr>
        <w:t>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Proof: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Assume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implies that the persona instructions in </w:t>
      </w:r>
      <m:oMath>
        <m:r>
          <m:rPr>
            <m:sty m:val="p"/>
          </m:rP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ignored or irrelevant to the task features. The prompt can be decomposed into </w:t>
      </w:r>
      <m:oMath>
        <m:sSub>
          <m:e>
            <m:r>
              <m:t>x</m:t>
            </m:r>
          </m:e>
          <m:sub>
            <m:r>
              <m:t>task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persona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r>
          <m:t>f</m:t>
        </m:r>
        <m:sSub>
          <m:e>
            <m:r>
              <m:t>θ</m:t>
            </m:r>
          </m:e>
          <m:sub>
            <m:phantom/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persona</m:t>
            </m:r>
          </m:sub>
        </m:sSub>
        <m:r>
          <m:t>)=</m:t>
        </m:r>
        <m:r>
          <m:t>f</m:t>
        </m:r>
        <m:sSub>
          <m:e>
            <m:r>
              <m:t>θ</m:t>
            </m:r>
          </m:e>
          <m:sub>
            <m:phantom/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Since standard DBPA assumes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is generated by </w:t>
      </w:r>
      <m:oMath>
        <m:sSub>
          <m:e>
            <m:r>
              <m:t>x</m:t>
            </m:r>
          </m:e>
          <m:sub>
            <m:r>
              <m:t>task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(or a neutral equivalent), then both 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and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i.i.d. samples from </w:t>
      </w:r>
      <m:oMath>
        <m:r>
          <m:t>f</m:t>
        </m:r>
        <m:sSub>
          <m:e>
            <m:r>
              <m:t>θ</m:t>
            </m:r>
          </m:e>
          <m:sub>
            <m:phantom/>
          </m:sub>
        </m:sSub>
        <m:r>
          <m:t>(⋅|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>Therefore, the sequence of random variables (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 is exchangeable. Consequently, the permutation p-value is exact. Q.E.D.</w:t>
      </w:r>
    </w:p>
    <w:p>
      <w:pPr>
        <w:pStyle w:val="Heading2"/>
      </w:pPr>
      <w:r>
        <w:t>2.2 Theoretical Justification for Robustness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Standard DBPA estimates an effect size using the expectation of the distance metric. This estimator has high variance due to token-level sensitivity. S-DBPA estimates the expected effect over the semantic manifold:</w:t>
      </w:r>
    </w:p>
    <w:p>
      <m:oMathPara>
        <m:oMath>
          <m:acc>
            <m:accPr>
              <m:chr m:val="^"/>
            </m:accPr>
            <m:e>
              <m:r>
                <m:t>ω</m:t>
              </m:r>
            </m:e>
          </m:acc>
          <m:sSub>
            <m:e>
              <m:r>
                <m:t>S</m:t>
              </m:r>
            </m:e>
            <m:sub>
              <m:phantom/>
            </m:sub>
          </m:sSub>
          <m:r>
            <m:t>=</m:t>
          </m:r>
          <m:sSub>
            <m:e>
              <m:r>
                <m:t>E</m:t>
              </m:r>
            </m:e>
            <m:sub>
              <m:r>
                <m:t>p~S</m:t>
              </m:r>
            </m:sub>
          </m:sSub>
          <m:d>
            <m:dPr>
              <m:begChr m:val="["/>
              <m:endChr m:val="]"/>
            </m:dPr>
            <m:e>
              <m:r>
                <m:t>E</m:t>
              </m:r>
              <m:d>
                <m:dPr>
                  <m:begChr m:val="["/>
                  <m:endChr m:val="]"/>
                </m:dPr>
                <m:e>
                  <m:r>
                    <m:t>D(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ref</m:t>
                      </m:r>
                    </m:sub>
                  </m:sSub>
                  <m:r>
                    <m:t>)</m:t>
                  </m:r>
                </m:e>
              </m:d>
            </m:e>
          </m:d>
        </m:oMath>
      </m:oMathPara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By the Law of Large Numbers, as the size of the semantic set increases, the variance of this estimator decreases, providing a stable audit metric.</w:t>
      </w:r>
    </w:p>
    <w:p>
      <w:pPr>
        <w:pStyle w:val="Heading2"/>
      </w:pPr>
      <w:r>
        <w:t>2.3 Experimental Setup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validate our methodology, we utilized the following configuration: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Sample Size: N=200 independent samples per condition.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Subject Model: Qwen/Qwen2.5-1.5B-Instruct (Simulated via HuggingFace Transformers).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Paraphrasing Model: Qwen/Qwen2.5-1.5B-Instruct prompted to generate semantic variations.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Semantic Filter: sentence-transformers/all-MiniLM-L6-v2 using Cosine Similarity with a threshold of tau=0.50.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Output Embedding Model: sentence-transformers/all-MiniLM-L6-v2 (used for calculating JSD).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Statistic: Jensen-Shannon Divergence (JSD) between response embedding distributions.</w:t>
      </w:r>
    </w:p>
    <w:p>
      <w:r>
        <w:rPr>
          <w:rFonts w:ascii="Times New Roman" w:hAnsi="Times New Roman" w:eastAsia="Times New Roman"/>
          <w:b w:val="0"/>
          <w:i/>
          <w:sz w:val="20"/>
        </w:rPr>
        <w:t>Note on Models: While the original DBPA framework utilized text-embedding-ada-002 for output distance measurements, we employed all-MiniLM-L6-v2 for both the semantic filtering and output embedding stages. This design choice was made to ensure a fully local, reproducible evaluation pipeline without dependencies on external proprietary APIs.</w:t>
      </w:r>
    </w:p>
    <w:p>
      <w:pPr>
        <w:pStyle w:val="Heading1"/>
      </w:pPr>
      <w:r>
        <w:t>3. Experimental Results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demonstrate the utility of S-DBPA, we conducted a robustness audit using a "Doctor" persona. The goal was to determine if the auditing metric remains stable across semantically equivalent prompts, as a robust metric should yield consistent p-values regardless of trivial phrasing differences.</w:t>
      </w:r>
    </w:p>
    <w:p>
      <w:pPr>
        <w:pStyle w:val="Heading2"/>
      </w:pPr>
      <w:r>
        <w:t>3.1 Experimental Procedure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compared the standard DBPA baseline against our S-DBPA methodology using the following protocol: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Baseline Prompt (P_base): "Act as a doctor."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Manual Variations: We manually created 3 adversarial variations to simulate prompt engineering: "You are a skilled doctor.", "Play the role of a physician.", "Provide answers as a medical professional."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Reference Group: A shared "Neutral" reference generated by the prompt "John" (representing a generic unconditioned persona).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 each variation, we ran both methodologies:</w:t>
        <w:br/>
        <w:t>1. Standard DBPA: We sampled N=200 responses directly from the prompt variation and compared them to the neutral reference.</w:t>
        <w:br/>
        <w:t>2. S-DBPA (Ours): We generated a semantic neighborhood around the prompt variation, filtered for meaning (tau=0.50), and then sampled N=200 responses from this neighborhood.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Visual Analysis: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1: Comparison of P-Value Stability (Log Scale) between DBPA and S-DBPA.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2: Comparison of Effect Size (JSD) between DBPA and S-DBPA.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 shown in Figure 1, Standard DBPA exhibits significant volatility, with p-values fluctuating widely between variations. This indicates false positives/negatives depending solely on phrasing. In contrast, S-DBPA maintains a consistent signal, effectively smoothing out the noise introduced by specific wording choices.</w:t>
      </w:r>
    </w:p>
    <w:p>
      <w:pPr>
        <w:pStyle w:val="Heading2"/>
      </w:pPr>
      <w:r>
        <w:t>3.2 Quantitative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Prompt Variation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JSD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P-Value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JSD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P-Value</w:t>
            </w:r>
          </w:p>
        </w:tc>
      </w:tr>
      <w:tr>
        <w:tc>
          <w:tcPr>
            <w:tcW w:type="dxa" w:w="1728"/>
          </w:tcPr>
          <w:p>
            <w:r>
              <w:t>Act as a doctor.</w:t>
            </w:r>
          </w:p>
        </w:tc>
        <w:tc>
          <w:tcPr>
            <w:tcW w:type="dxa" w:w="1728"/>
          </w:tcPr>
          <w:p>
            <w:r>
              <w:t>0.2248</w:t>
            </w:r>
          </w:p>
        </w:tc>
        <w:tc>
          <w:tcPr>
            <w:tcW w:type="dxa" w:w="1728"/>
          </w:tcPr>
          <w:p>
            <w:r>
              <w:t>0.0010</w:t>
            </w:r>
          </w:p>
        </w:tc>
        <w:tc>
          <w:tcPr>
            <w:tcW w:type="dxa" w:w="1728"/>
          </w:tcPr>
          <w:p>
            <w:r>
              <w:t>0.3078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You are a skilled doctor.</w:t>
            </w:r>
          </w:p>
        </w:tc>
        <w:tc>
          <w:tcPr>
            <w:tcW w:type="dxa" w:w="1728"/>
          </w:tcPr>
          <w:p>
            <w:r>
              <w:t>0.1255</w:t>
            </w:r>
          </w:p>
        </w:tc>
        <w:tc>
          <w:tcPr>
            <w:tcW w:type="dxa" w:w="1728"/>
          </w:tcPr>
          <w:p>
            <w:r>
              <w:t>0.6230</w:t>
            </w:r>
          </w:p>
        </w:tc>
        <w:tc>
          <w:tcPr>
            <w:tcW w:type="dxa" w:w="1728"/>
          </w:tcPr>
          <w:p>
            <w:r>
              <w:t>0.3375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Play the role of a physician.</w:t>
            </w:r>
          </w:p>
        </w:tc>
        <w:tc>
          <w:tcPr>
            <w:tcW w:type="dxa" w:w="1728"/>
          </w:tcPr>
          <w:p>
            <w:r>
              <w:t>0.1403</w:t>
            </w:r>
          </w:p>
        </w:tc>
        <w:tc>
          <w:tcPr>
            <w:tcW w:type="dxa" w:w="1728"/>
          </w:tcPr>
          <w:p>
            <w:r>
              <w:t>0.2790</w:t>
            </w:r>
          </w:p>
        </w:tc>
        <w:tc>
          <w:tcPr>
            <w:tcW w:type="dxa" w:w="1728"/>
          </w:tcPr>
          <w:p>
            <w:r>
              <w:t>0.3547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Provide answers as a medical professional.</w:t>
            </w:r>
          </w:p>
        </w:tc>
        <w:tc>
          <w:tcPr>
            <w:tcW w:type="dxa" w:w="1728"/>
          </w:tcPr>
          <w:p>
            <w:r>
              <w:t>0.2493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0.2628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pPr>
        <w:pStyle w:val="Heading1"/>
      </w:pPr>
      <w:r>
        <w:t>4. Conclusion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addresses a critical flaw in current LLM auditing: the fragility of single-prompt testing. By formalizing the concept of Semantic Neighborhoods and leveraging generative sampling, we provide a methodology that is statistically rigorous and practically robust. This ensures that auditing outcomes reflect genuine model behavioral capabilities rather than artifacts of prompt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