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Controlled Semantic Sampling: A Robust Auditing Methodology (S-DBPA)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Uriya Cohen-Eliya, Iggy Segev Gal, Yuval Vardi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The evaluation of Large Language Models (LLMs) for specific persona adherence is often brittle, relying on specific prompt formulations that lack semantic robustness. Standard methodologies, such as the Distribution-Based Perturbation Analysis (DBPA), utilize distribution-based distance metrics but fail to account for the inherent high variance of single-prompt perturbations. This paper introduces S-DBPA (Semantic DBPA), a methodology incorporating Controlled Semantic Sampling. We provide a theoretical framework proving the exchangeability of semantic variations under the null hypothesis and demonstrating statistically valid type I error control. Experimental results confirm that S-DBPA achieves superior stability across adversarial wording variations compared to standard approaches.</w:t>
      </w:r>
    </w:p>
    <w:p>
      <w:pPr>
        <w:pStyle w:val="Heading1"/>
      </w:pPr>
      <w:r>
        <w:t>1. Introduction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Modern auditing of LLMs requires robust statistical tools to quantify behavioral shifts induced by personas. A critical limitation of current approaches is their sensitivity to lexical surface forms. 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A prompt </w:t>
      </w:r>
      <m:oMath>
        <m:r>
          <m:t>P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("Act as a doctor") and its semantic equivalent </w:t>
      </w:r>
      <m:oMath>
        <m:sSup>
          <m:e>
            <m:r>
              <m:t>P</m:t>
            </m:r>
          </m:e>
          <m:sup>
            <m:r>
              <m:t>'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("You are a doctor") often yield </w:t>
      </w:r>
      <w:r>
        <w:rPr>
          <w:rFonts w:ascii="Times New Roman" w:hAnsi="Times New Roman" w:eastAsia="Times New Roman"/>
          <w:b w:val="0"/>
          <w:i w:val="0"/>
          <w:sz w:val="24"/>
        </w:rPr>
        <w:t>statistically distinguishable response distributions under standard testing, leading to inconsistent auditing conclusions.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We propose </w:t>
      </w:r>
      <w:r>
        <w:rPr>
          <w:rFonts w:ascii="Times New Roman" w:hAnsi="Times New Roman" w:eastAsia="Times New Roman"/>
          <w:b/>
          <w:i w:val="0"/>
          <w:sz w:val="24"/>
        </w:rPr>
        <w:t>S-DBPA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, which redefines the unit of analysis from a single prompt to a "Semantic Neighborhood". By integrating a Controlled Semantic Sampling step — generating a distribution of synonymous prompts </w:t>
      </w:r>
      <m:oMath>
        <m:sSub>
          <m:e>
            <m:r>
              <m:rPr>
                <m:scr m:val="script"/>
              </m:rPr>
              <m:t>P</m:t>
            </m:r>
          </m:e>
          <m:sub>
            <m:r>
              <m:t>sem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via a paraphrasing model </w:t>
      </w:r>
      <m:oMath>
        <m:r>
          <m:t>ϕ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and filtering via an embedding model </w:t>
      </w:r>
      <m:oMath>
        <m:r>
          <m:t>ψ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— we construct a robust test statistic that is invariant to trivial wording changes.</w:t>
      </w:r>
    </w:p>
    <w:p>
      <w:pPr>
        <w:pStyle w:val="Heading1"/>
      </w:pPr>
      <w:r>
        <w:t>2. Controlled Semantic Sampling: The 4-Step S-DBPA Methodology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S-DBPA introduces a rigorous 4-step process to ensure auditing robustness. This structure was designed to isolate semantic intent from lexical variation: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 xml:space="preserve">Step 1: Semantic Neighborhood Generation </w:t>
      </w:r>
      <w:r>
        <w:rPr>
          <w:rFonts w:ascii="Times New Roman" w:hAnsi="Times New Roman" w:eastAsia="Times New Roman"/>
          <w:b/>
          <w:i w:val="0"/>
          <w:sz w:val="24"/>
        </w:rPr>
        <w:t>(</w:t>
      </w:r>
      <m:oMath>
        <m:sSub>
          <m:e>
            <m:r>
              <m:rPr>
                <m:scr m:val="script"/>
              </m:rPr>
              <m:t>P</m:t>
            </m:r>
          </m:e>
          <m:sub>
            <m:r>
              <m:t>raw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)</w:t>
      </w:r>
      <w:r>
        <w:rPr>
          <w:rFonts w:ascii="Times New Roman" w:hAnsi="Times New Roman" w:eastAsia="Times New Roman"/>
          <w:b w:val="0"/>
          <w:i w:val="0"/>
          <w:sz w:val="24"/>
        </w:rPr>
        <w:br/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We first explore the "semantic manifold" of the base prompt by generating a large set of candidate variations using a paraphrasing LLM. </w:t>
      </w:r>
      <w:r>
        <w:rPr>
          <w:rFonts w:ascii="Times New Roman" w:hAnsi="Times New Roman" w:eastAsia="Times New Roman"/>
          <w:b w:val="0"/>
          <w:i/>
          <w:sz w:val="24"/>
        </w:rPr>
        <w:t xml:space="preserve">Rationale: </w:t>
      </w:r>
      <w:r>
        <w:rPr>
          <w:rFonts w:ascii="Times New Roman" w:hAnsi="Times New Roman" w:eastAsia="Times New Roman"/>
          <w:b w:val="0"/>
          <w:i w:val="0"/>
          <w:sz w:val="24"/>
        </w:rPr>
        <w:t>A single prompt is just one point in intent-space. To audit the concept, we must cover the local area.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 xml:space="preserve">Step 2: Semantic Filtering </w:t>
      </w:r>
      <w:r>
        <w:rPr>
          <w:rFonts w:ascii="Times New Roman" w:hAnsi="Times New Roman" w:eastAsia="Times New Roman"/>
          <w:b/>
          <w:i w:val="0"/>
          <w:sz w:val="24"/>
        </w:rPr>
        <w:t>(</w:t>
      </w:r>
      <m:oMath>
        <m:sSub>
          <m:e>
            <m:r>
              <m:rPr>
                <m:scr m:val="script"/>
              </m:rPr>
              <m:t>P</m:t>
            </m:r>
          </m:e>
          <m:sub>
            <m:r>
              <m:t>sem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)</w:t>
      </w:r>
      <w:r>
        <w:rPr>
          <w:rFonts w:ascii="Times New Roman" w:hAnsi="Times New Roman" w:eastAsia="Times New Roman"/>
          <w:b w:val="0"/>
          <w:i w:val="0"/>
          <w:sz w:val="24"/>
        </w:rPr>
        <w:br/>
      </w:r>
      <w:r>
        <w:rPr>
          <w:rFonts w:ascii="Times New Roman" w:hAnsi="Times New Roman" w:eastAsia="Times New Roman"/>
          <w:b w:val="0"/>
          <w:i w:val="0"/>
          <w:sz w:val="24"/>
        </w:rPr>
        <w:t>We apply a strict cosine similarity filter (</w:t>
      </w:r>
      <m:oMath>
        <m:r>
          <m:t>τ=0.50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) using an embedding model to retain only high-quality paraphrases. </w:t>
      </w:r>
      <w:r>
        <w:rPr>
          <w:rFonts w:ascii="Times New Roman" w:hAnsi="Times New Roman" w:eastAsia="Times New Roman"/>
          <w:b w:val="0"/>
          <w:i/>
          <w:sz w:val="24"/>
        </w:rPr>
        <w:t xml:space="preserve">Rationale: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Generative models can hallucinate or drift. Filtering ensures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validity by strictly enforcing semantic equivalence.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Step 3: Response Sampling</w:t>
        <w:br/>
      </w:r>
      <w:r>
        <w:rPr>
          <w:rFonts w:ascii="Times New Roman" w:hAnsi="Times New Roman" w:eastAsia="Times New Roman"/>
          <w:b w:val="0"/>
          <w:i w:val="0"/>
          <w:sz w:val="24"/>
        </w:rPr>
        <w:t>We sample responses (</w:t>
      </w:r>
      <m:oMath>
        <m:sSup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'</m:t>
            </m:r>
          </m:sup>
        </m:sSup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) from the subject model using the filtered set of prompts. </w:t>
      </w:r>
      <w:r>
        <w:rPr>
          <w:rFonts w:ascii="Times New Roman" w:hAnsi="Times New Roman" w:eastAsia="Times New Roman"/>
          <w:b w:val="0"/>
          <w:i/>
          <w:sz w:val="24"/>
        </w:rPr>
        <w:t xml:space="preserve">Rationale: </w:t>
      </w:r>
      <w:r>
        <w:rPr>
          <w:rFonts w:ascii="Times New Roman" w:hAnsi="Times New Roman" w:eastAsia="Times New Roman"/>
          <w:b w:val="0"/>
          <w:i w:val="0"/>
          <w:sz w:val="24"/>
        </w:rPr>
        <w:t>This marginalizes out the noise associated with any specific phrasing, effectively Monte Carlo integrating over the semantic neighborhood.</w:t>
      </w:r>
    </w:p>
    <w:p>
      <w:pPr>
        <w:pStyle w:val="ListNumber"/>
      </w:pPr>
      <w:r>
        <w:rPr>
          <w:rFonts w:ascii="Times New Roman" w:hAnsi="Times New Roman" w:eastAsia="Times New Roman"/>
          <w:b/>
          <w:i w:val="0"/>
          <w:sz w:val="24"/>
        </w:rPr>
        <w:t>Step 4: Distributional Statistic</w:t>
        <w:br/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Finally, we compute the Jensen-Shannon Divergence (JSD) between the neighborhood response distribution and the reference distribution. </w:t>
      </w:r>
      <w:r>
        <w:rPr>
          <w:rFonts w:ascii="Times New Roman" w:hAnsi="Times New Roman" w:eastAsia="Times New Roman"/>
          <w:b w:val="0"/>
          <w:i/>
          <w:sz w:val="24"/>
        </w:rPr>
        <w:t xml:space="preserve">Rationale: </w:t>
      </w:r>
      <w:r>
        <w:rPr>
          <w:rFonts w:ascii="Times New Roman" w:hAnsi="Times New Roman" w:eastAsia="Times New Roman"/>
          <w:b w:val="0"/>
          <w:i w:val="0"/>
          <w:sz w:val="24"/>
        </w:rPr>
        <w:t>JSD is a symmetric, smoothed metric ideal for comparing high-dimensional embedding distributions.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Let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be the LLM under audit. Let </w:t>
      </w:r>
      <m:oMath>
        <m:r>
          <m:t>p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be a base prompt. S-DBPA formalized this sampling stage as follows:</w:t>
      </w:r>
    </w:p>
    <w:p>
      <w:pPr>
        <w:jc w:val="center"/>
      </w:pPr>
      <m:oMath>
        <m:r>
          <m:t>1. </m:t>
        </m:r>
        <m:sSub>
          <m:e>
            <m:r>
              <m:rPr>
                <m:scr m:val="script"/>
              </m:rPr>
              <m:t>P</m:t>
            </m:r>
          </m:e>
          <m:sub>
            <m:r>
              <m:t>raw</m:t>
            </m:r>
          </m:sub>
        </m:sSub>
        <m:r>
          <m:t> = {</m:t>
        </m:r>
        <m:sSub>
          <m:e>
            <m:sSup>
              <m:e>
                <m:r>
                  <m:t>p</m:t>
                </m:r>
              </m:e>
              <m:sup>
                <m:r>
                  <m:t>'</m:t>
                </m:r>
              </m:sup>
            </m:sSup>
          </m:e>
          <m:sub>
            <m:r>
              <m:t>1</m:t>
            </m:r>
          </m:sub>
        </m:sSub>
        <m:r>
          <m:t>, ..., </m:t>
        </m:r>
        <m:sSub>
          <m:e>
            <m:sSup>
              <m:e>
                <m:r>
                  <m:t>p</m:t>
                </m:r>
              </m:e>
              <m:sup>
                <m:r>
                  <m:t>'</m:t>
                </m:r>
              </m:sup>
            </m:sSup>
          </m:e>
          <m:sub>
            <m:r>
              <m:t>N</m:t>
            </m:r>
          </m:sub>
        </m:sSub>
        <m:r>
          <m:t>} ~ Generator(p)</m:t>
        </m:r>
      </m:oMath>
    </w:p>
    <w:p>
      <w:pPr>
        <w:jc w:val="center"/>
      </w:pPr>
      <m:oMath>
        <m:r>
          <m:t>2. </m:t>
        </m:r>
        <m:sSub>
          <m:e>
            <m:r>
              <m:rPr>
                <m:scr m:val="script"/>
              </m:rPr>
              <m:t>P</m:t>
            </m:r>
          </m:e>
          <m:sub>
            <m:r>
              <m:t>sem</m:t>
            </m:r>
          </m:sub>
        </m:sSub>
        <m:r>
          <m:t> = {x ∈ </m:t>
        </m:r>
        <m:sSub>
          <m:e>
            <m:r>
              <m:rPr>
                <m:scr m:val="script"/>
              </m:rPr>
              <m:t>P</m:t>
            </m:r>
          </m:e>
          <m:sub>
            <m:r>
              <m:t>raw</m:t>
            </m:r>
          </m:sub>
        </m:sSub>
        <m:r>
          <m:t> | cos(ψ(x), ψ(p)) &gt; τ}</m:t>
        </m:r>
      </m:oMath>
    </w:p>
    <w:p>
      <w:pPr>
        <w:jc w:val="center"/>
      </w:pPr>
      <m:oMath>
        <m:r>
          <m:t>3. ∀</m:t>
        </m:r>
        <m:sSub>
          <m:e>
            <m:sSup>
              <m:e>
                <m:r>
                  <m:t>p</m:t>
                </m:r>
              </m:e>
              <m:sup>
                <m:r>
                  <m:t>'</m:t>
                </m:r>
              </m:sup>
            </m:sSup>
          </m:e>
          <m:sub>
            <m:r>
              <m:t>i</m:t>
            </m:r>
          </m:sub>
        </m:sSub>
        <m:r>
          <m:t> ∈ </m:t>
        </m:r>
        <m:sSub>
          <m:e>
            <m:r>
              <m:rPr>
                <m:scr m:val="script"/>
              </m:rPr>
              <m:t>P</m:t>
            </m:r>
          </m:e>
          <m:sub>
            <m:r>
              <m:t>sem</m:t>
            </m:r>
          </m:sub>
        </m:sSub>
        <m:r>
          <m:t>, </m:t>
        </m:r>
        <m:sSub>
          <m:e>
            <m:sSup>
              <m:e>
                <m:r>
                  <m:t>r</m:t>
                </m:r>
              </m:e>
              <m:sup>
                <m:r>
                  <m:t>'</m:t>
                </m:r>
              </m:sup>
            </m:sSup>
          </m:e>
          <m:sub>
            <m:r>
              <m:t>i</m:t>
            </m:r>
          </m:sub>
        </m:sSub>
        <m:r>
          <m:t> ~ 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t>(</m:t>
        </m:r>
        <m:sSub>
          <m:e>
            <m:sSup>
              <m:e>
                <m:r>
                  <m:t>p</m:t>
                </m:r>
              </m:e>
              <m:sup>
                <m:r>
                  <m:t>'</m:t>
                </m:r>
              </m:sup>
            </m:sSup>
          </m:e>
          <m:sub>
            <m:r>
              <m:t>i</m:t>
            </m:r>
          </m:sub>
        </m:sSub>
        <m:r>
          <m:t>)</m:t>
        </m:r>
      </m:oMath>
    </w:p>
    <w:p>
      <w:pPr>
        <w:jc w:val="center"/>
      </w:pPr>
      <m:oMath>
        <m:r>
          <m:t>4. Statistic: T({</m:t>
        </m:r>
        <m:sSub>
          <m:e>
            <m:sSup>
              <m:e>
                <m:r>
                  <m:t>r</m:t>
                </m:r>
              </m:e>
              <m:sup>
                <m:r>
                  <m:t>'</m:t>
                </m:r>
              </m:sup>
            </m:sSup>
          </m:e>
          <m:sub>
            <m:r>
              <m:t>i</m:t>
            </m:r>
          </m:sub>
        </m:sSub>
        <m:r>
          <m:t>}, </m:t>
        </m:r>
        <m:sSub>
          <m:e>
            <m:r>
              <m:t>R</m:t>
            </m:r>
          </m:e>
          <m:sub>
            <m:r>
              <m:t>ref</m:t>
            </m:r>
          </m:sub>
        </m:sSub>
        <m:r>
          <m:t>)</m:t>
        </m:r>
      </m:oMath>
    </w:p>
    <w:p>
      <w:pPr>
        <w:pStyle w:val="Heading2"/>
      </w:pPr>
      <w:r>
        <w:t>2.1 Proof of Exchangeability Under Null Hypothesis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To establish the validity of the permutation test used in S-DBPA, we must prove that under the null hypothesis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(that the persona has no effect), the responses from the semantic neighborhood are exchangeable with the reference responses.</w:t>
      </w:r>
    </w:p>
    <w:p>
      <w:r>
        <w:rPr>
          <w:rFonts w:ascii="Times New Roman" w:hAnsi="Times New Roman" w:eastAsia="Times New Roman"/>
          <w:b/>
          <w:i w:val="0"/>
          <w:sz w:val="24"/>
        </w:rPr>
        <w:t xml:space="preserve">Theorem 1 (Semantic Exchangeability):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Let </w:t>
      </w:r>
      <m:oMath>
        <m:r>
          <m:rPr>
            <m:scr m:val="script"/>
          </m:rPr>
          <m:t>S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be a set of semantically equivalent prompts such that for any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t>, </m:t>
        </m:r>
        <m:sSub>
          <m:e>
            <m:r>
              <m:t>p</m:t>
            </m:r>
          </m:e>
          <m:sub>
            <m:r>
              <m:t>b</m:t>
            </m:r>
          </m:sub>
        </m:sSub>
        <m:r>
          <m:t> ∈ </m:t>
        </m:r>
        <m:r>
          <m:rPr>
            <m:scr m:val="script"/>
          </m:rPr>
          <m:t>S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, the conditional distribution of responses </w:t>
      </w:r>
      <m:oMath>
        <m:r>
          <m:t>P(r|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t>) = P(r|</m:t>
        </m:r>
        <m:sSub>
          <m:e>
            <m:r>
              <m:t>p</m:t>
            </m:r>
          </m:e>
          <m:sub>
            <m:r>
              <m:t>b</m:t>
            </m:r>
          </m:sub>
        </m:sSub>
        <m:r>
          <m:t>)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under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.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Then the joint distribution of responses generated from </w:t>
      </w:r>
      <m:oMath>
        <m:r>
          <m:rPr>
            <m:scr m:val="script"/>
          </m:rPr>
          <m:t>S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is invariant under permutation with the reference set </w:t>
      </w:r>
      <m:oMath>
        <m:sSub>
          <m:e>
            <m:r>
              <m:t>R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r>
        <w:rPr>
          <w:rFonts w:ascii="Times New Roman" w:hAnsi="Times New Roman" w:eastAsia="Times New Roman"/>
          <w:b/>
          <w:i w:val="0"/>
          <w:sz w:val="24"/>
        </w:rPr>
        <w:t xml:space="preserve">Proof: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Assume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implies that the persona instructions in </w:t>
      </w:r>
      <m:oMath>
        <m:r>
          <m:rPr>
            <m:scr m:val="script"/>
          </m:rPr>
          <m:t>S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are ignored or irrelevant to the task features. The prompt can be decomposed into </w:t>
      </w:r>
      <m:oMath>
        <m:sSub>
          <m:e>
            <m:r>
              <m:t>x</m:t>
            </m:r>
          </m:e>
          <m:sub>
            <m:r>
              <m:t>task</m:t>
            </m:r>
          </m:sub>
        </m:sSub>
        <m:r>
          <m:t> + </m:t>
        </m:r>
        <m:sSub>
          <m:e>
            <m:r>
              <m:t>x</m:t>
            </m:r>
          </m:e>
          <m:sub>
            <m:r>
              <m:t>persona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. Under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t>(r|</m:t>
        </m:r>
        <m:sSub>
          <m:e>
            <m:r>
              <m:t>x</m:t>
            </m:r>
          </m:e>
          <m:sub>
            <m:r>
              <m:t>task</m:t>
            </m:r>
          </m:sub>
        </m:sSub>
        <m:r>
          <m:t>, </m:t>
        </m:r>
        <m:sSub>
          <m:e>
            <m:r>
              <m:t>x</m:t>
            </m:r>
          </m:e>
          <m:sub>
            <m:r>
              <m:t>persona</m:t>
            </m:r>
          </m:sub>
        </m:sSub>
        <m:r>
          <m:t>) = </m:t>
        </m:r>
        <m:sSub>
          <m:e>
            <m:r>
              <m:t>f</m:t>
            </m:r>
          </m:e>
          <m:sub>
            <m:r>
              <m:t>θ</m:t>
            </m:r>
          </m:sub>
        </m:sSub>
        <m:r>
          <m:t>(r|</m:t>
        </m:r>
        <m:sSub>
          <m:e>
            <m:r>
              <m:t>x</m:t>
            </m:r>
          </m:e>
          <m:sub>
            <m:r>
              <m:t>task</m:t>
            </m:r>
          </m:sub>
        </m:sSub>
        <m:r>
          <m:t>)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.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Since standard DBPA assumes </w:t>
      </w:r>
      <m:oMath>
        <m:sSub>
          <m:e>
            <m:r>
              <m:t>R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is generated by </w:t>
      </w:r>
      <m:oMath>
        <m:sSub>
          <m:e>
            <m:r>
              <m:t>x</m:t>
            </m:r>
          </m:e>
          <m:sub>
            <m:r>
              <m:t>task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(or a neutral equivalent), then both </w:t>
      </w:r>
      <m:oMath>
        <m:sSub>
          <m:e>
            <m:r>
              <m:t>R</m:t>
            </m:r>
          </m:e>
          <m:sub>
            <m:r>
              <m:t>sem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and </w:t>
      </w:r>
      <m:oMath>
        <m:sSub>
          <m:e>
            <m:r>
              <m:t>R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are i.i.d. samples from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t>(.|</m:t>
        </m:r>
        <m:sSub>
          <m:e>
            <m:r>
              <m:t>x</m:t>
            </m:r>
          </m:e>
          <m:sub>
            <m:r>
              <m:t>task</m:t>
            </m:r>
          </m:sub>
        </m:sSub>
        <m:r>
          <m:t>)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. </w:t>
      </w:r>
      <w:r>
        <w:rPr>
          <w:rFonts w:ascii="Times New Roman" w:hAnsi="Times New Roman" w:eastAsia="Times New Roman"/>
          <w:b w:val="0"/>
          <w:i w:val="0"/>
          <w:sz w:val="24"/>
        </w:rPr>
        <w:t>Therefore, the sequence of random variables (</w:t>
      </w:r>
      <m:oMath>
        <m:sSub>
          <m:e>
            <m:r>
              <m:t>R</m:t>
            </m:r>
          </m:e>
          <m:sub>
            <m:r>
              <m:t>sem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, </w:t>
      </w:r>
      <m:oMath>
        <m:sSub>
          <m:e>
            <m:r>
              <m:t>R</m:t>
            </m:r>
          </m:e>
          <m:sub>
            <m:r>
              <m:t>ref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) is exchangeable. Consequently, the permutation p-value is exact. </w:t>
      </w:r>
      <m:oMath>
        <m:r>
          <m:t>■</m:t>
        </m:r>
      </m:oMath>
    </w:p>
    <w:p>
      <w:pPr>
        <w:pStyle w:val="Heading2"/>
      </w:pPr>
      <w:r>
        <w:t>2.2 Theoretical Justification for Robustness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Standard DBPA estimates an effect size </w:t>
      </w:r>
      <m:oMath>
        <m:sSub>
          <m:e>
            <m:acc>
              <m:accPr>
                <m:chr m:val="^"/>
              </m:accPr>
              <m:e>
                <m:r>
                  <m:t>ω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= E[D(r_p, r_ref)].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This estimator has high variance with respect to </w:t>
      </w:r>
      <m:oMath>
        <m:r>
          <m:t>p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due to token-level sensitivity. </w:t>
      </w:r>
      <w:r>
        <w:rPr>
          <w:rFonts w:ascii="Times New Roman" w:hAnsi="Times New Roman" w:eastAsia="Times New Roman"/>
          <w:b w:val="0"/>
          <w:i w:val="0"/>
          <w:sz w:val="24"/>
        </w:rPr>
        <w:t>S-DBPA estimates the expected effect over the semantic manifold:</w:t>
      </w:r>
    </w:p>
    <w:p>
      <w:pPr>
        <w:jc w:val="center"/>
      </w:pPr>
      <m:oMath>
        <m:sSub>
          <m:e>
            <m:acc>
              <m:accPr>
                <m:chr m:val="^"/>
              </m:accPr>
              <m:e>
                <m:r>
                  <m:t>ω</m:t>
                </m:r>
              </m:e>
            </m:acc>
          </m:e>
          <m:sub>
            <m:r>
              <m:rPr>
                <m:scr m:val="script"/>
              </m:rPr>
              <m:t>S</m:t>
            </m:r>
          </m:sub>
        </m:sSub>
        <m:r>
          <m:t> = </m:t>
        </m:r>
        <m:sSub>
          <m:e>
            <m:r>
              <m:t>E</m:t>
            </m:r>
          </m:e>
          <m:sub>
            <m:r>
              <m:t>p~</m:t>
            </m:r>
            <m:r>
              <m:rPr>
                <m:scr m:val="script"/>
              </m:rPr>
              <m:t>S</m:t>
            </m:r>
          </m:sub>
        </m:sSub>
        <m:d>
          <m:dPr>
            <m:begChr m:val="["/>
            <m:endChr m:val="]"/>
          </m:dPr>
          <m:e>
            <m:r>
              <m:t> E </m:t>
            </m:r>
            <m:d>
              <m:dPr>
                <m:begChr m:val="["/>
                <m:endChr m:val="]"/>
              </m:dPr>
              <m:e>
                <m:r>
                  <m:t>D(</m:t>
                </m:r>
                <m:sSub>
                  <m:e>
                    <m:r>
                      <m:t>r</m:t>
                    </m:r>
                  </m:e>
                  <m:sub>
                    <m:r>
                      <m:t>p</m:t>
                    </m:r>
                  </m:sub>
                </m:sSub>
                <m:r>
                  <m:t>, </m:t>
                </m:r>
                <m:sSub>
                  <m:e>
                    <m:r>
                      <m:t>r</m:t>
                    </m:r>
                  </m:e>
                  <m:sub>
                    <m:r>
                      <m:t>ref</m:t>
                    </m:r>
                  </m:sub>
                </m:sSub>
                <m:r>
                  <m:t>)</m:t>
                </m:r>
              </m:e>
            </m:d>
          </m:e>
        </m:d>
      </m:oMath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By the Law of Large Numbers, as |</w:t>
      </w:r>
      <m:oMath>
        <m:r>
          <m:rPr>
            <m:scr m:val="script"/>
          </m:rPr>
          <m:t>S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>| tends to infinity, the variance of this estimator decreases, providing a stable audit metric.</w:t>
      </w:r>
    </w:p>
    <w:p>
      <w:pPr>
        <w:pStyle w:val="Heading2"/>
      </w:pPr>
      <w:r>
        <w:t>2.3 Experimental Setup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To validate our methodology, we utilized the following configuration: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Sample Size: </w:t>
      </w:r>
      <m:oMath>
        <m:r>
          <m:t>N=200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independent samples per condition.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Subject Model: </w:t>
      </w:r>
      <w:r>
        <w:rPr>
          <w:rFonts w:ascii="Times New Roman" w:hAnsi="Times New Roman" w:eastAsia="Times New Roman"/>
          <w:b w:val="0"/>
          <w:i w:val="0"/>
          <w:sz w:val="24"/>
        </w:rPr>
        <w:t>Qwen/Qwen2.5-1.5B-Instruct (Simulated via HuggingFace Transformers).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Paraphrasing Model: </w:t>
      </w:r>
      <w:r>
        <w:rPr>
          <w:rFonts w:ascii="Times New Roman" w:hAnsi="Times New Roman" w:eastAsia="Times New Roman"/>
          <w:b w:val="0"/>
          <w:i w:val="0"/>
          <w:sz w:val="24"/>
        </w:rPr>
        <w:t>Qwen/Qwen2.5-1.5B-Instruct prompted to generate semantic variations.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Semantic Filter: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sentence-transformers/all-MiniLM-L6-v2 using Cosine Similarity with a threshold of </w:t>
      </w:r>
      <m:oMath>
        <m:r>
          <m:t>τ=0.50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Output Embedding Model: </w:t>
      </w:r>
      <w:r>
        <w:rPr>
          <w:rFonts w:ascii="Times New Roman" w:hAnsi="Times New Roman" w:eastAsia="Times New Roman"/>
          <w:b w:val="0"/>
          <w:i w:val="0"/>
          <w:sz w:val="24"/>
        </w:rPr>
        <w:t>sentence-transformers/all-MiniLM-L6-v2 (used for calculating JSD).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Statistic: </w:t>
      </w:r>
      <w:r>
        <w:rPr>
          <w:rFonts w:ascii="Times New Roman" w:hAnsi="Times New Roman" w:eastAsia="Times New Roman"/>
          <w:b w:val="0"/>
          <w:i w:val="0"/>
          <w:sz w:val="24"/>
        </w:rPr>
        <w:t>Jensen-Shannon Divergence (JSD) between response embedding distributions.</w:t>
      </w:r>
    </w:p>
    <w:p>
      <w:pPr>
        <w:jc w:val="both"/>
      </w:pPr>
      <w:r>
        <w:rPr>
          <w:rFonts w:ascii="Times New Roman" w:hAnsi="Times New Roman" w:eastAsia="Times New Roman"/>
          <w:b/>
          <w:i/>
          <w:sz w:val="20"/>
        </w:rPr>
        <w:t xml:space="preserve">Note on Models: </w:t>
      </w:r>
      <w:r>
        <w:rPr>
          <w:rFonts w:ascii="Times New Roman" w:hAnsi="Times New Roman" w:eastAsia="Times New Roman"/>
          <w:b w:val="0"/>
          <w:i/>
          <w:sz w:val="20"/>
        </w:rPr>
        <w:t>While the original DBPA framework utilized text-embedding-ada-002 for output distance measurements, we employed all-MiniLM-L6-v2 for both the semantic filtering and output embedding stages. This design choice was made to ensure a fully local, reproducible evaluation pipeline without dependencies on external proprietary APIs.</w:t>
      </w:r>
    </w:p>
    <w:p>
      <w:pPr>
        <w:pStyle w:val="Heading1"/>
      </w:pPr>
      <w:r>
        <w:t>3. Experimental Results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To demonstrate the utility of S-DBPA, we conducted a robustness audit using a "Doctor" persona. The goal was to determine if the auditing metric remains stable across semantically equivalent prompts, as a robust metric should yield consistent p-values regardless of trivial phrasing differences.</w:t>
      </w:r>
    </w:p>
    <w:p>
      <w:pPr>
        <w:pStyle w:val="Heading2"/>
      </w:pPr>
      <w:r>
        <w:t>3.1 Experimental Procedure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We compared the standard DBPA baseline against our S-DBPA methodology using the following protocol: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>Baseline Prompt (</w:t>
      </w:r>
      <m:oMath>
        <m:sSub>
          <m:e>
            <m:r>
              <m:t>P</m:t>
            </m:r>
          </m:e>
          <m:sub>
            <m:r>
              <m:t>base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): "Act as a doctor."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Manual Variations: </w:t>
      </w:r>
      <w:r>
        <w:rPr>
          <w:rFonts w:ascii="Times New Roman" w:hAnsi="Times New Roman" w:eastAsia="Times New Roman"/>
          <w:b w:val="0"/>
          <w:i w:val="0"/>
          <w:sz w:val="24"/>
        </w:rPr>
        <w:t>We manually created 3 adversarial variations to simulate prompt engineering:</w:t>
      </w:r>
    </w:p>
    <w:p>
      <w:pPr>
        <w:pStyle w:val="ListBullet2"/>
      </w:pP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: "You are a skilled doctor."</w:t>
      </w:r>
    </w:p>
    <w:p>
      <w:pPr>
        <w:pStyle w:val="ListBullet2"/>
      </w:pP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: "Play the role of a physician."</w:t>
      </w:r>
    </w:p>
    <w:p>
      <w:pPr>
        <w:pStyle w:val="ListBullet2"/>
      </w:pPr>
      <m:oMath>
        <m:sSub>
          <m:e>
            <m:r>
              <m:t>V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/>
          <w:b w:val="0"/>
          <w:i w:val="0"/>
          <w:sz w:val="24"/>
        </w:rPr>
        <w:t>: "Provide answers as a medical professional."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4"/>
        </w:rPr>
        <w:t xml:space="preserve">Reference Group: </w:t>
      </w:r>
      <w:r>
        <w:rPr>
          <w:rFonts w:ascii="Times New Roman" w:hAnsi="Times New Roman" w:eastAsia="Times New Roman"/>
          <w:b w:val="0"/>
          <w:i w:val="0"/>
          <w:sz w:val="24"/>
        </w:rPr>
        <w:t>A shared "Neutral" reference generated by the prompt "John" (representing a generic unconditioned persona).</w:t>
      </w:r>
    </w:p>
    <w:p>
      <w:r>
        <w:t>For each variation, we ran both methodologies:</w:t>
      </w:r>
    </w:p>
    <w:p>
      <w:r>
        <w:rPr>
          <w:rFonts w:ascii="Times New Roman" w:hAnsi="Times New Roman" w:eastAsia="Times New Roman"/>
          <w:b/>
          <w:i w:val="0"/>
          <w:sz w:val="24"/>
        </w:rPr>
        <w:t xml:space="preserve">1. Standard DBPA: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We sampled </w:t>
      </w:r>
      <m:oMath>
        <m:r>
          <m:t>N=200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responses directly from the prompt variation and compared them to the neutral reference.</w:t>
      </w:r>
    </w:p>
    <w:p>
      <w:r>
        <w:rPr>
          <w:rFonts w:ascii="Times New Roman" w:hAnsi="Times New Roman" w:eastAsia="Times New Roman"/>
          <w:b/>
          <w:i w:val="0"/>
          <w:sz w:val="24"/>
        </w:rPr>
        <w:t xml:space="preserve">2. S-DBPA (Ours): </w:t>
      </w:r>
      <w:r>
        <w:rPr>
          <w:rFonts w:ascii="Times New Roman" w:hAnsi="Times New Roman" w:eastAsia="Times New Roman"/>
          <w:b w:val="0"/>
          <w:i w:val="0"/>
          <w:sz w:val="24"/>
        </w:rPr>
        <w:t>We generated a semantic neighborhood around the prompt variation, filtered for meaning (</w:t>
      </w:r>
      <m:oMath>
        <m:r>
          <m:t>τ=0.50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), and then sampled </w:t>
      </w:r>
      <m:oMath>
        <m:r>
          <m:t>N=200</m:t>
        </m:r>
      </m:oMath>
      <w:r>
        <w:rPr>
          <w:rFonts w:ascii="Times New Roman" w:hAnsi="Times New Roman" w:eastAsia="Times New Roman"/>
          <w:b w:val="0"/>
          <w:i w:val="0"/>
          <w:sz w:val="24"/>
        </w:rPr>
        <w:t xml:space="preserve"> responses from this neighborhood.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Visual Analysis: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Figure 1: Comparison of P-Value Stability (Log Scale) between DBPA and S-DBPA.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s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Figure 2: Comparison of Effect Size (JSD) between DBPA and S-DBPA.</w:t>
      </w:r>
    </w:p>
    <w:p>
      <w:r>
        <w:rPr>
          <w:rFonts w:ascii="Times New Roman" w:hAnsi="Times New Roman" w:eastAsia="Times New Roman"/>
          <w:b w:val="0"/>
          <w:i w:val="0"/>
          <w:sz w:val="24"/>
        </w:rPr>
        <w:t xml:space="preserve">As shown in Figure 1, 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Standard DBPA exhibits significant volatility, with p-values fluctuating widely between variations. </w:t>
      </w:r>
      <w:r>
        <w:rPr>
          <w:rFonts w:ascii="Times New Roman" w:hAnsi="Times New Roman" w:eastAsia="Times New Roman"/>
          <w:b w:val="0"/>
          <w:i w:val="0"/>
          <w:sz w:val="24"/>
        </w:rPr>
        <w:t>In contrast, S-DBPA maintains a consistent signal, effectively smoothing out the noise introduced by specific wording choices.</w:t>
      </w:r>
    </w:p>
    <w:p>
      <w:pPr>
        <w:pStyle w:val="Heading2"/>
      </w:pPr>
      <w:r>
        <w:t>3.2 Quantitative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Prompt Variation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DBPA JSD (</w:t>
            </w:r>
            <m:oMath>
              <m:r>
                <m:t>ω</m:t>
              </m:r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DBPA P-Value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S-DBPA JSD (</w:t>
            </w:r>
            <m:oMath>
              <m:r>
                <m:t>ω</m:t>
              </m:r>
            </m:oMath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>S-DBPA P-Value</w:t>
            </w:r>
          </w:p>
        </w:tc>
      </w:tr>
      <w:tr>
        <w:tc>
          <w:tcPr>
            <w:tcW w:type="dxa" w:w="1728"/>
          </w:tcPr>
          <w:p>
            <w:r>
              <w:t>Act as a doctor.</w:t>
            </w:r>
          </w:p>
        </w:tc>
        <w:tc>
          <w:tcPr>
            <w:tcW w:type="dxa" w:w="1728"/>
          </w:tcPr>
          <w:p>
            <w:r>
              <w:t>0.2248</w:t>
            </w:r>
          </w:p>
        </w:tc>
        <w:tc>
          <w:tcPr>
            <w:tcW w:type="dxa" w:w="1728"/>
          </w:tcPr>
          <w:p>
            <w:r>
              <w:t>0.0010</w:t>
            </w:r>
          </w:p>
        </w:tc>
        <w:tc>
          <w:tcPr>
            <w:tcW w:type="dxa" w:w="1728"/>
          </w:tcPr>
          <w:p>
            <w:r>
              <w:t>0.3078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 0.001</w:t>
            </w:r>
          </w:p>
        </w:tc>
      </w:tr>
      <w:tr>
        <w:tc>
          <w:tcPr>
            <w:tcW w:type="dxa" w:w="1728"/>
          </w:tcPr>
          <w:p>
            <w:r>
              <w:t>You are a skilled doctor.</w:t>
            </w:r>
          </w:p>
        </w:tc>
        <w:tc>
          <w:tcPr>
            <w:tcW w:type="dxa" w:w="1728"/>
          </w:tcPr>
          <w:p>
            <w:r>
              <w:t>0.1255</w:t>
            </w:r>
          </w:p>
        </w:tc>
        <w:tc>
          <w:tcPr>
            <w:tcW w:type="dxa" w:w="1728"/>
          </w:tcPr>
          <w:p>
            <w:r>
              <w:t>0.6230</w:t>
            </w:r>
          </w:p>
        </w:tc>
        <w:tc>
          <w:tcPr>
            <w:tcW w:type="dxa" w:w="1728"/>
          </w:tcPr>
          <w:p>
            <w:r>
              <w:t>0.3375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 0.001</w:t>
            </w:r>
          </w:p>
        </w:tc>
      </w:tr>
      <w:tr>
        <w:tc>
          <w:tcPr>
            <w:tcW w:type="dxa" w:w="1728"/>
          </w:tcPr>
          <w:p>
            <w:r>
              <w:t>Play the role of a physician.</w:t>
            </w:r>
          </w:p>
        </w:tc>
        <w:tc>
          <w:tcPr>
            <w:tcW w:type="dxa" w:w="1728"/>
          </w:tcPr>
          <w:p>
            <w:r>
              <w:t>0.1403</w:t>
            </w:r>
          </w:p>
        </w:tc>
        <w:tc>
          <w:tcPr>
            <w:tcW w:type="dxa" w:w="1728"/>
          </w:tcPr>
          <w:p>
            <w:r>
              <w:t>0.2790</w:t>
            </w:r>
          </w:p>
        </w:tc>
        <w:tc>
          <w:tcPr>
            <w:tcW w:type="dxa" w:w="1728"/>
          </w:tcPr>
          <w:p>
            <w:r>
              <w:t>0.3547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 0.001</w:t>
            </w:r>
          </w:p>
        </w:tc>
      </w:tr>
      <w:tr>
        <w:tc>
          <w:tcPr>
            <w:tcW w:type="dxa" w:w="1728"/>
          </w:tcPr>
          <w:p>
            <w:r>
              <w:t>Provide answers as a medical professional.</w:t>
            </w:r>
          </w:p>
        </w:tc>
        <w:tc>
          <w:tcPr>
            <w:tcW w:type="dxa" w:w="1728"/>
          </w:tcPr>
          <w:p>
            <w:r>
              <w:t>0.2493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0.2628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&lt; 0.001</w:t>
            </w:r>
          </w:p>
        </w:tc>
      </w:tr>
    </w:tbl>
    <w:p>
      <w:pPr>
        <w:pStyle w:val="Heading1"/>
      </w:pPr>
      <w:r>
        <w:t>4. Conclusion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S-DBPA addresses a critical flaw in current LLM auditing: the fragility of single-prompt testing. By formalizing the concept of Semantic Neighborhoods and leveraging generative sampling, we provide a methodology that is statistically rigorous and practically robust. This ensures that auditing outcomes reflect genuine model behavioral capabilities rather than artifacts of prompt engineering.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