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Controlled Semantic Sampling: A Robust Auditing Methodology (S-DBPA)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Uriya Cohen-Eliya, Iggy Segev Gal, Yuval Vardi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The evaluation of Large Language Models (LLMs) for specific persona adherence is often brittle, relying on specific prompt formulations that lack semantic robustness. Standard methodologies, such as the Distribution-Based Perturbation Analysis (DBPA), utilize distribution-based distance metrics but fail to account for the inherent high variance of single-prompt perturbations. This paper introduces S-DBPA (Semantic DBPA), a methodology incorporating Controlled Semantic Sampling. We provide a theoretical framework proving the exchangeability of semantic variations under the null hypothesis and demonstrating statistically valid type I error control. Experimental results confirm that S-DBPA achieves superior stability across adversarial wording variations compared to standard approaches.</w:t>
      </w:r>
    </w:p>
    <w:p>
      <w:pPr>
        <w:pStyle w:val="Heading1"/>
      </w:pPr>
      <w:r>
        <w:t>1. Introduction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Modern auditing of LLMs requires robust statistical tools to quantify behavioral shifts induced by personas. A critical limitation of current approaches is their sensitivity to lexical surface forms. 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 prompt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("Act as a doctor") and its semantic equivalent </w:t>
      </w:r>
      <m:oMath>
        <m:sSup>
          <m:e>
            <m:r>
              <m:t>P</m:t>
            </m:r>
          </m:e>
          <m:sup>
            <m:r>
              <m:t>'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("You are a doctor") often yield </w:t>
      </w:r>
      <w:r>
        <w:rPr>
          <w:rFonts w:ascii="Times New Roman" w:hAnsi="Times New Roman" w:eastAsia="Times New Roman"/>
          <w:b w:val="0"/>
          <w:i w:val="0"/>
          <w:sz w:val="24"/>
        </w:rPr>
        <w:t>statistically distinguishable response distributions under standard testing, leading to inconsistent auditing conclusions.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propose </w:t>
      </w:r>
      <w:r>
        <w:rPr>
          <w:rFonts w:ascii="Times New Roman" w:hAnsi="Times New Roman" w:eastAsia="Times New Roman"/>
          <w:b/>
          <w:i w:val="0"/>
          <w:sz w:val="24"/>
        </w:rPr>
        <w:t>S-DBPA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which redefines the unit of analysis from a single prompt to a "Semantic Neighborhood". By integrating a Controlled Semantic Sampling step — generating a distribution of synonymous prompts </w:t>
      </w:r>
      <m:oMath>
        <m:sSub>
          <m:e>
            <m:r>
              <m:t>P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via a paraphrasing model </w:t>
      </w:r>
      <m:oMath>
        <m:r>
          <m:t>ϕ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and filtering via an embedding model </w:t>
      </w:r>
      <m:oMath>
        <m:r>
          <m:t>ψ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— we construct a robust test statistic that is invariant to trivial wording changes.</w:t>
      </w:r>
    </w:p>
    <w:p>
      <w:pPr>
        <w:pStyle w:val="Heading1"/>
      </w:pPr>
      <w:r>
        <w:t>2. Controlled Semantic Sampling: The 4-Step S-DBPA Methodology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introduces a rigorous 4-step process to ensure auditing robustness. This structure was designed to isolate semantic intent from lexical variation: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1: Semantic Neighborhood Generation </w:t>
      </w:r>
      <w:r>
        <w:rPr>
          <w:rFonts w:ascii="Times New Roman" w:hAnsi="Times New Roman" w:eastAsia="Times New Roman"/>
          <w:b/>
          <w:i w:val="0"/>
          <w:sz w:val="24"/>
        </w:rPr>
        <w:t>(</w:t>
      </w:r>
      <m:oMath>
        <m:sSub>
          <m:e>
            <m:r>
              <m:t>P</m:t>
            </m:r>
          </m:e>
          <m:sub>
            <m:r>
              <m:t>raw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sz w:val="24"/>
        </w:rP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first explore the "semantic manifold" of the base prompt by generating a large set of candidate variations using a paraphrasing LLM.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A single prompt is just one point in intent-space. To audit the concept, we must cover the local area.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2: Semantic Filtering </w:t>
      </w:r>
      <w:r>
        <w:rPr>
          <w:rFonts w:ascii="Times New Roman" w:hAnsi="Times New Roman" w:eastAsia="Times New Roman"/>
          <w:b/>
          <w:i w:val="0"/>
          <w:sz w:val="24"/>
        </w:rPr>
        <w:t>(</w:t>
      </w:r>
      <m:oMath>
        <m:sSub>
          <m:e>
            <m:r>
              <m:t>P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sz w:val="24"/>
        </w:rPr>
        <w:br/>
      </w:r>
      <w:r>
        <w:rPr>
          <w:rFonts w:ascii="Times New Roman" w:hAnsi="Times New Roman" w:eastAsia="Times New Roman"/>
          <w:b w:val="0"/>
          <w:i w:val="0"/>
          <w:sz w:val="24"/>
        </w:rPr>
        <w:t>We apply a strict cosine similarity filter (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 using an embedding model to retain only high-quality paraphrases.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Generative models can hallucinate or drift. Filtering ensures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validity by strictly enforcing semantic equivalence.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3: Response Sampling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We sample responses (</w:t>
      </w:r>
      <m:oMath>
        <m:sSup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  <m:sup>
            <m:r>
              <m:t>'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 from the subject model using the filtered set of prompts.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This marginalizes out the noise associated with any specific phrasing, effectively Monte Carlo integrating over the semantic neighborhood.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4: Distributional Statistic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Finally, we compute the Jensen-Shannon Divergence (JSD) between the neighborhood response distribution and the reference distribution.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JSD is a symmetric, smoothed metric ideal for comparing high-dimensional embedding distributions.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Let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the LLM under audit. Let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a base prompt. S-DBPA formalized this sampling stage as follows:</w:t>
      </w:r>
    </w:p>
    <w:p/>
    <w:p/>
    <w:p/>
    <w:p/>
    <w:p>
      <w:pPr>
        <w:pStyle w:val="Heading2"/>
      </w:pPr>
      <w:r>
        <w:t>2.1 Proof of Exchangeability Under Null Hypothesis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To establish the validity of the permutation test used in S-DBPA, we must prove that under the null hypothesis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(that the persona has no effect), the responses from the semantic neighborhood are exchangeable with the reference responses.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Theorem 1 (Semantic Exchangeability):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Let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a set of semantically equivalent prompts such that for any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t>, 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 ∈ 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the conditional distribution of responses </w:t>
      </w:r>
      <m:oMath>
        <m:r>
          <m:t>P(r|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t>) = P(r|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Then the joint distribution of responses generated from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is invariant under permutation with the reference set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Proof: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Assume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implies that the persona instructions in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ignored or irrelevant to the task features. The prompt can be decomposed into </w:t>
      </w:r>
      <m:oMath>
        <m:sSub>
          <m:e>
            <m:r>
              <m:t>x</m:t>
            </m:r>
          </m:e>
          <m:sub>
            <m:r>
              <m:t>task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persona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, </m:t>
        </m:r>
        <m:sSub>
          <m:e>
            <m:r>
              <m:t>x</m:t>
            </m:r>
          </m:e>
          <m:sub>
            <m:r>
              <m:t>persona</m:t>
            </m:r>
          </m:sub>
        </m:sSub>
        <m:r>
          <m:t>) = 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Since standard DBPA assumes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is generated by </w:t>
      </w:r>
      <m:oMath>
        <m:sSub>
          <m:e>
            <m:r>
              <m:t>x</m:t>
            </m:r>
          </m:e>
          <m:sub>
            <m:r>
              <m:t>task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(or a neutral equivalent), then both 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and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i.i.d. samples from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t>(.|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>Therefore, the sequence of random variables (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 is exchangeable. Consequently, the permutation p-value is exact. Q.E.D.</w:t>
      </w:r>
    </w:p>
    <w:p>
      <w:pPr>
        <w:pStyle w:val="Heading2"/>
      </w:pPr>
      <w:r>
        <w:t>2.2 Theoretical Justification for Robustness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Standard DBPA estimates an effect size using the expectation of the distance metric.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This estimator has high variance with respect to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due to token-level sensitivity. </w:t>
      </w:r>
      <w:r>
        <w:rPr>
          <w:rFonts w:ascii="Times New Roman" w:hAnsi="Times New Roman" w:eastAsia="Times New Roman"/>
          <w:b w:val="0"/>
          <w:i w:val="0"/>
          <w:sz w:val="24"/>
        </w:rPr>
        <w:t>S-DBPA estimates the expected effect over the semantic manifold: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By the Law of Large Numbers, as |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>| tends to infinity, the variance of this estimator decreases, providing a stable audit metric.</w:t>
      </w:r>
    </w:p>
    <w:p>
      <w:pPr>
        <w:pStyle w:val="Heading2"/>
      </w:pPr>
      <w:r>
        <w:t>2.3 Experimental Setup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validate our methodology, we utilized the following configuration: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Sample Size: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independent samples per condition.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Subject Model: </w:t>
      </w:r>
      <w:r>
        <w:rPr>
          <w:rFonts w:ascii="Times New Roman" w:hAnsi="Times New Roman" w:eastAsia="Times New Roman"/>
          <w:b w:val="0"/>
          <w:i w:val="0"/>
          <w:sz w:val="24"/>
        </w:rPr>
        <w:t>Qwen/Qwen2.5-1.5B-Instruct (Simulated via HuggingFace Transformers).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Paraphrasing Model: </w:t>
      </w:r>
      <w:r>
        <w:rPr>
          <w:rFonts w:ascii="Times New Roman" w:hAnsi="Times New Roman" w:eastAsia="Times New Roman"/>
          <w:b w:val="0"/>
          <w:i w:val="0"/>
          <w:sz w:val="24"/>
        </w:rPr>
        <w:t>Qwen/Qwen2.5-1.5B-Instruct prompted to generate semantic variations.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Semantic Filter: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sentence-transformers/all-MiniLM-L6-v2 using Cosine Similarity with a threshold of 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Output Embedding Model: </w:t>
      </w:r>
      <w:r>
        <w:rPr>
          <w:rFonts w:ascii="Times New Roman" w:hAnsi="Times New Roman" w:eastAsia="Times New Roman"/>
          <w:b w:val="0"/>
          <w:i w:val="0"/>
          <w:sz w:val="24"/>
        </w:rPr>
        <w:t>sentence-transformers/all-MiniLM-L6-v2 (used for calculating JSD).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Statistic: </w:t>
      </w:r>
      <w:r>
        <w:rPr>
          <w:rFonts w:ascii="Times New Roman" w:hAnsi="Times New Roman" w:eastAsia="Times New Roman"/>
          <w:b w:val="0"/>
          <w:i w:val="0"/>
          <w:sz w:val="24"/>
        </w:rPr>
        <w:t>Jensen-Shannon Divergence (JSD) between response embedding distributions.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Note on Models: While the original DBPA framework utilized text-embedding-ada-002 for output distance measurements, we employed all-MiniLM-L6-v2 for both the semantic filtering and output embedding stages. This design choice was made to ensure a fully local, reproducible evaluation pipeline without dependencies on external proprietary APIs.</w:t>
      </w:r>
    </w:p>
    <w:p>
      <w:pPr>
        <w:pStyle w:val="Heading1"/>
      </w:pPr>
      <w:r>
        <w:t>3. Experimental Results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demonstrate the utility of S-DBPA, we conducted a robustness audit using a "Doctor" persona. The goal was to determine if the auditing metric remains stable across semantically equivalent prompts, as a robust metric should yield consistent p-values regardless of trivial phrasing differences.</w:t>
      </w:r>
    </w:p>
    <w:p>
      <w:pPr>
        <w:pStyle w:val="Heading2"/>
      </w:pPr>
      <w:r>
        <w:t>3.1 Experimental Procedure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compared the standard DBPA baseline against our S-DBPA methodology using the following protocol: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Baseline Prompt (</w:t>
      </w:r>
      <m:oMath>
        <m:sSub>
          <m:e>
            <m:r>
              <m:t>P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): "Act as a doctor."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Manual Variations: </w:t>
      </w:r>
      <w:r>
        <w:rPr>
          <w:rFonts w:ascii="Times New Roman" w:hAnsi="Times New Roman" w:eastAsia="Times New Roman"/>
          <w:b w:val="0"/>
          <w:i w:val="0"/>
          <w:sz w:val="24"/>
        </w:rPr>
        <w:t>We manually created 3 adversarial variations to simulate prompt engineering: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"You are a skilled doctor."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"Play the role of a physician."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"Provide answers as a medical professional."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Reference Group: </w:t>
      </w:r>
      <w:r>
        <w:rPr>
          <w:rFonts w:ascii="Times New Roman" w:hAnsi="Times New Roman" w:eastAsia="Times New Roman"/>
          <w:b w:val="0"/>
          <w:i w:val="0"/>
          <w:sz w:val="24"/>
        </w:rPr>
        <w:t>A shared "Neutral" reference generated by the prompt "John" (representing a generic unconditioned persona).</w:t>
      </w:r>
    </w:p>
    <w:p>
      <w:r>
        <w:t>For each variation, we ran both methodologies: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1. Standard DBPA: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sampled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responses directly from the prompt variation and compared them to the neutral reference.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2. S-DBPA (Ours): </w:t>
      </w:r>
      <w:r>
        <w:rPr>
          <w:rFonts w:ascii="Times New Roman" w:hAnsi="Times New Roman" w:eastAsia="Times New Roman"/>
          <w:b w:val="0"/>
          <w:i w:val="0"/>
          <w:sz w:val="24"/>
        </w:rPr>
        <w:t>We generated a semantic neighborhood around the prompt variation, filtered for meaning (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), and then sampled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responses from this neighborhood.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Visual Analysis: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1: Comparison of P-Value Stability (Log Scale) between DBPA and S-DBPA.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2: Comparison of Effect Size (JSD) between DBPA and S-DBPA.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As shown in Figure 1,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Standard DBPA exhibits significant volatility, with p-values fluctuating widely between variations. </w:t>
      </w:r>
      <w:r>
        <w:rPr>
          <w:rFonts w:ascii="Times New Roman" w:hAnsi="Times New Roman" w:eastAsia="Times New Roman"/>
          <w:b w:val="0"/>
          <w:i w:val="0"/>
          <w:sz w:val="24"/>
        </w:rPr>
        <w:t>In contrast, S-DBPA maintains a consistent signal, effectively smoothing out the noise introduced by specific wording choices.</w:t>
      </w:r>
    </w:p>
    <w:p>
      <w:pPr>
        <w:pStyle w:val="Heading2"/>
      </w:pPr>
      <w:r>
        <w:t>3.2 Quantitative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Prompt Variation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JSD (</w:t>
            </w:r>
            <m:oMath>
              <m:r>
                <m:t>ω</m:t>
              </m:r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P-Value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JSD (</w:t>
            </w:r>
            <m:oMath>
              <m:r>
                <m:t>ω</m:t>
              </m:r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P-Value</w:t>
            </w:r>
          </w:p>
        </w:tc>
      </w:tr>
      <w:tr>
        <w:tc>
          <w:tcPr>
            <w:tcW w:type="dxa" w:w="1728"/>
          </w:tcPr>
          <w:p>
            <w:r>
              <w:t>Act as a doctor.</w:t>
            </w:r>
          </w:p>
        </w:tc>
        <w:tc>
          <w:tcPr>
            <w:tcW w:type="dxa" w:w="1728"/>
          </w:tcPr>
          <w:p>
            <w:r>
              <w:t>0.2248</w:t>
            </w:r>
          </w:p>
        </w:tc>
        <w:tc>
          <w:tcPr>
            <w:tcW w:type="dxa" w:w="1728"/>
          </w:tcPr>
          <w:p>
            <w:r>
              <w:t>0.0010</w:t>
            </w:r>
          </w:p>
        </w:tc>
        <w:tc>
          <w:tcPr>
            <w:tcW w:type="dxa" w:w="1728"/>
          </w:tcPr>
          <w:p>
            <w:r>
              <w:t>0.3078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You are a skilled doctor.</w:t>
            </w:r>
          </w:p>
        </w:tc>
        <w:tc>
          <w:tcPr>
            <w:tcW w:type="dxa" w:w="1728"/>
          </w:tcPr>
          <w:p>
            <w:r>
              <w:t>0.1255</w:t>
            </w:r>
          </w:p>
        </w:tc>
        <w:tc>
          <w:tcPr>
            <w:tcW w:type="dxa" w:w="1728"/>
          </w:tcPr>
          <w:p>
            <w:r>
              <w:t>0.6230</w:t>
            </w:r>
          </w:p>
        </w:tc>
        <w:tc>
          <w:tcPr>
            <w:tcW w:type="dxa" w:w="1728"/>
          </w:tcPr>
          <w:p>
            <w:r>
              <w:t>0.3375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Play the role of a physician.</w:t>
            </w:r>
          </w:p>
        </w:tc>
        <w:tc>
          <w:tcPr>
            <w:tcW w:type="dxa" w:w="1728"/>
          </w:tcPr>
          <w:p>
            <w:r>
              <w:t>0.1403</w:t>
            </w:r>
          </w:p>
        </w:tc>
        <w:tc>
          <w:tcPr>
            <w:tcW w:type="dxa" w:w="1728"/>
          </w:tcPr>
          <w:p>
            <w:r>
              <w:t>0.2790</w:t>
            </w:r>
          </w:p>
        </w:tc>
        <w:tc>
          <w:tcPr>
            <w:tcW w:type="dxa" w:w="1728"/>
          </w:tcPr>
          <w:p>
            <w:r>
              <w:t>0.3547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Provide answers as a medical professional.</w:t>
            </w:r>
          </w:p>
        </w:tc>
        <w:tc>
          <w:tcPr>
            <w:tcW w:type="dxa" w:w="1728"/>
          </w:tcPr>
          <w:p>
            <w:r>
              <w:t>0.2493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0.2628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pPr>
        <w:pStyle w:val="Heading1"/>
      </w:pPr>
      <w:r>
        <w:t>4. Conclusion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addresses a critical flaw in current LLM auditing: the fragility of single-prompt testing. By formalizing the concept of Semantic Neighborhoods and leveraging generative sampling, we provide a methodology that is statistically rigorous and practically robust. This ensures that auditing outcomes reflect genuine model behavioral capabilities rather than artifacts of prompt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m:oMathPara>
      <m:oMath>
        <m:r>
          <m:t>1. </m:t>
        </m:r>
        <m:sSub>
          <m:e>
            <m:r>
              <m:t>P</m:t>
            </m:r>
          </m:e>
          <m:sub>
            <m:r>
              <m:t>raw</m:t>
            </m:r>
          </m:sub>
        </m:sSub>
        <m:r>
          <m:t> = {</m:t>
        </m:r>
        <m:sSub>
          <m:e>
            <m:sSup>
              <m:e>
                <m:r>
                  <m:t>p</m:t>
                </m:r>
              </m:e>
              <m:sup>
                <m:r>
                  <m:t>'</m:t>
                </m:r>
              </m:sup>
            </m:sSup>
          </m:e>
          <m:sub>
            <m:r>
              <m:t>1</m:t>
            </m:r>
          </m:sub>
        </m:sSub>
        <m:r>
          <m:t>, ..., </m:t>
        </m:r>
        <m:sSub>
          <m:e>
            <m:sSup>
              <m:e>
                <m:r>
                  <m:t>p</m:t>
                </m:r>
              </m:e>
              <m:sup>
                <m:r>
                  <m:t>'</m:t>
                </m:r>
              </m:sup>
            </m:sSup>
          </m:e>
          <m:sub>
            <m:r>
              <m:t>N</m:t>
            </m:r>
          </m:sub>
        </m:sSub>
        <m:r>
          <m:t>} ~ Generator(p)</m:t>
        </m:r>
      </m:oMath>
    </m:oMathPara>
    <m:oMathPara>
      <m:oMath>
        <m:r>
          <m:t>2. </m:t>
        </m:r>
        <m:sSub>
          <m:e>
            <m:r>
              <m:t>P</m:t>
            </m:r>
          </m:e>
          <m:sub>
            <m:r>
              <m:t>sem</m:t>
            </m:r>
          </m:sub>
        </m:sSub>
        <m:r>
          <m:t> = {x ∈ </m:t>
        </m:r>
        <m:sSub>
          <m:e>
            <m:r>
              <m:t>P</m:t>
            </m:r>
          </m:e>
          <m:sub>
            <m:r>
              <m:t>raw</m:t>
            </m:r>
          </m:sub>
        </m:sSub>
        <m:r>
          <m:t> | cos(ψ(x), ψ(p)) &gt; τ}</m:t>
        </m:r>
      </m:oMath>
    </m:oMathPara>
    <m:oMathPara>
      <m:oMath>
        <m:r>
          <m:t>3. ∀</m:t>
        </m:r>
        <m:sSub>
          <m:e>
            <m:sSup>
              <m:e>
                <m:r>
                  <m:t>p</m:t>
                </m:r>
              </m:e>
              <m:sup>
                <m:r>
                  <m:t>'</m:t>
                </m:r>
              </m:sup>
            </m:sSup>
          </m:e>
          <m:sub>
            <m:r>
              <m:t>i</m:t>
            </m:r>
          </m:sub>
        </m:sSub>
        <m:r>
          <m:t> ∈ </m:t>
        </m:r>
        <m:sSub>
          <m:e>
            <m:r>
              <m:t>P</m:t>
            </m:r>
          </m:e>
          <m:sub>
            <m:r>
              <m:t>sem</m:t>
            </m:r>
          </m:sub>
        </m:sSub>
        <m:r>
          <m:t>, </m:t>
        </m:r>
        <m:sSub>
          <m:e>
            <m:sSup>
              <m:e>
                <m:r>
                  <m:t>r</m:t>
                </m:r>
              </m:e>
              <m:sup>
                <m:r>
                  <m:t>'</m:t>
                </m:r>
              </m:sup>
            </m:sSup>
          </m:e>
          <m:sub>
            <m:r>
              <m:t>i</m:t>
            </m:r>
          </m:sub>
        </m:sSub>
        <m:r>
          <m:t> ~ 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t>(</m:t>
        </m:r>
        <m:sSub>
          <m:e>
            <m:sSup>
              <m:e>
                <m:r>
                  <m:t>p</m:t>
                </m:r>
              </m:e>
              <m:sup>
                <m:r>
                  <m:t>'</m:t>
                </m:r>
              </m:sup>
            </m:sSup>
          </m:e>
          <m:sub>
            <m:r>
              <m:t>i</m:t>
            </m:r>
          </m:sub>
        </m:sSub>
        <m:r>
          <m:t>)</m:t>
        </m:r>
      </m:oMath>
    </m:oMathPara>
    <m:oMathPara>
      <m:oMath>
        <m:r>
          <m:t>4. Statistic: T({</m:t>
        </m:r>
        <m:sSub>
          <m:e>
            <m:sSup>
              <m:e>
                <m:r>
                  <m:t>r</m:t>
                </m:r>
              </m:e>
              <m:sup>
                <m:r>
                  <m:t>'</m:t>
                </m:r>
              </m:sup>
            </m:sSup>
          </m:e>
          <m:sub>
            <m:r>
              <m:t>i</m:t>
            </m:r>
          </m:sub>
        </m:sSub>
        <m:r>
          <m:t>}, </m:t>
        </m:r>
        <m:sSub>
          <m:e>
            <m:r>
              <m:t>R</m:t>
            </m:r>
          </m:e>
          <m:sub>
            <m:r>
              <m:t>ref</m:t>
            </m:r>
          </m:sub>
        </m:sSub>
        <m:r>
          <m:t>)</m:t>
        </m:r>
      </m:oMath>
    </m:oMathPara>
    <m:oMathPara>
      <m:oMath>
        <m:sSub>
          <m:e>
            <m:r>
              <m:t>ω</m:t>
            </m:r>
          </m:e>
          <m:sub>
            <m:r>
              <m:t>S</m:t>
            </m:r>
          </m:sub>
        </m:sSub>
        <m:r>
          <m:t> = </m:t>
        </m:r>
        <m:sSub>
          <m:e>
            <m:r>
              <m:t>E</m:t>
            </m:r>
          </m:e>
          <m:sub>
            <m:r>
              <m:t>p~S</m:t>
            </m:r>
          </m:sub>
        </m:sSub>
        <m:d>
          <m:dPr>
            <m:begChr m:val="["/>
            <m:endChr m:val="]"/>
          </m:dPr>
          <m:e>
            <m:r>
              <m:t> E </m:t>
            </m:r>
            <m:d>
              <m:dPr>
                <m:begChr m:val="["/>
                <m:endChr m:val="]"/>
              </m:dPr>
              <m:e>
                <m:r>
                  <m:t>D(</m:t>
                </m:r>
                <m:sSub>
                  <m:e>
                    <m:r>
                      <m:t>r</m:t>
                    </m:r>
                  </m:e>
                  <m:sub>
                    <m:r>
                      <m:t>p</m:t>
                    </m:r>
                  </m:sub>
                </m:sSub>
                <m:r>
                  <m:t>, </m:t>
                </m:r>
                <m:sSub>
                  <m:e>
                    <m:r>
                      <m:t>r</m:t>
                    </m:r>
                  </m:e>
                  <m:sub>
                    <m:r>
                      <m:t>ref</m:t>
                    </m:r>
                  </m:sub>
                </m:sSub>
                <m:r>
                  <m:t>)</m:t>
                </m:r>
              </m:e>
            </m:d>
          </m:e>
        </m:d>
      </m:oMath>
    </m:oMathPara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