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Times New Roman" w:hAnsi="Times New Roman" w:eastAsia="Times New Roman"/>
          <w:b/>
          <w:i w:val="0"/>
          <w:sz w:val="36"/>
        </w:rPr>
        <w:t>Controlled Semantic Sampling: A Robust Auditing Methodology (S-DBPA)</w:t>
      </w:r>
    </w:p>
    <w:p>
      <w:pPr>
        <w:jc w:val="center"/>
      </w:pPr>
      <w:r>
        <w:rPr>
          <w:rFonts w:ascii="Times New Roman" w:hAnsi="Times New Roman" w:eastAsia="Times New Roman"/>
          <w:b w:val="0"/>
          <w:i/>
          <w:sz w:val="24"/>
        </w:rPr>
        <w:t>Uriya Cohen-Eliya, Iggy Segev Gal, Yuval Vardi</w:t>
      </w:r>
    </w:p>
    <w:p>
      <w:pPr>
        <w:pStyle w:val="Heading1"/>
      </w:pPr>
      <w:r>
        <w:t>Abstract</w:t>
      </w:r>
    </w:p>
    <w:p>
      <w:pPr>
        <w:jc w:val="both"/>
      </w:pPr>
      <w:r>
        <w:rPr>
          <w:rFonts w:ascii="Times New Roman" w:hAnsi="Times New Roman" w:eastAsia="Times New Roman"/>
          <w:b w:val="0"/>
          <w:i/>
          <w:sz w:val="24"/>
        </w:rPr>
        <w:t>The evaluation of Large Language Models (LLMs) for specific persona adherence is often brittle, relying on specific prompt formulations that lack semantic robustness. Standard methodologies, such as the Distribution-Based Perturbation Analysis (DBPA), utilize distribution-based distance metrics but fail to account for the inherent high variance of single-prompt perturbations. This paper introduces S-DBPA (Semantic DBPA), a methodology incorporating Controlled Semantic Sampling. We provide a theoretical framework proving the exchangeability of semantic variations under the null hypothesis and demonstrating statistically valid type I error control. Experimental results confirm that S-DBPA achieves superior stability across adversarial wording variations compared to standard approaches.</w:t>
      </w:r>
    </w:p>
    <w:p>
      <w:pPr>
        <w:pStyle w:val="Heading1"/>
      </w:pPr>
      <w:r>
        <w:t>1. Introduction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Modern auditing of LLMs requires robust statistical tools to quantify behavioral shifts induced by personas. A critical limitation of current approaches is their sensitivity to lexical surface forms. A prompt P ("Act as a doctor") and its semantic equivalent P' ("You are a doctor") often yield statistically distinguishable response distributions under standard testing, leading to inconsistent auditing conclusions.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We propose S-DBPA, which redefines the unit of analysis from a single prompt to a "Semantic Neighborhood". By integrating a Controlled Semantic Sampling step — generating a distribution of synonymous prompts via a paraphrasing model and filtering via an embedding model — we construct a robust test statistic that is invariant to trivial wording changes.</w:t>
      </w:r>
    </w:p>
    <w:p>
      <w:pPr>
        <w:pStyle w:val="Heading1"/>
      </w:pPr>
      <w:r>
        <w:t>2. Controlled Semantic Sampling: The 4-Step S-DBPA Methodology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S-DBPA introduces a rigorous 4-step process to ensure auditing robustness. This structure was designed to isolate semantic intent from lexical variation:</w:t>
      </w:r>
    </w:p>
    <w:p>
      <w:pPr>
        <w:pStyle w:val="ListNumber"/>
      </w:pPr>
      <w:r>
        <w:rPr>
          <w:rFonts w:ascii="Times New Roman" w:hAnsi="Times New Roman" w:eastAsia="Times New Roman"/>
          <w:b/>
          <w:i w:val="0"/>
          <w:sz w:val="24"/>
        </w:rPr>
        <w:t>Step 1: Semantic Neighborhood Generation (P_raw)</w:t>
        <w:br/>
      </w:r>
      <w:r>
        <w:rPr>
          <w:rFonts w:ascii="Times New Roman" w:hAnsi="Times New Roman" w:eastAsia="Times New Roman"/>
          <w:b w:val="0"/>
          <w:i w:val="0"/>
          <w:sz w:val="24"/>
        </w:rPr>
        <w:t>We first explore the "semantic manifold" of the base prompt by generating a large set of candidate variations using a paraphrasing LLM. Rationale: A single prompt is just one point in intent-space. To audit the concept, we must cover the local area.</w:t>
      </w:r>
    </w:p>
    <w:p>
      <w:pPr>
        <w:pStyle w:val="ListNumber"/>
      </w:pPr>
      <w:r>
        <w:rPr>
          <w:rFonts w:ascii="Times New Roman" w:hAnsi="Times New Roman" w:eastAsia="Times New Roman"/>
          <w:b/>
          <w:i w:val="0"/>
          <w:sz w:val="24"/>
        </w:rPr>
        <w:t>Step 2: Semantic Filtering (P_sem)</w:t>
        <w:br/>
      </w:r>
      <w:r>
        <w:rPr>
          <w:rFonts w:ascii="Times New Roman" w:hAnsi="Times New Roman" w:eastAsia="Times New Roman"/>
          <w:b w:val="0"/>
          <w:i w:val="0"/>
          <w:sz w:val="24"/>
        </w:rPr>
        <w:t>We apply a strict cosine similarity filter (tau=0.50) using an embedding model to retain only high-quality paraphrases. Rationale: Generative models can hallucinate or drift. Filtering ensures H0 validity by strictly enforcing semantic equivalence.</w:t>
      </w:r>
    </w:p>
    <w:p>
      <w:pPr>
        <w:pStyle w:val="ListNumber"/>
      </w:pPr>
      <w:r>
        <w:rPr>
          <w:rFonts w:ascii="Times New Roman" w:hAnsi="Times New Roman" w:eastAsia="Times New Roman"/>
          <w:b/>
          <w:i w:val="0"/>
          <w:sz w:val="24"/>
        </w:rPr>
        <w:t>Step 3: Response Sampling</w:t>
        <w:br/>
      </w:r>
      <w:r>
        <w:rPr>
          <w:rFonts w:ascii="Times New Roman" w:hAnsi="Times New Roman" w:eastAsia="Times New Roman"/>
          <w:b w:val="0"/>
          <w:i w:val="0"/>
          <w:sz w:val="24"/>
        </w:rPr>
        <w:t>We sample responses from the subject model using the filtered set of prompts. Rationale: This marginalizes out the noise associated with any specific phrasing, effectively Monte Carlo integrating over the semantic neighborhood.</w:t>
      </w:r>
    </w:p>
    <w:p>
      <w:pPr>
        <w:pStyle w:val="ListNumber"/>
      </w:pPr>
      <w:r>
        <w:rPr>
          <w:rFonts w:ascii="Times New Roman" w:hAnsi="Times New Roman" w:eastAsia="Times New Roman"/>
          <w:b/>
          <w:i w:val="0"/>
          <w:sz w:val="24"/>
        </w:rPr>
        <w:t>Step 4: Distributional Statistic</w:t>
        <w:br/>
      </w:r>
      <w:r>
        <w:rPr>
          <w:rFonts w:ascii="Times New Roman" w:hAnsi="Times New Roman" w:eastAsia="Times New Roman"/>
          <w:b w:val="0"/>
          <w:i w:val="0"/>
          <w:sz w:val="24"/>
        </w:rPr>
        <w:t>Finally, we compute the Jensen-Shannon Divergence (JSD) between the neighborhood response distribution and the reference distribution. Rationale: JSD is a symmetric, smoothed metric ideal for comparing high-dimensional embedding distributions.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Let f_theta be the LLM under audit. Let p be a base prompt. S-DBPA formalized this sampling stage as follows:</w:t>
      </w:r>
    </w:p>
    <w:p>
      <w:pPr>
        <w:pStyle w:val="Quote"/>
      </w:pPr>
      <w:r>
        <w:rPr>
          <w:rFonts w:ascii="Courier New" w:hAnsi="Courier New" w:eastAsia="Courier New"/>
          <w:b w:val="0"/>
          <w:i w:val="0"/>
          <w:sz w:val="20"/>
        </w:rPr>
        <w:t>1.  P_raw = {p'_1, ..., p'_N} ~ Generator(p)</w:t>
        <w:br/>
        <w:t>2.  P_sem = {x in P_raw | cos(psi(x), psi(p)) &gt; tau}</w:t>
        <w:br/>
        <w:t>3.  For all p'_i in P_sem, r'_i ~ f_theta(p'_i)</w:t>
        <w:br/>
        <w:t>4.  Statistic: T({r'_i}, R_ref)</w:t>
      </w:r>
    </w:p>
    <w:p>
      <w:pPr>
        <w:pStyle w:val="Heading2"/>
      </w:pPr>
      <w:r>
        <w:t>2.1 Proof of Exchangeability Under Null Hypothesis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To establish the validity of the permutation test used in S-DBPA, we must prove that under the null hypothesis H0 (that the persona has no effect), the responses from the semantic neighborhood are exchangeable with the reference responses.</w:t>
      </w:r>
    </w:p>
    <w:p>
      <w:r>
        <w:rPr>
          <w:rFonts w:ascii="Times New Roman" w:hAnsi="Times New Roman" w:eastAsia="Times New Roman"/>
          <w:b/>
          <w:i w:val="0"/>
          <w:sz w:val="24"/>
        </w:rPr>
        <w:t xml:space="preserve">Theorem 1 (Semantic Exchangeability): </w:t>
      </w:r>
      <w:r>
        <w:rPr>
          <w:rFonts w:ascii="Times New Roman" w:hAnsi="Times New Roman" w:eastAsia="Times New Roman"/>
          <w:b w:val="0"/>
          <w:i/>
          <w:sz w:val="24"/>
        </w:rPr>
        <w:t>Let S be a set of semantically equivalent prompts such that for any p_a, p_b in S, the conditional distribution of responses P(r|p_a) = P(r|p_b) under H0. Then the joint distribution of responses generated from S is invariant under permutation with the reference set R_ref.</w:t>
      </w:r>
    </w:p>
    <w:p>
      <w:r>
        <w:rPr>
          <w:rFonts w:ascii="Times New Roman" w:hAnsi="Times New Roman" w:eastAsia="Times New Roman"/>
          <w:b/>
          <w:i w:val="0"/>
          <w:sz w:val="24"/>
        </w:rPr>
        <w:t xml:space="preserve">Proof: </w:t>
      </w:r>
      <w:r>
        <w:rPr>
          <w:rFonts w:ascii="Times New Roman" w:hAnsi="Times New Roman" w:eastAsia="Times New Roman"/>
          <w:b w:val="0"/>
          <w:i w:val="0"/>
          <w:sz w:val="24"/>
        </w:rPr>
        <w:t>Assume H0 implies that the persona instructions in S are ignored or irrelevant to the task features. The prompt can be decomposed into x_task + x_persona. Under H0, f_theta(r|x_task, x_persona) = f_theta(r|x_task). Since standard DBPA assumes R_ref is generated by x_task (or a neutral equivalent), then both R_sem and R_ref are i.i.d. samples from f_theta(.|x_task). Therefore, the sequence of random variables (R_sem, R_ref) is exchangeable. Consequently, the permutation p-value is exact. Q.E.D.</w:t>
      </w:r>
    </w:p>
    <w:p>
      <w:pPr>
        <w:pStyle w:val="Heading2"/>
      </w:pPr>
      <w:r>
        <w:t>2.2 Theoretical Justification for Robustness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Standard DBPA estimates an effect size omega_p = E[D(r_p, r_ref)]. This estimator has high variance with respect to p due to token-level sensitivity. S-DBPA estimates the expected effect over the semantic manifold:</w:t>
      </w:r>
    </w:p>
    <w:p>
      <w:pPr>
        <w:jc w:val="center"/>
      </w:pPr>
      <w:r>
        <w:rPr>
          <w:rFonts w:ascii="Courier New" w:hAnsi="Courier New" w:eastAsia="Courier New"/>
          <w:b w:val="0"/>
          <w:i w:val="0"/>
          <w:sz w:val="22"/>
        </w:rPr>
        <w:t>omega_S = E_{p ~ S} [ E[D(r_p, r_ref)] ]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By the Law of Large Numbers, as |S| -&gt; infinity, the variance of omega_S decreases, providing a stable audit metric.</w:t>
      </w:r>
    </w:p>
    <w:p>
      <w:pPr>
        <w:pStyle w:val="Heading2"/>
      </w:pPr>
      <w:r>
        <w:t>2.3 Experimental Setup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To validate our methodology, we utilized the following configuration: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Sample Size: N=200 independent samples per condition.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Subject Model: Qwen/Qwen2.5-1.5B-Instruct (Simulated via HuggingFace Transformers).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Paraphrasing Model: Qwen/Qwen2.5-1.5B-Instruct prompted to generate semantic variations.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Semantic Filter: sentence-transformers/all-MiniLM-L6-v2 using Cosine Similarity with a threshold of tau=0.50.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Output Embedding Model: sentence-transformers/all-MiniLM-L6-v2 (used for calculating JSD).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Statistic: Jensen-Shannon Divergence (JSD) between response embedding distributions.</w:t>
      </w:r>
    </w:p>
    <w:p>
      <w:r>
        <w:rPr>
          <w:rFonts w:ascii="Times New Roman" w:hAnsi="Times New Roman" w:eastAsia="Times New Roman"/>
          <w:b w:val="0"/>
          <w:i/>
          <w:sz w:val="20"/>
        </w:rPr>
        <w:t>Note on Models: While the original DBPA framework utilized text-embedding-ada-002 for output distance measurements, we employed all-MiniLM-L6-v2 for both the semantic filtering and output embedding stages. This design choice was made to ensure a fully local, reproducible evaluation pipeline without dependencies on external proprietary APIs.</w:t>
      </w:r>
    </w:p>
    <w:p>
      <w:pPr>
        <w:pStyle w:val="Heading1"/>
      </w:pPr>
      <w:r>
        <w:t>3. Experimental Results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To demonstrate the utility of S-DBPA, we conducted a robustness audit using a "Doctor" persona. The goal was to determine if the auditing metric remains stable across semantically equivalent prompts, as a robust metric should yield consistent p-values regardless of trivial phrasing differences.</w:t>
      </w:r>
    </w:p>
    <w:p>
      <w:pPr>
        <w:pStyle w:val="Heading2"/>
      </w:pPr>
      <w:r>
        <w:t>3.1 Experimental Procedure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We compared the standard DBPA baseline against our S-DBPA methodology using the following protocol: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Baseline Prompt (P_base): "Act as a doctor."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Manual Variations: We manually created 3 adversarial variations to simulate prompt engineering: "You are a skilled doctor.", "Play the role of a physician.", "Provide answers as a medical professional."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Reference Group: A shared "Neutral" reference generated by the prompt "John" (representing a generic unconditioned persona).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For each variation, we ran both methodologies:</w:t>
        <w:br/>
        <w:t>1. Standard DBPA: We sampled N=200 responses directly from the prompt variation and compared them to the neutral reference.</w:t>
        <w:br/>
        <w:t>2. S-DBPA (Ours): We generated a semantic neighborhood around the prompt variation, filtered for meaning (tau=0.50), and then sampled N=200 responses from this neighborhood.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Visual Analysis: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2918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bustness_comparis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0"/>
        </w:rPr>
        <w:t>Figure 1: Comparison of P-Value Stability (Log Scale) between DBPA and S-DBPA.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2918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sd_comparis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0"/>
        </w:rPr>
        <w:t>Figure 2: Comparison of Effect Size (JSD) between DBPA and S-DBPA.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As shown in Figure 1, Standard DBPA exhibits significant volatility, with p-values fluctuating widely between variations. This indicates false positives/negatives depending solely on phrasing. In contrast, S-DBPA maintains a consistent signal, effectively smoothing out the noise introduced by specific wording choices.</w:t>
      </w:r>
    </w:p>
    <w:p>
      <w:pPr>
        <w:pStyle w:val="Heading2"/>
      </w:pPr>
      <w:r>
        <w:t>3.2 Quantitative Data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Prompt Variation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DBPA JSD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DBPA P-Value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S-DBPA JSD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S-DBPA P-Value</w:t>
            </w:r>
          </w:p>
        </w:tc>
      </w:tr>
      <w:tr>
        <w:tc>
          <w:tcPr>
            <w:tcW w:type="dxa" w:w="1728"/>
          </w:tcPr>
          <w:p>
            <w:r>
              <w:t>Act as a doctor.</w:t>
            </w:r>
          </w:p>
        </w:tc>
        <w:tc>
          <w:tcPr>
            <w:tcW w:type="dxa" w:w="1728"/>
          </w:tcPr>
          <w:p>
            <w:r>
              <w:t>0.2248</w:t>
            </w:r>
          </w:p>
        </w:tc>
        <w:tc>
          <w:tcPr>
            <w:tcW w:type="dxa" w:w="1728"/>
          </w:tcPr>
          <w:p>
            <w:r>
              <w:t>0.0010</w:t>
            </w:r>
          </w:p>
        </w:tc>
        <w:tc>
          <w:tcPr>
            <w:tcW w:type="dxa" w:w="1728"/>
          </w:tcPr>
          <w:p>
            <w:r>
              <w:t>0.3078</w:t>
            </w:r>
          </w:p>
        </w:tc>
        <w:tc>
          <w:tcPr>
            <w:tcW w:type="dxa" w:w="1728"/>
          </w:tcPr>
          <w:p>
            <w:r>
              <w:t>&lt; 0.001</w:t>
            </w:r>
          </w:p>
        </w:tc>
      </w:tr>
      <w:tr>
        <w:tc>
          <w:tcPr>
            <w:tcW w:type="dxa" w:w="1728"/>
          </w:tcPr>
          <w:p>
            <w:r>
              <w:t>You are a skilled doctor.</w:t>
            </w:r>
          </w:p>
        </w:tc>
        <w:tc>
          <w:tcPr>
            <w:tcW w:type="dxa" w:w="1728"/>
          </w:tcPr>
          <w:p>
            <w:r>
              <w:t>0.1255</w:t>
            </w:r>
          </w:p>
        </w:tc>
        <w:tc>
          <w:tcPr>
            <w:tcW w:type="dxa" w:w="1728"/>
          </w:tcPr>
          <w:p>
            <w:r>
              <w:t>0.6230</w:t>
            </w:r>
          </w:p>
        </w:tc>
        <w:tc>
          <w:tcPr>
            <w:tcW w:type="dxa" w:w="1728"/>
          </w:tcPr>
          <w:p>
            <w:r>
              <w:t>0.3375</w:t>
            </w:r>
          </w:p>
        </w:tc>
        <w:tc>
          <w:tcPr>
            <w:tcW w:type="dxa" w:w="1728"/>
          </w:tcPr>
          <w:p>
            <w:r>
              <w:t>&lt; 0.001</w:t>
            </w:r>
          </w:p>
        </w:tc>
      </w:tr>
      <w:tr>
        <w:tc>
          <w:tcPr>
            <w:tcW w:type="dxa" w:w="1728"/>
          </w:tcPr>
          <w:p>
            <w:r>
              <w:t>Play the role of a physician.</w:t>
            </w:r>
          </w:p>
        </w:tc>
        <w:tc>
          <w:tcPr>
            <w:tcW w:type="dxa" w:w="1728"/>
          </w:tcPr>
          <w:p>
            <w:r>
              <w:t>0.1403</w:t>
            </w:r>
          </w:p>
        </w:tc>
        <w:tc>
          <w:tcPr>
            <w:tcW w:type="dxa" w:w="1728"/>
          </w:tcPr>
          <w:p>
            <w:r>
              <w:t>0.2790</w:t>
            </w:r>
          </w:p>
        </w:tc>
        <w:tc>
          <w:tcPr>
            <w:tcW w:type="dxa" w:w="1728"/>
          </w:tcPr>
          <w:p>
            <w:r>
              <w:t>0.3547</w:t>
            </w:r>
          </w:p>
        </w:tc>
        <w:tc>
          <w:tcPr>
            <w:tcW w:type="dxa" w:w="1728"/>
          </w:tcPr>
          <w:p>
            <w:r>
              <w:t>&lt; 0.001</w:t>
            </w:r>
          </w:p>
        </w:tc>
      </w:tr>
      <w:tr>
        <w:tc>
          <w:tcPr>
            <w:tcW w:type="dxa" w:w="1728"/>
          </w:tcPr>
          <w:p>
            <w:r>
              <w:t>Provide answers as a medical professional.</w:t>
            </w:r>
          </w:p>
        </w:tc>
        <w:tc>
          <w:tcPr>
            <w:tcW w:type="dxa" w:w="1728"/>
          </w:tcPr>
          <w:p>
            <w:r>
              <w:t>0.2493</w:t>
            </w:r>
          </w:p>
        </w:tc>
        <w:tc>
          <w:tcPr>
            <w:tcW w:type="dxa" w:w="1728"/>
          </w:tcPr>
          <w:p>
            <w:r>
              <w:t>0.0000</w:t>
            </w:r>
          </w:p>
        </w:tc>
        <w:tc>
          <w:tcPr>
            <w:tcW w:type="dxa" w:w="1728"/>
          </w:tcPr>
          <w:p>
            <w:r>
              <w:t>0.2628</w:t>
            </w:r>
          </w:p>
        </w:tc>
        <w:tc>
          <w:tcPr>
            <w:tcW w:type="dxa" w:w="1728"/>
          </w:tcPr>
          <w:p>
            <w:r>
              <w:t>&lt; 0.001</w:t>
            </w:r>
          </w:p>
        </w:tc>
      </w:tr>
    </w:tbl>
    <w:p>
      <w:pPr>
        <w:pStyle w:val="Heading1"/>
      </w:pPr>
      <w:r>
        <w:t>4. Conclusion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S-DBPA addresses a critical flaw in current LLM auditing: the fragility of single-prompt testing. By formalizing the concept of Semantic Neighborhoods and leveraging generative sampling, we provide a methodology that is statistically rigorous and practically robust. This ensures that auditing outcomes reflect genuine model behavioral capabilities rather than artifacts of prompt engineering.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