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F52C8" w14:textId="77777777" w:rsidR="000F0DC7" w:rsidRPr="000F0DC7" w:rsidRDefault="000F0DC7" w:rsidP="000F0D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F0DC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Анализ зависимости проводимости от объёмной доли УНТ</w:t>
      </w:r>
    </w:p>
    <w:p w14:paraId="3267C224" w14:textId="77777777" w:rsidR="00821474" w:rsidRDefault="000F0DC7" w:rsidP="000F0DC7">
      <w:pPr>
        <w:spacing w:before="100" w:beforeAutospacing="1" w:after="100" w:afterAutospacing="1" w:line="240" w:lineRule="auto"/>
        <w:rPr>
          <w:noProof/>
        </w:rPr>
      </w:pPr>
      <w:r w:rsidRPr="000F0DC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изучения перколяционных свойств композита была исследована зависимость электрической проводимости σ от объёмной доли углеродных нанотрубок φ. На рис. 1 представлена зависимость log₁₀(σ) от φ, демонстрирующая характерную S-образную кривую перколяционного перехода.</w:t>
      </w:r>
      <w:r w:rsidR="00821474" w:rsidRPr="00821474">
        <w:rPr>
          <w:noProof/>
        </w:rPr>
        <w:t xml:space="preserve"> </w:t>
      </w:r>
    </w:p>
    <w:p w14:paraId="3927C1E3" w14:textId="436C723F" w:rsidR="000F0DC7" w:rsidRDefault="00821474" w:rsidP="000F0DC7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drawing>
          <wp:inline distT="0" distB="0" distL="0" distR="0" wp14:anchorId="58890407" wp14:editId="7C10753F">
            <wp:extent cx="5731510" cy="3925570"/>
            <wp:effectExtent l="0" t="0" r="2540" b="1778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FC006C5-86DC-43E8-9982-E4F513EC438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3BDA81FB" w14:textId="34103F7F" w:rsidR="00821474" w:rsidRPr="000F0DC7" w:rsidRDefault="00821474" w:rsidP="0082147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474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Рис. 1</w:t>
      </w:r>
      <w:r>
        <w:rPr>
          <w:noProof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Pr="000F0DC7">
        <w:rPr>
          <w:rFonts w:ascii="Times New Roman" w:eastAsia="Times New Roman" w:hAnsi="Times New Roman" w:cs="Times New Roman"/>
          <w:sz w:val="24"/>
          <w:szCs w:val="24"/>
          <w:lang w:eastAsia="ru-RU"/>
        </w:rPr>
        <w:t>ависимость log₁₀(σ) от φ</w:t>
      </w:r>
    </w:p>
    <w:p w14:paraId="4545E56D" w14:textId="77777777" w:rsidR="000F0DC7" w:rsidRPr="000F0DC7" w:rsidRDefault="000F0DC7" w:rsidP="000F0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0D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Определение порога перколяции.</w:t>
      </w:r>
      <w:r w:rsidRPr="000F0D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Критическая объёмная доля φ_c определена двумя методами: (1) по вероятности перколяции в диапазоне 10-90% (φ_c = 0.27 ± 0.07%), и (2) по середине между максимальной непроводящей и минимальной проводящей концентрациями. Оба метода дают согласующийся результат: </w:t>
      </w:r>
      <w:r w:rsidRPr="000F0D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φ_c ≈ 0.27%</w:t>
      </w:r>
      <w:r w:rsidRPr="000F0DC7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соответствует литературным данным для aligned CNT композитов (0.1-0.5%).</w:t>
      </w:r>
    </w:p>
    <w:p w14:paraId="257F56C6" w14:textId="6E60B6D0" w:rsidR="000F0DC7" w:rsidRDefault="000F0DC7" w:rsidP="000F0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0DC7">
        <w:rPr>
          <w:rFonts w:ascii="Times New Roman" w:eastAsia="Times New Roman" w:hAnsi="Times New Roman" w:cs="Times New Roman"/>
          <w:sz w:val="24"/>
          <w:szCs w:val="24"/>
          <w:lang w:eastAsia="ru-RU"/>
        </w:rPr>
        <w:t>Вблизи порога перколяции (φ = 0.19-0.40%) наблюдается значительный разброс проводимости между повторами (CV = 100-250%), что является характерной особенностью перколяционного перехода, связанной с чувствительностью системы к топологии проводящей сети. Выше порога (φ &gt; 0.45%) коэффициент вариации снижается до 15-50%, что свидетельствует о формировании стабильной перколяционной сетки.</w:t>
      </w:r>
    </w:p>
    <w:p w14:paraId="0F5234F0" w14:textId="5FC599E7" w:rsidR="00821474" w:rsidRDefault="00821474" w:rsidP="000F0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AE0E08" w14:textId="77777777" w:rsidR="00821474" w:rsidRPr="000F0DC7" w:rsidRDefault="00821474" w:rsidP="000F0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30AB0B" w14:textId="77777777" w:rsidR="000F0DC7" w:rsidRPr="000F0DC7" w:rsidRDefault="000F0DC7" w:rsidP="000F0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0D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Степенная зависимость.</w:t>
      </w:r>
      <w:r w:rsidRPr="000F0D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Согласно теории перколяции, проводимость композита выше порога подчиняется степенному закону:</w:t>
      </w:r>
    </w:p>
    <w:p w14:paraId="631E98EA" w14:textId="77777777" w:rsidR="000F0DC7" w:rsidRPr="000F0DC7" w:rsidRDefault="000F0DC7" w:rsidP="000F0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0DC7">
        <w:rPr>
          <w:rFonts w:ascii="Times New Roman" w:eastAsia="Times New Roman" w:hAnsi="Times New Roman" w:cs="Times New Roman"/>
          <w:sz w:val="24"/>
          <w:szCs w:val="24"/>
          <w:lang w:eastAsia="ru-RU"/>
        </w:rPr>
        <w:t>σ = σ₀ · (φ - φ_c)^t</w:t>
      </w:r>
    </w:p>
    <w:p w14:paraId="27DD33A2" w14:textId="77777777" w:rsidR="000F0DC7" w:rsidRPr="000F0DC7" w:rsidRDefault="000F0DC7" w:rsidP="000F0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0D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t — критический показатель перколяции. Для определения показателя t построена </w:t>
      </w:r>
      <w:bookmarkStart w:id="0" w:name="_Hlk215620698"/>
      <w:r w:rsidRPr="000F0DC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зависимость log₁₀(σ) от log₁₀(φ - φ_c)</w:t>
      </w:r>
      <w:bookmarkEnd w:id="0"/>
      <w:r w:rsidRPr="000F0D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2) в области устойчивой перколяции φ &gt; 0.45%, где флуктуации минимальны и степенной закон выполняется наиболее точно. Линейная аппроксимация дала значение:</w:t>
      </w:r>
    </w:p>
    <w:p w14:paraId="6C129388" w14:textId="425D1DF3" w:rsidR="000F0DC7" w:rsidRDefault="000F0DC7" w:rsidP="000F0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0D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 = 1.86 ± 0.05</w:t>
      </w:r>
      <w:r w:rsidRPr="000F0D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(R² = 0.9989)</w:t>
      </w:r>
    </w:p>
    <w:p w14:paraId="0952D357" w14:textId="6127F93A" w:rsidR="00821474" w:rsidRDefault="00821474" w:rsidP="000F0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711811E1" wp14:editId="2543B3EA">
            <wp:extent cx="5731510" cy="4372610"/>
            <wp:effectExtent l="0" t="0" r="2540" b="8890"/>
            <wp:docPr id="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F399DE23-8701-4A18-ACB1-9730D2105C8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5911F87" w14:textId="64A5B061" w:rsidR="00821474" w:rsidRPr="000F0DC7" w:rsidRDefault="00821474" w:rsidP="0082147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Рис. 2 З</w:t>
      </w:r>
      <w:r w:rsidRPr="000F0DC7">
        <w:rPr>
          <w:rFonts w:ascii="Times New Roman" w:eastAsia="Times New Roman" w:hAnsi="Times New Roman" w:cs="Times New Roman"/>
          <w:sz w:val="24"/>
          <w:szCs w:val="24"/>
          <w:lang w:eastAsia="ru-RU"/>
        </w:rPr>
        <w:t>ависимость log₁₀(σ) от log₁₀(φ - φ_c)</w:t>
      </w:r>
    </w:p>
    <w:p w14:paraId="1FB2C5C3" w14:textId="77777777" w:rsidR="000F0DC7" w:rsidRPr="000F0DC7" w:rsidRDefault="000F0DC7" w:rsidP="000F0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0D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Полученное значение согласуется с теоретическими предсказаниями для перколяционных сетей: t = 1.3-2.0 для 2D систем и t ≈ 2.0 для 3D систем. Некоторое отклонение от классического значения t = 2.0 может быть связано с анизотропией системы (aligned ориентация трубок) и влиянием контактного сопротивления.</w:t>
      </w:r>
    </w:p>
    <w:p w14:paraId="198DED4F" w14:textId="58CC953C" w:rsidR="00821474" w:rsidRPr="00821474" w:rsidRDefault="000F0DC7" w:rsidP="0082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0DC7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величина коэффициента детерминации R² = 0.9989 подтверждает справедливость степенной модели в исследуемом диапазоне концентраций и высокую воспроизводимость результатов моделирования.</w:t>
      </w:r>
    </w:p>
    <w:p w14:paraId="74D5A6C5" w14:textId="3000CFEE" w:rsidR="00821474" w:rsidRDefault="00821474" w:rsidP="00821474"/>
    <w:p w14:paraId="436BC0D0" w14:textId="77777777" w:rsidR="00821474" w:rsidRDefault="00821474" w:rsidP="00821474">
      <w:pPr>
        <w:pStyle w:val="Heading3"/>
      </w:pPr>
      <w:r>
        <w:rPr>
          <w:rStyle w:val="Strong"/>
          <w:rFonts w:eastAsiaTheme="majorEastAsia"/>
          <w:b/>
          <w:bCs/>
        </w:rPr>
        <w:lastRenderedPageBreak/>
        <w:t>Влияние геометрических параметров на проводимость</w:t>
      </w:r>
    </w:p>
    <w:p w14:paraId="17D0BF1C" w14:textId="3B860A3F" w:rsidR="00821474" w:rsidRDefault="00821474" w:rsidP="00821474">
      <w:pPr>
        <w:pStyle w:val="font-claude-response-body"/>
      </w:pPr>
      <w:r>
        <w:rPr>
          <w:rStyle w:val="Strong"/>
          <w:rFonts w:eastAsiaTheme="majorEastAsia"/>
        </w:rPr>
        <w:t>Зависимость от длины трубок.</w:t>
      </w:r>
      <w:r>
        <w:t xml:space="preserve"> На рис. 3 представлена зависимость проводимости от длины углеродных нанотрубок при фиксированной концентрации (N = 1000 трубок, φ ≈ 0.52%). При L = 150 нм перколяция отсутствует (σ ≈ 0), что связано с недостаточным аспектным отношением L/D ≈ 150 для формирования проводящей сетки. Начиная с L = 200 нм наблюдается резкий рост проводимости.</w:t>
      </w:r>
    </w:p>
    <w:p w14:paraId="2043D87F" w14:textId="62C36C5C" w:rsidR="00821474" w:rsidRDefault="009F0CD8" w:rsidP="00821474">
      <w:pPr>
        <w:pStyle w:val="font-claude-response-body"/>
      </w:pPr>
      <w:r>
        <w:rPr>
          <w:noProof/>
        </w:rPr>
        <w:drawing>
          <wp:inline distT="0" distB="0" distL="0" distR="0" wp14:anchorId="7E2102B3" wp14:editId="537181D7">
            <wp:extent cx="5495103" cy="3696872"/>
            <wp:effectExtent l="0" t="0" r="10795" b="18415"/>
            <wp:docPr id="5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2535F42D-E362-4EFD-B9A0-FAD771C6B7E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46BE867D" w14:textId="643832C5" w:rsidR="00821474" w:rsidRPr="00627BA4" w:rsidRDefault="00821474" w:rsidP="00821474">
      <w:pPr>
        <w:pStyle w:val="font-claude-response-body"/>
        <w:jc w:val="center"/>
      </w:pPr>
      <w:r>
        <w:t xml:space="preserve">Рис. </w:t>
      </w:r>
      <w:r w:rsidRPr="00627BA4">
        <w:t>3</w:t>
      </w:r>
      <w:r>
        <w:t xml:space="preserve"> З</w:t>
      </w:r>
      <w:r w:rsidRPr="000F0DC7">
        <w:t>ависимость log₁₀(σ) от</w:t>
      </w:r>
      <w:r>
        <w:t xml:space="preserve"> </w:t>
      </w:r>
      <w:r>
        <w:rPr>
          <w:lang w:val="en-US"/>
        </w:rPr>
        <w:t>L</w:t>
      </w:r>
    </w:p>
    <w:p w14:paraId="14B9BB20" w14:textId="77777777" w:rsidR="009F0CD8" w:rsidRDefault="009F0CD8" w:rsidP="00821474">
      <w:pPr>
        <w:pStyle w:val="font-claude-response-body"/>
      </w:pPr>
      <w:r>
        <w:t xml:space="preserve">При L = 150 нм перколяция отсутствует (σ ≈ 0), что связано с недостаточным аспектным отношением для формирования проводящей сетки. Начиная с L = 200 нм наблюдается резкий рост проводимости. </w:t>
      </w:r>
    </w:p>
    <w:p w14:paraId="3A38118D" w14:textId="77777777" w:rsidR="009F0CD8" w:rsidRDefault="009F0CD8" w:rsidP="00821474">
      <w:pPr>
        <w:pStyle w:val="font-claude-response-body"/>
      </w:pPr>
      <w:r>
        <w:t xml:space="preserve">В области устойчивой перколяции (L = 300-500 нм) проводимость подчиняется экспоненциальной зависимости σ = σ₀·exp(α·L). На полулогарифмическом графике это проявляется как линейная зависимость: </w:t>
      </w:r>
    </w:p>
    <w:p w14:paraId="3EE3135A" w14:textId="0F7C9A4C" w:rsidR="009F0CD8" w:rsidRDefault="009F0CD8" w:rsidP="00821474">
      <w:pPr>
        <w:pStyle w:val="font-claude-response-body"/>
      </w:pPr>
      <w:r>
        <w:t xml:space="preserve">log₁₀(σ) = 1.85 + 0.0048·L (R² = 0.967) </w:t>
      </w:r>
    </w:p>
    <w:p w14:paraId="4D07AACB" w14:textId="77777777" w:rsidR="009F0CD8" w:rsidRDefault="009F0CD8" w:rsidP="00821474">
      <w:pPr>
        <w:pStyle w:val="font-claude-response-body"/>
      </w:pPr>
      <w:r>
        <w:t xml:space="preserve">Откуда α = 0.0048·ln(10) ≈ 0.011 нм⁻¹ и σ₀ = 10^1.85 ≈ 71 См/м. </w:t>
      </w:r>
    </w:p>
    <w:p w14:paraId="5E7AA45B" w14:textId="77777777" w:rsidR="009F0CD8" w:rsidRDefault="009F0CD8" w:rsidP="00821474">
      <w:pPr>
        <w:pStyle w:val="font-claude-response-body"/>
      </w:pPr>
      <w:r>
        <w:t>В этом диапазоне проводимость возрастает в 10 раз (от σ ≈ 1600 См/м при L = 300 нм до σ ≈ 16400 См/м при L = 500 нм). Точки L = 200-250 нм исключены из аппроксимации из-за близости к порогу перколяции, где наблюдается значительный статистический разброс (CV ≈ 195% при L = 200 нм).</w:t>
      </w:r>
    </w:p>
    <w:p w14:paraId="4C0E6538" w14:textId="3A2FFFF1" w:rsidR="00821474" w:rsidRDefault="00821474" w:rsidP="00821474">
      <w:pPr>
        <w:pStyle w:val="font-claude-response-body"/>
      </w:pPr>
      <w:r>
        <w:rPr>
          <w:rStyle w:val="Strong"/>
          <w:rFonts w:eastAsiaTheme="majorEastAsia"/>
        </w:rPr>
        <w:lastRenderedPageBreak/>
        <w:t>Влияние ориентационного разброса.</w:t>
      </w:r>
      <w:r>
        <w:t xml:space="preserve"> На рис. 4 показана зависимость проводимости от параметра джиттера (стандартного отклонения углов от главного направления выравнивания) при фиксированных N = 1000 и L = 250 нм. При идеальном выравнивании (jitter = 0°) перколяция полностью отсутствует (σ ≈ 0), несмотря на то что объёмная доля φ ≈ 0.52% значительно превышает критическое значение φ_c = 0.27%. Это связано с отсутствием межтрубочных контактов при параллельной ориентации всех элементов.</w:t>
      </w:r>
    </w:p>
    <w:p w14:paraId="1F9A4989" w14:textId="067DF3E5" w:rsidR="00821474" w:rsidRDefault="00627BA4" w:rsidP="00821474">
      <w:pPr>
        <w:pStyle w:val="font-claude-response-body"/>
      </w:pPr>
      <w:r>
        <w:rPr>
          <w:noProof/>
        </w:rPr>
        <w:drawing>
          <wp:inline distT="0" distB="0" distL="0" distR="0" wp14:anchorId="29024DB1" wp14:editId="3E0A6E56">
            <wp:extent cx="5474396" cy="3687135"/>
            <wp:effectExtent l="0" t="0" r="12065" b="8890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ADF1CE56-4A46-49B2-81C0-754C7368DD4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163A565" w14:textId="336F0FD1" w:rsidR="00821474" w:rsidRPr="00821474" w:rsidRDefault="00821474" w:rsidP="00821474">
      <w:pPr>
        <w:pStyle w:val="font-claude-response-body"/>
        <w:jc w:val="center"/>
      </w:pPr>
      <w:r>
        <w:t xml:space="preserve">Рис. </w:t>
      </w:r>
      <w:r w:rsidRPr="00821474">
        <w:t>4</w:t>
      </w:r>
      <w:r>
        <w:t xml:space="preserve"> З</w:t>
      </w:r>
      <w:r w:rsidRPr="000F0DC7">
        <w:t>ависимость log₁₀(σ) от</w:t>
      </w:r>
      <w:r>
        <w:t xml:space="preserve"> </w:t>
      </w:r>
      <w:r w:rsidRPr="00821474">
        <w:t>Jitter</w:t>
      </w:r>
    </w:p>
    <w:p w14:paraId="5F4DF27A" w14:textId="77777777" w:rsidR="00821474" w:rsidRDefault="00821474" w:rsidP="00821474">
      <w:pPr>
        <w:pStyle w:val="font-claude-response-body"/>
      </w:pPr>
      <w:r>
        <w:t>Введение минимального разброса (jitter = 4°) приводит к резкому скачку проводимости до σ ≈ 511 См/м, что подтверждает критическую важность межтрубочных контактов для формирования перколяционной сетки. При дальнейшем увеличении джиттера (8-30°) проводимость выходит на плато σ ≈ 350-530 См/м с максимумом при jitter ≈ 30° (σ ≈ 528 См/м).</w:t>
      </w:r>
    </w:p>
    <w:p w14:paraId="4C5C2A0E" w14:textId="77777777" w:rsidR="00821474" w:rsidRDefault="00821474" w:rsidP="00821474">
      <w:pPr>
        <w:pStyle w:val="font-claude-response-body"/>
      </w:pPr>
      <w:r>
        <w:t>Наблюдаемое поведение отражает баланс двух конкурирующих эффектов: с одной стороны, увеличение разброса ориентации способствует образованию межтрубочных контактов, с другой — снижает степень анизотропии композита и может уменьшать эффективную проводимость вдоль преимущественного направления. Относительно высокий разброс данных (CV = 47-81%) в этой области свидетельствует о чувствительности проводимости к конкретной геометрии контактной сети.</w:t>
      </w:r>
    </w:p>
    <w:p w14:paraId="7B8CFAFE" w14:textId="77777777" w:rsidR="00821474" w:rsidRPr="000F0DC7" w:rsidRDefault="00821474" w:rsidP="000F0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E5AE59" w14:textId="494025EA" w:rsidR="000C1A45" w:rsidRPr="00E40F2E" w:rsidRDefault="000C1A45"/>
    <w:sectPr w:rsidR="000C1A45" w:rsidRPr="00E40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70B"/>
    <w:rsid w:val="000C1A45"/>
    <w:rsid w:val="000F0DC7"/>
    <w:rsid w:val="005409CD"/>
    <w:rsid w:val="005D770B"/>
    <w:rsid w:val="00627BA4"/>
    <w:rsid w:val="007431AB"/>
    <w:rsid w:val="00821474"/>
    <w:rsid w:val="009F0CD8"/>
    <w:rsid w:val="00AF33D0"/>
    <w:rsid w:val="00E40F2E"/>
    <w:rsid w:val="00F65522"/>
    <w:rsid w:val="00FC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BA5A4"/>
  <w15:chartTrackingRefBased/>
  <w15:docId w15:val="{274DBC16-CEE8-49B5-AAC9-051C9852E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4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F0D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F0DC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Strong">
    <w:name w:val="Strong"/>
    <w:basedOn w:val="DefaultParagraphFont"/>
    <w:uiPriority w:val="22"/>
    <w:qFormat/>
    <w:rsid w:val="000F0DC7"/>
    <w:rPr>
      <w:b/>
      <w:bCs/>
    </w:rPr>
  </w:style>
  <w:style w:type="paragraph" w:customStyle="1" w:styleId="font-claude-response-body">
    <w:name w:val="font-claude-response-body"/>
    <w:basedOn w:val="Normal"/>
    <w:rsid w:val="000F0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4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rkella\Downloads\&#1055;&#1072;&#1088;&#1072;&#1084;&#1077;&#1090;&#1088;&#1099;_&#1084;&#1086;&#1076;&#1077;&#1083;&#1080;_&#1054;&#1059;&#1053;&#1058;_UPDATED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rkella\Downloads\&#1055;&#1072;&#1088;&#1072;&#1084;&#1077;&#1090;&#1088;&#1099;_&#1084;&#1086;&#1076;&#1077;&#1083;&#1080;_&#1054;&#1059;&#1053;&#1058;_UPDATED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rkella\Desktop\&#1052;&#1086;&#1076;&#1077;&#1083;&#1100;%20&#1085;&#1072;&#1085;&#1086;&#1090;&#1088;&#1091;&#1073;&#1086;&#1082;\&#1060;&#1080;&#1085;&#1072;&#1083;&#1100;&#1085;&#1099;&#1077;%20&#1074;&#1072;&#1078;&#1085;&#1099;&#1077;%20&#1092;&#1072;&#1081;&#1083;&#1099;!\&#1055;&#1072;&#1088;&#1072;&#1084;&#1077;&#1090;&#1088;&#1099;_&#1084;&#1086;&#1076;&#1077;&#1083;&#1080;_&#1054;&#1059;&#1053;&#1058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rkella\Desktop\&#1052;&#1086;&#1076;&#1077;&#1083;&#1100;%20&#1085;&#1072;&#1085;&#1086;&#1090;&#1088;&#1091;&#1073;&#1086;&#1082;\&#1060;&#1080;&#1085;&#1072;&#1083;&#1100;&#1085;&#1099;&#1077;%20&#1074;&#1072;&#1078;&#1085;&#1099;&#1077;%20&#1092;&#1072;&#1081;&#1083;&#1099;!\&#1055;&#1072;&#1088;&#1072;&#1084;&#1077;&#1090;&#1088;&#1099;_&#1084;&#1086;&#1076;&#1077;&#1083;&#1080;_&#1054;&#1059;&#1053;&#1058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2000" b="0" i="0" u="none" strike="noStrike" baseline="0"/>
              <a:t>График </a:t>
            </a:r>
            <a:r>
              <a:rPr lang="en-US" sz="2000" b="0" i="0" u="none" strike="noStrike" baseline="0"/>
              <a:t>log₁₀(</a:t>
            </a:r>
            <a:r>
              <a:rPr lang="el-GR" sz="2000" b="0" i="0" u="none" strike="noStrike" baseline="0"/>
              <a:t>σ) </a:t>
            </a:r>
            <a:r>
              <a:rPr lang="ru-RU" sz="2000" b="0" i="0" u="none" strike="noStrike" baseline="0"/>
              <a:t>от </a:t>
            </a:r>
            <a:r>
              <a:rPr lang="el-GR" sz="2000" b="0" i="0" u="none" strike="noStrike" baseline="0"/>
              <a:t>φ%</a:t>
            </a:r>
            <a:endParaRPr lang="en-US" sz="20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errBars>
            <c:errDir val="x"/>
            <c:errBarType val="both"/>
            <c:errValType val="cust"/>
            <c:noEndCap val="0"/>
            <c:plus>
              <c:numRef>
                <c:f>'Концентрационные результаты'!$L$147:$L$160</c:f>
                <c:numCache>
                  <c:formatCode>General</c:formatCode>
                  <c:ptCount val="14"/>
                  <c:pt idx="0">
                    <c:v>3.244071515857811E-5</c:v>
                  </c:pt>
                  <c:pt idx="1">
                    <c:v>3.8099431316840678E-5</c:v>
                  </c:pt>
                  <c:pt idx="2">
                    <c:v>2.3939971224339924E-5</c:v>
                  </c:pt>
                  <c:pt idx="3">
                    <c:v>2.3971279111099275E-5</c:v>
                  </c:pt>
                  <c:pt idx="4">
                    <c:v>3.9183896919241956E-5</c:v>
                  </c:pt>
                  <c:pt idx="5">
                    <c:v>2.3642005931063564E-5</c:v>
                  </c:pt>
                  <c:pt idx="6">
                    <c:v>3.5110777072953904E-5</c:v>
                  </c:pt>
                  <c:pt idx="7">
                    <c:v>3.0830900804946411E-5</c:v>
                  </c:pt>
                  <c:pt idx="8">
                    <c:v>3.1207014880917084E-5</c:v>
                  </c:pt>
                  <c:pt idx="9">
                    <c:v>3.773724950231528E-5</c:v>
                  </c:pt>
                  <c:pt idx="10">
                    <c:v>3.7247520424556766E-5</c:v>
                  </c:pt>
                  <c:pt idx="11">
                    <c:v>4.369146878332707E-5</c:v>
                  </c:pt>
                  <c:pt idx="12">
                    <c:v>5.5300793645098597E-5</c:v>
                  </c:pt>
                  <c:pt idx="13">
                    <c:v>6.4003558928824668E-5</c:v>
                  </c:pt>
                </c:numCache>
              </c:numRef>
            </c:plus>
            <c:minus>
              <c:numRef>
                <c:f>'Концентрационные результаты'!$L$147:$L$160</c:f>
                <c:numCache>
                  <c:formatCode>General</c:formatCode>
                  <c:ptCount val="14"/>
                  <c:pt idx="0">
                    <c:v>3.244071515857811E-5</c:v>
                  </c:pt>
                  <c:pt idx="1">
                    <c:v>3.8099431316840678E-5</c:v>
                  </c:pt>
                  <c:pt idx="2">
                    <c:v>2.3939971224339924E-5</c:v>
                  </c:pt>
                  <c:pt idx="3">
                    <c:v>2.3971279111099275E-5</c:v>
                  </c:pt>
                  <c:pt idx="4">
                    <c:v>3.9183896919241956E-5</c:v>
                  </c:pt>
                  <c:pt idx="5">
                    <c:v>2.3642005931063564E-5</c:v>
                  </c:pt>
                  <c:pt idx="6">
                    <c:v>3.5110777072953904E-5</c:v>
                  </c:pt>
                  <c:pt idx="7">
                    <c:v>3.0830900804946411E-5</c:v>
                  </c:pt>
                  <c:pt idx="8">
                    <c:v>3.1207014880917084E-5</c:v>
                  </c:pt>
                  <c:pt idx="9">
                    <c:v>3.773724950231528E-5</c:v>
                  </c:pt>
                  <c:pt idx="10">
                    <c:v>3.7247520424556766E-5</c:v>
                  </c:pt>
                  <c:pt idx="11">
                    <c:v>4.369146878332707E-5</c:v>
                  </c:pt>
                  <c:pt idx="12">
                    <c:v>5.5300793645098597E-5</c:v>
                  </c:pt>
                  <c:pt idx="13">
                    <c:v>6.4003558928824668E-5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errBars>
            <c:errDir val="y"/>
            <c:errBarType val="both"/>
            <c:errValType val="cust"/>
            <c:noEndCap val="0"/>
            <c:plus>
              <c:numRef>
                <c:f>'Концентрационные результаты'!$K$147:$K$160</c:f>
                <c:numCache>
                  <c:formatCode>General</c:formatCode>
                  <c:ptCount val="14"/>
                  <c:pt idx="0">
                    <c:v>0.53598410861888157</c:v>
                  </c:pt>
                  <c:pt idx="1">
                    <c:v>0.48554715415250249</c:v>
                  </c:pt>
                  <c:pt idx="2">
                    <c:v>0.55012732400997444</c:v>
                  </c:pt>
                  <c:pt idx="3">
                    <c:v>0.53007804411103332</c:v>
                  </c:pt>
                  <c:pt idx="4">
                    <c:v>0.34101644488954386</c:v>
                  </c:pt>
                  <c:pt idx="5">
                    <c:v>0.30646211181826755</c:v>
                  </c:pt>
                  <c:pt idx="6">
                    <c:v>0.3278049026421197</c:v>
                  </c:pt>
                  <c:pt idx="7">
                    <c:v>0.32078636941788274</c:v>
                  </c:pt>
                  <c:pt idx="8">
                    <c:v>0.22347418760746285</c:v>
                  </c:pt>
                  <c:pt idx="9">
                    <c:v>0.17533212031029244</c:v>
                  </c:pt>
                  <c:pt idx="10">
                    <c:v>0.24459650008831835</c:v>
                  </c:pt>
                  <c:pt idx="11">
                    <c:v>0.15250973587682637</c:v>
                  </c:pt>
                  <c:pt idx="12">
                    <c:v>5.9435992428392481E-2</c:v>
                  </c:pt>
                  <c:pt idx="13">
                    <c:v>7.3708222090640874E-2</c:v>
                  </c:pt>
                </c:numCache>
              </c:numRef>
            </c:plus>
            <c:minus>
              <c:numRef>
                <c:f>'Концентрационные результаты'!$K$147:$K$160</c:f>
                <c:numCache>
                  <c:formatCode>General</c:formatCode>
                  <c:ptCount val="14"/>
                  <c:pt idx="0">
                    <c:v>0.53598410861888157</c:v>
                  </c:pt>
                  <c:pt idx="1">
                    <c:v>0.48554715415250249</c:v>
                  </c:pt>
                  <c:pt idx="2">
                    <c:v>0.55012732400997444</c:v>
                  </c:pt>
                  <c:pt idx="3">
                    <c:v>0.53007804411103332</c:v>
                  </c:pt>
                  <c:pt idx="4">
                    <c:v>0.34101644488954386</c:v>
                  </c:pt>
                  <c:pt idx="5">
                    <c:v>0.30646211181826755</c:v>
                  </c:pt>
                  <c:pt idx="6">
                    <c:v>0.3278049026421197</c:v>
                  </c:pt>
                  <c:pt idx="7">
                    <c:v>0.32078636941788274</c:v>
                  </c:pt>
                  <c:pt idx="8">
                    <c:v>0.22347418760746285</c:v>
                  </c:pt>
                  <c:pt idx="9">
                    <c:v>0.17533212031029244</c:v>
                  </c:pt>
                  <c:pt idx="10">
                    <c:v>0.24459650008831835</c:v>
                  </c:pt>
                  <c:pt idx="11">
                    <c:v>0.15250973587682637</c:v>
                  </c:pt>
                  <c:pt idx="12">
                    <c:v>5.9435992428392481E-2</c:v>
                  </c:pt>
                  <c:pt idx="13">
                    <c:v>7.3708222090640874E-2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'Концентрационные результаты'!$I$147:$I$160</c:f>
              <c:numCache>
                <c:formatCode>0.0000%</c:formatCode>
                <c:ptCount val="14"/>
                <c:pt idx="0">
                  <c:v>1.9137999999999998E-3</c:v>
                </c:pt>
                <c:pt idx="1">
                  <c:v>2.1817E-3</c:v>
                </c:pt>
                <c:pt idx="2">
                  <c:v>2.4477000000000001E-3</c:v>
                </c:pt>
                <c:pt idx="3">
                  <c:v>2.7087999999999999E-3</c:v>
                </c:pt>
                <c:pt idx="4">
                  <c:v>2.9716E-3</c:v>
                </c:pt>
                <c:pt idx="5">
                  <c:v>3.2335000000000003E-3</c:v>
                </c:pt>
                <c:pt idx="6">
                  <c:v>3.4881000000000001E-3</c:v>
                </c:pt>
                <c:pt idx="7">
                  <c:v>3.7388999999999999E-3</c:v>
                </c:pt>
                <c:pt idx="8">
                  <c:v>4.0001000000000004E-3</c:v>
                </c:pt>
                <c:pt idx="9">
                  <c:v>4.2598999999999996E-3</c:v>
                </c:pt>
                <c:pt idx="10">
                  <c:v>4.5003999999999999E-3</c:v>
                </c:pt>
                <c:pt idx="11">
                  <c:v>5.2664999999999995E-3</c:v>
                </c:pt>
                <c:pt idx="12">
                  <c:v>7.6791999999999997E-3</c:v>
                </c:pt>
                <c:pt idx="13">
                  <c:v>1.00327E-2</c:v>
                </c:pt>
              </c:numCache>
            </c:numRef>
          </c:xVal>
          <c:yVal>
            <c:numRef>
              <c:f>'Концентрационные результаты'!$J$147:$J$160</c:f>
              <c:numCache>
                <c:formatCode>General</c:formatCode>
                <c:ptCount val="14"/>
                <c:pt idx="0" formatCode="0.00">
                  <c:v>0.68133778162926328</c:v>
                </c:pt>
                <c:pt idx="1">
                  <c:v>1.6147754079494232</c:v>
                </c:pt>
                <c:pt idx="2">
                  <c:v>1.4341905789976841</c:v>
                </c:pt>
                <c:pt idx="3">
                  <c:v>1.4587669683783993</c:v>
                </c:pt>
                <c:pt idx="4">
                  <c:v>1.791577117811322</c:v>
                </c:pt>
                <c:pt idx="5">
                  <c:v>1.9389447923228531</c:v>
                </c:pt>
                <c:pt idx="6">
                  <c:v>2.103882241671347</c:v>
                </c:pt>
                <c:pt idx="7">
                  <c:v>1.9599546310672598</c:v>
                </c:pt>
                <c:pt idx="8">
                  <c:v>2.2366400647150009</c:v>
                </c:pt>
                <c:pt idx="9">
                  <c:v>2.4198645338285947</c:v>
                </c:pt>
                <c:pt idx="10">
                  <c:v>2.4143818652532252</c:v>
                </c:pt>
                <c:pt idx="11">
                  <c:v>2.6944351681108594</c:v>
                </c:pt>
                <c:pt idx="12">
                  <c:v>3.2054614334168994</c:v>
                </c:pt>
                <c:pt idx="13">
                  <c:v>3.5587550672155612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A31B-4A35-8BE9-F8CD432624E8}"/>
            </c:ext>
          </c:extLst>
        </c:ser>
        <c:ser>
          <c:idx val="1"/>
          <c:order val="1"/>
          <c:tx>
            <c:v>trend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rgbClr val="FF0000"/>
                </a:solidFill>
                <a:prstDash val="sysDot"/>
              </a:ln>
              <a:effectLst/>
            </c:spPr>
            <c:trendlineType val="log"/>
            <c:dispRSqr val="0"/>
            <c:dispEq val="1"/>
            <c:trendlineLbl>
              <c:layout>
                <c:manualLayout>
                  <c:x val="-2.3197068887876272E-3"/>
                  <c:y val="-6.3747031753461705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'Концентрационные результаты'!$M$157:$M$160</c:f>
              <c:numCache>
                <c:formatCode>0.0000%</c:formatCode>
                <c:ptCount val="4"/>
                <c:pt idx="0">
                  <c:v>4.5003999999999999E-3</c:v>
                </c:pt>
                <c:pt idx="1">
                  <c:v>5.2664999999999995E-3</c:v>
                </c:pt>
                <c:pt idx="2">
                  <c:v>7.6791999999999997E-3</c:v>
                </c:pt>
                <c:pt idx="3">
                  <c:v>1.00327E-2</c:v>
                </c:pt>
              </c:numCache>
            </c:numRef>
          </c:xVal>
          <c:yVal>
            <c:numRef>
              <c:f>'Концентрационные результаты'!$N$157:$N$160</c:f>
              <c:numCache>
                <c:formatCode>General</c:formatCode>
                <c:ptCount val="4"/>
                <c:pt idx="0">
                  <c:v>2.4143818652532252</c:v>
                </c:pt>
                <c:pt idx="1">
                  <c:v>2.6944351681108594</c:v>
                </c:pt>
                <c:pt idx="2">
                  <c:v>3.2054614334168994</c:v>
                </c:pt>
                <c:pt idx="3">
                  <c:v>3.5587550672155612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A31B-4A35-8BE9-F8CD432624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22934063"/>
        <c:axId val="422934479"/>
      </c:scatterChart>
      <c:valAx>
        <c:axId val="422934063"/>
        <c:scaling>
          <c:orientation val="minMax"/>
          <c:max val="1.0100000000000001E-2"/>
          <c:min val="1.9000000000000006E-3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 sz="1800" b="0" i="0" u="none" strike="noStrike" baseline="0"/>
                  <a:t>φ%</a:t>
                </a:r>
                <a:endParaRPr lang="en-US" sz="180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0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2934479"/>
        <c:crosses val="autoZero"/>
        <c:crossBetween val="midCat"/>
      </c:valAx>
      <c:valAx>
        <c:axId val="422934479"/>
        <c:scaling>
          <c:orientation val="minMax"/>
          <c:max val="3.8"/>
          <c:min val="0.2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800" b="0" i="0" u="none" strike="noStrike" baseline="0"/>
                  <a:t>log₁₀(</a:t>
                </a:r>
                <a:r>
                  <a:rPr lang="el-GR" sz="1800" b="0" i="0" u="none" strike="noStrike" baseline="0"/>
                  <a:t>σ)</a:t>
                </a:r>
                <a:endParaRPr lang="en-US" sz="180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293406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2000" b="0" i="0" u="none" strike="noStrike" baseline="0">
                <a:effectLst/>
              </a:rPr>
              <a:t>График </a:t>
            </a:r>
            <a:r>
              <a:rPr lang="en-US" sz="2000" b="0" i="0" u="none" strike="noStrike" baseline="0"/>
              <a:t>log(</a:t>
            </a:r>
            <a:r>
              <a:rPr lang="el-GR" sz="2000" b="0" i="0" u="none" strike="noStrike" baseline="0"/>
              <a:t>σ) </a:t>
            </a:r>
            <a:r>
              <a:rPr lang="ru-RU" sz="2000" b="0" i="0" u="none" strike="noStrike" baseline="0"/>
              <a:t>от </a:t>
            </a:r>
            <a:r>
              <a:rPr lang="en-US" sz="2000" b="0" i="0" u="none" strike="noStrike" baseline="0"/>
              <a:t>log(</a:t>
            </a:r>
            <a:r>
              <a:rPr lang="el-GR" sz="2000" b="0" i="0" u="none" strike="noStrike" baseline="0"/>
              <a:t>φ - φ_</a:t>
            </a:r>
            <a:r>
              <a:rPr lang="en-US" sz="2000" b="0" i="0" u="none" strike="noStrike" baseline="0"/>
              <a:t>c)</a:t>
            </a:r>
            <a:endParaRPr lang="en-US" sz="20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11634098857091532"/>
          <c:y val="0.12077930005049581"/>
          <c:w val="0.82019282144926231"/>
          <c:h val="0.74010706970041262"/>
        </c:manualLayout>
      </c:layout>
      <c:scatterChart>
        <c:scatterStyle val="smoothMarker"/>
        <c:varyColors val="0"/>
        <c:ser>
          <c:idx val="0"/>
          <c:order val="0"/>
          <c:tx>
            <c:strRef>
              <c:f>'Концентрационные результаты'!$Q$156</c:f>
              <c:strCache>
                <c:ptCount val="1"/>
                <c:pt idx="0">
                  <c:v>log(φ - φ_c)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9.8638255213255484E-3"/>
                  <c:y val="0.24285706358586784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'Концентрационные результаты'!$Q$157:$Q$160</c:f>
              <c:numCache>
                <c:formatCode>General</c:formatCode>
                <c:ptCount val="4"/>
                <c:pt idx="0">
                  <c:v>-2.7446309957335586</c:v>
                </c:pt>
                <c:pt idx="1">
                  <c:v>-2.5906587314032188</c:v>
                </c:pt>
                <c:pt idx="2">
                  <c:v>-2.3028404290264239</c:v>
                </c:pt>
                <c:pt idx="3">
                  <c:v>-2.1347360827678905</c:v>
                </c:pt>
              </c:numCache>
            </c:numRef>
          </c:xVal>
          <c:yVal>
            <c:numRef>
              <c:f>'Концентрационные результаты'!$P$157:$P$160</c:f>
              <c:numCache>
                <c:formatCode>General</c:formatCode>
                <c:ptCount val="4"/>
                <c:pt idx="0">
                  <c:v>2.4143818652532252</c:v>
                </c:pt>
                <c:pt idx="1">
                  <c:v>2.6944351681108594</c:v>
                </c:pt>
                <c:pt idx="2">
                  <c:v>3.2054614334168994</c:v>
                </c:pt>
                <c:pt idx="3">
                  <c:v>3.5587550672155612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60D5-477C-9FFC-9970FCC3C35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63934623"/>
        <c:axId val="663938783"/>
      </c:scatterChart>
      <c:valAx>
        <c:axId val="663934623"/>
        <c:scaling>
          <c:orientation val="minMax"/>
          <c:max val="-2.1"/>
          <c:min val="-2.7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800" b="0" i="0" u="none" strike="noStrike" baseline="0"/>
                  <a:t>log₁₀(</a:t>
                </a:r>
                <a:r>
                  <a:rPr lang="el-GR" sz="1800" b="0" i="0" u="none" strike="noStrike" baseline="0"/>
                  <a:t>φ - φ_</a:t>
                </a:r>
                <a:r>
                  <a:rPr lang="en-US" sz="1800" b="0" i="0" u="none" strike="noStrike" baseline="0"/>
                  <a:t>c)</a:t>
                </a:r>
                <a:endParaRPr lang="en-US" sz="180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63938783"/>
        <c:crosses val="autoZero"/>
        <c:crossBetween val="midCat"/>
      </c:valAx>
      <c:valAx>
        <c:axId val="663938783"/>
        <c:scaling>
          <c:orientation val="minMax"/>
          <c:max val="3.6"/>
          <c:min val="2.4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800" b="0" i="0" u="none" strike="noStrike" baseline="0"/>
                  <a:t>log₁₀(</a:t>
                </a:r>
                <a:r>
                  <a:rPr lang="el-GR" sz="1800" b="0" i="0" u="none" strike="noStrike" baseline="0"/>
                  <a:t>σ)</a:t>
                </a:r>
                <a:endParaRPr lang="en-US" sz="3600"/>
              </a:p>
            </c:rich>
          </c:tx>
          <c:layout>
            <c:manualLayout>
              <c:xMode val="edge"/>
              <c:yMode val="edge"/>
              <c:x val="5.4587731292860771E-2"/>
              <c:y val="0.4146524390582255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6393462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 rtl="0">
              <a:defRPr lang="ru-RU" sz="18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ru-RU" sz="18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rPr>
              <a:t>График σ(L)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 rtl="0">
            <a:defRPr lang="ru-RU" sz="18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'Геометрические результаты'!$K$128:$K$133</c:f>
                <c:numCache>
                  <c:formatCode>General</c:formatCode>
                  <c:ptCount val="6"/>
                  <c:pt idx="0">
                    <c:v>0</c:v>
                  </c:pt>
                  <c:pt idx="1">
                    <c:v>0.46902190910165609</c:v>
                  </c:pt>
                  <c:pt idx="2">
                    <c:v>0.15955577965055445</c:v>
                  </c:pt>
                  <c:pt idx="3">
                    <c:v>8.612147472658771E-2</c:v>
                  </c:pt>
                  <c:pt idx="4">
                    <c:v>5.4867627061730762E-2</c:v>
                  </c:pt>
                  <c:pt idx="5">
                    <c:v>7.8064834699035579E-2</c:v>
                  </c:pt>
                </c:numCache>
              </c:numRef>
            </c:plus>
            <c:minus>
              <c:numRef>
                <c:f>'Геометрические результаты'!$K$128:$K$133</c:f>
                <c:numCache>
                  <c:formatCode>General</c:formatCode>
                  <c:ptCount val="6"/>
                  <c:pt idx="0">
                    <c:v>0</c:v>
                  </c:pt>
                  <c:pt idx="1">
                    <c:v>0.46902190910165609</c:v>
                  </c:pt>
                  <c:pt idx="2">
                    <c:v>0.15955577965055445</c:v>
                  </c:pt>
                  <c:pt idx="3">
                    <c:v>8.612147472658771E-2</c:v>
                  </c:pt>
                  <c:pt idx="4">
                    <c:v>5.4867627061730762E-2</c:v>
                  </c:pt>
                  <c:pt idx="5">
                    <c:v>7.8064834699035579E-2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'Геометрические результаты'!$I$128:$I$133</c:f>
              <c:numCache>
                <c:formatCode>General</c:formatCode>
                <c:ptCount val="6"/>
                <c:pt idx="0">
                  <c:v>150</c:v>
                </c:pt>
                <c:pt idx="1">
                  <c:v>200</c:v>
                </c:pt>
                <c:pt idx="2">
                  <c:v>250</c:v>
                </c:pt>
                <c:pt idx="3">
                  <c:v>300</c:v>
                </c:pt>
                <c:pt idx="4">
                  <c:v>400</c:v>
                </c:pt>
                <c:pt idx="5">
                  <c:v>500</c:v>
                </c:pt>
              </c:numCache>
            </c:numRef>
          </c:xVal>
          <c:yVal>
            <c:numRef>
              <c:f>'Геометрические результаты'!$J$128:$J$133</c:f>
              <c:numCache>
                <c:formatCode>General</c:formatCode>
                <c:ptCount val="6"/>
                <c:pt idx="0">
                  <c:v>0</c:v>
                </c:pt>
                <c:pt idx="1">
                  <c:v>1.6649802765114547</c:v>
                </c:pt>
                <c:pt idx="2">
                  <c:v>2.6379079612578136</c:v>
                </c:pt>
                <c:pt idx="3">
                  <c:v>3.2484089766431854</c:v>
                </c:pt>
                <c:pt idx="4">
                  <c:v>3.8859109915495389</c:v>
                </c:pt>
                <c:pt idx="5">
                  <c:v>4.2158455831484023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7920-4FFE-BC69-67569FAEB690}"/>
            </c:ext>
          </c:extLst>
        </c:ser>
        <c:ser>
          <c:idx val="1"/>
          <c:order val="1"/>
          <c:tx>
            <c:v>trend</c:v>
          </c:tx>
          <c:spPr>
            <a:ln w="19050" cap="rnd">
              <a:solidFill>
                <a:schemeClr val="accent1">
                  <a:alpha val="2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8877535143563279"/>
                  <c:y val="-4.4573628732615035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'Геометрические результаты'!$L$129:$L$133</c:f>
              <c:numCache>
                <c:formatCode>General</c:formatCode>
                <c:ptCount val="5"/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</c:numCache>
            </c:numRef>
          </c:xVal>
          <c:yVal>
            <c:numRef>
              <c:f>'Геометрические результаты'!$M$129:$M$133</c:f>
              <c:numCache>
                <c:formatCode>General</c:formatCode>
                <c:ptCount val="5"/>
                <c:pt idx="2">
                  <c:v>3.2484089766431854</c:v>
                </c:pt>
                <c:pt idx="3">
                  <c:v>3.8859109915495389</c:v>
                </c:pt>
                <c:pt idx="4">
                  <c:v>4.2158455831484023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7920-4FFE-BC69-67569FAEB69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66066879"/>
        <c:axId val="666065215"/>
      </c:scatterChart>
      <c:valAx>
        <c:axId val="666066879"/>
        <c:scaling>
          <c:orientation val="minMax"/>
          <c:max val="500"/>
          <c:min val="15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 algn="ctr" rtl="0">
                  <a:defRPr lang="en-US" sz="1600" b="1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  <a:latin typeface="+mn-lt"/>
                    <a:ea typeface="+mn-ea"/>
                    <a:cs typeface="+mn-cs"/>
                  </a:defRPr>
                </a:pPr>
                <a:r>
                  <a:rPr lang="en-US" sz="1600" b="1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  <a:latin typeface="+mn-lt"/>
                    <a:ea typeface="+mn-ea"/>
                    <a:cs typeface="+mn-cs"/>
                  </a:rPr>
                  <a:t>L [нм] 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algn="ctr" rtl="0">
                <a:defRPr lang="en-US" sz="16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effectLst/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66065215"/>
        <c:crosses val="autoZero"/>
        <c:crossBetween val="midCat"/>
      </c:valAx>
      <c:valAx>
        <c:axId val="666065215"/>
        <c:scaling>
          <c:orientation val="minMax"/>
          <c:max val="4.4000000000000004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algn="ctr" rtl="0">
                  <a:defRPr lang="en-US" sz="18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6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rPr>
                  <a:t>log₁₀(σ) 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algn="ctr" rtl="0">
                <a:defRPr lang="en-US" sz="18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6606687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800" b="0" i="0" u="none" strike="noStrike" baseline="0"/>
              <a:t>График </a:t>
            </a:r>
            <a:r>
              <a:rPr lang="en-US" sz="1800" b="0" i="0" u="none" strike="noStrike" baseline="0"/>
              <a:t>log(</a:t>
            </a:r>
            <a:r>
              <a:rPr lang="el-GR" sz="1800" b="0" i="0" u="none" strike="noStrike" baseline="0"/>
              <a:t>σ(</a:t>
            </a:r>
            <a:r>
              <a:rPr lang="en-US" sz="1800" b="0" i="0" u="none" strike="noStrike" baseline="0"/>
              <a:t>jitter)</a:t>
            </a:r>
            <a:endParaRPr lang="en-US" sz="18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'Геометрические результаты'!$K$117:$K$121</c:f>
                <c:numCache>
                  <c:formatCode>General</c:formatCode>
                  <c:ptCount val="5"/>
                  <c:pt idx="0">
                    <c:v>0</c:v>
                  </c:pt>
                  <c:pt idx="1">
                    <c:v>0.21990247792505357</c:v>
                  </c:pt>
                  <c:pt idx="2">
                    <c:v>0.19296634162131276</c:v>
                  </c:pt>
                  <c:pt idx="3">
                    <c:v>0.25572919409935579</c:v>
                  </c:pt>
                  <c:pt idx="4">
                    <c:v>0.16681877406650569</c:v>
                  </c:pt>
                </c:numCache>
              </c:numRef>
            </c:plus>
            <c:minus>
              <c:numRef>
                <c:f>'Геометрические результаты'!$K$117:$K$121</c:f>
                <c:numCache>
                  <c:formatCode>General</c:formatCode>
                  <c:ptCount val="5"/>
                  <c:pt idx="0">
                    <c:v>0</c:v>
                  </c:pt>
                  <c:pt idx="1">
                    <c:v>0.21990247792505357</c:v>
                  </c:pt>
                  <c:pt idx="2">
                    <c:v>0.19296634162131276</c:v>
                  </c:pt>
                  <c:pt idx="3">
                    <c:v>0.25572919409935579</c:v>
                  </c:pt>
                  <c:pt idx="4">
                    <c:v>0.16681877406650569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'Геометрические результаты'!$I$117:$I$121</c:f>
              <c:numCache>
                <c:formatCode>General</c:formatCode>
                <c:ptCount val="5"/>
                <c:pt idx="0">
                  <c:v>0</c:v>
                </c:pt>
                <c:pt idx="1">
                  <c:v>4</c:v>
                </c:pt>
                <c:pt idx="2">
                  <c:v>8</c:v>
                </c:pt>
                <c:pt idx="3">
                  <c:v>15</c:v>
                </c:pt>
                <c:pt idx="4">
                  <c:v>30</c:v>
                </c:pt>
              </c:numCache>
            </c:numRef>
          </c:xVal>
          <c:yVal>
            <c:numRef>
              <c:f>'Геометрические результаты'!$J$117:$J$121</c:f>
              <c:numCache>
                <c:formatCode>General</c:formatCode>
                <c:ptCount val="5"/>
                <c:pt idx="0">
                  <c:v>0</c:v>
                </c:pt>
                <c:pt idx="1">
                  <c:v>2.7087844486970885</c:v>
                </c:pt>
                <c:pt idx="2">
                  <c:v>2.614164008821056</c:v>
                </c:pt>
                <c:pt idx="3">
                  <c:v>2.5431868322754756</c:v>
                </c:pt>
                <c:pt idx="4">
                  <c:v>2.722800238738234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75CE-4AA4-8AA1-292E64ECAC4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14249119"/>
        <c:axId val="414249535"/>
      </c:scatterChart>
      <c:valAx>
        <c:axId val="414249119"/>
        <c:scaling>
          <c:orientation val="minMax"/>
          <c:max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600" b="1" i="0" u="none" strike="noStrike" baseline="0">
                    <a:effectLst/>
                  </a:rPr>
                  <a:t>Jitter [°]</a:t>
                </a:r>
                <a:r>
                  <a:rPr lang="en-US" sz="1600" b="0" i="0" u="none" strike="noStrike" baseline="0"/>
                  <a:t> </a:t>
                </a:r>
                <a:endParaRPr lang="en-US" sz="160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14249535"/>
        <c:crosses val="autoZero"/>
        <c:crossBetween val="midCat"/>
      </c:valAx>
      <c:valAx>
        <c:axId val="414249535"/>
        <c:scaling>
          <c:orientation val="minMax"/>
          <c:max val="3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600"/>
                  <a:t>log₁₀(</a:t>
                </a:r>
                <a:r>
                  <a:rPr lang="el-GR" sz="1600"/>
                  <a:t>σ)</a:t>
                </a:r>
                <a:endParaRPr lang="en-US" sz="160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1424911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Jonah</dc:creator>
  <cp:keywords/>
  <dc:description/>
  <cp:lastModifiedBy>Jonah</cp:lastModifiedBy>
  <cp:revision>7</cp:revision>
  <dcterms:created xsi:type="dcterms:W3CDTF">2025-12-02T21:22:00Z</dcterms:created>
  <dcterms:modified xsi:type="dcterms:W3CDTF">2025-12-08T16:12:00Z</dcterms:modified>
</cp:coreProperties>
</file>