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78E55" w14:textId="77777777" w:rsidR="00601890" w:rsidRPr="006A5055" w:rsidRDefault="00BE2939">
      <w:pPr>
        <w:spacing w:after="240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t>Валидация масштабирования модели</w:t>
      </w:r>
    </w:p>
    <w:p w14:paraId="54D0AC03" w14:textId="77777777" w:rsidR="006A5055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Для проверки применимости модели к системам различных масштабов проведена серия из 135 симуляций, разделённых на два </w:t>
      </w:r>
      <w:proofErr w:type="spellStart"/>
      <w:r w:rsidRPr="006A5055">
        <w:rPr>
          <w:rFonts w:ascii="Times New Roman" w:hAnsi="Times New Roman" w:cs="Times New Roman"/>
        </w:rPr>
        <w:t>подтеста</w:t>
      </w:r>
      <w:proofErr w:type="spellEnd"/>
      <w:r w:rsidRPr="006A5055">
        <w:rPr>
          <w:rFonts w:ascii="Times New Roman" w:hAnsi="Times New Roman" w:cs="Times New Roman"/>
        </w:rPr>
        <w:t xml:space="preserve">. </w:t>
      </w:r>
      <w:proofErr w:type="spellStart"/>
      <w:r w:rsidRPr="006A5055">
        <w:rPr>
          <w:rFonts w:ascii="Times New Roman" w:hAnsi="Times New Roman" w:cs="Times New Roman"/>
        </w:rPr>
        <w:t>Подтест</w:t>
      </w:r>
      <w:proofErr w:type="spellEnd"/>
      <w:r w:rsidRPr="006A5055">
        <w:rPr>
          <w:rFonts w:ascii="Times New Roman" w:hAnsi="Times New Roman" w:cs="Times New Roman"/>
        </w:rPr>
        <w:t xml:space="preserve"> A (90 симуляций) исследовал влияние отношения длины УНТ к размеру области моделирования (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>) при фиксированно</w:t>
      </w:r>
      <w:r w:rsidRPr="006A5055">
        <w:rPr>
          <w:rFonts w:ascii="Times New Roman" w:hAnsi="Times New Roman" w:cs="Times New Roman"/>
        </w:rPr>
        <w:t xml:space="preserve">м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400 нм. </w:t>
      </w:r>
      <w:proofErr w:type="spellStart"/>
      <w:r w:rsidRPr="006A5055">
        <w:rPr>
          <w:rFonts w:ascii="Times New Roman" w:hAnsi="Times New Roman" w:cs="Times New Roman"/>
        </w:rPr>
        <w:t>Подтест</w:t>
      </w:r>
      <w:proofErr w:type="spellEnd"/>
      <w:r w:rsidRPr="006A5055">
        <w:rPr>
          <w:rFonts w:ascii="Times New Roman" w:hAnsi="Times New Roman" w:cs="Times New Roman"/>
        </w:rPr>
        <w:t xml:space="preserve"> B (45 симуляций) проверял масштабную инвариантность при фиксированном отношении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0.625 для трёх различных абсолютных размеров системы. Все симуляции проводились при концентрациях выше порога перколяции (</w:t>
      </w:r>
      <w:proofErr w:type="gramStart"/>
      <w:r w:rsidRPr="006A5055">
        <w:rPr>
          <w:rFonts w:ascii="Times New Roman" w:hAnsi="Times New Roman" w:cs="Times New Roman"/>
        </w:rPr>
        <w:t>φ &gt;</w:t>
      </w:r>
      <w:proofErr w:type="gramEnd"/>
      <w:r w:rsidRPr="006A5055">
        <w:rPr>
          <w:rFonts w:ascii="Times New Roman" w:hAnsi="Times New Roman" w:cs="Times New Roman"/>
        </w:rPr>
        <w:t xml:space="preserve"> φ_c) </w:t>
      </w:r>
      <w:r w:rsidRPr="006A5055">
        <w:rPr>
          <w:rFonts w:ascii="Times New Roman" w:hAnsi="Times New Roman" w:cs="Times New Roman"/>
        </w:rPr>
        <w:t xml:space="preserve">для исключения </w:t>
      </w:r>
      <w:proofErr w:type="spellStart"/>
      <w:r w:rsidRPr="006A5055">
        <w:rPr>
          <w:rFonts w:ascii="Times New Roman" w:hAnsi="Times New Roman" w:cs="Times New Roman"/>
        </w:rPr>
        <w:t>near-percolation</w:t>
      </w:r>
      <w:proofErr w:type="spellEnd"/>
      <w:r w:rsidRPr="006A5055">
        <w:rPr>
          <w:rFonts w:ascii="Times New Roman" w:hAnsi="Times New Roman" w:cs="Times New Roman"/>
        </w:rPr>
        <w:t xml:space="preserve"> эффектов</w:t>
      </w:r>
      <w:r w:rsidR="006A5055" w:rsidRPr="006A5055">
        <w:rPr>
          <w:rFonts w:ascii="Times New Roman" w:hAnsi="Times New Roman" w:cs="Times New Roman"/>
        </w:rPr>
        <w:t xml:space="preserve"> (</w:t>
      </w:r>
      <w:r w:rsidR="006A5055" w:rsidRPr="006A5055">
        <w:rPr>
          <w:rFonts w:ascii="Times New Roman" w:hAnsi="Times New Roman" w:cs="Times New Roman"/>
          <w:lang w:val="en-US"/>
        </w:rPr>
        <w:t>S</w:t>
      </w:r>
      <w:r w:rsidR="006A5055" w:rsidRPr="006A5055">
        <w:rPr>
          <w:rFonts w:ascii="Times New Roman" w:hAnsi="Times New Roman" w:cs="Times New Roman"/>
        </w:rPr>
        <w:t>-образная кривая проводимости)</w:t>
      </w:r>
      <w:r w:rsidRPr="006A5055">
        <w:rPr>
          <w:rFonts w:ascii="Times New Roman" w:hAnsi="Times New Roman" w:cs="Times New Roman"/>
        </w:rPr>
        <w:t>.</w:t>
      </w:r>
    </w:p>
    <w:p w14:paraId="42822D47" w14:textId="6A862393" w:rsidR="006A5055" w:rsidRPr="00BE2939" w:rsidRDefault="006A5055" w:rsidP="006A5055">
      <w:pPr>
        <w:spacing w:after="120"/>
        <w:jc w:val="center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noProof/>
        </w:rPr>
        <w:drawing>
          <wp:inline distT="0" distB="0" distL="0" distR="0" wp14:anchorId="540DE216" wp14:editId="06E89888">
            <wp:extent cx="5716270" cy="2413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B5A7" w14:textId="77777777" w:rsidR="00601890" w:rsidRPr="006A5055" w:rsidRDefault="00BE2939" w:rsidP="006A5055">
      <w:pPr>
        <w:spacing w:before="120" w:after="120"/>
        <w:jc w:val="center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i/>
          <w:iCs/>
        </w:rPr>
        <w:t>Рис. 1 Зависимость проводимости от отношения размеров и масштабная инвариантность</w:t>
      </w:r>
    </w:p>
    <w:p w14:paraId="1B03B4EA" w14:textId="77777777" w:rsidR="00601890" w:rsidRPr="006A5055" w:rsidRDefault="00BE2939" w:rsidP="006A5055">
      <w:pPr>
        <w:spacing w:before="240"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t xml:space="preserve">Влияние отношения длины УНТ к размеру системы. </w:t>
      </w:r>
      <w:r w:rsidRPr="006A5055">
        <w:rPr>
          <w:rFonts w:ascii="Times New Roman" w:hAnsi="Times New Roman" w:cs="Times New Roman"/>
        </w:rPr>
        <w:t xml:space="preserve">Исследование зависимости проводимости от параметра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проводилось для шес</w:t>
      </w:r>
      <w:r w:rsidRPr="006A5055">
        <w:rPr>
          <w:rFonts w:ascii="Times New Roman" w:hAnsi="Times New Roman" w:cs="Times New Roman"/>
        </w:rPr>
        <w:t xml:space="preserve">ти конфигураций в диапазоне отношений 0.375-1.25 при фиксированном размере области моделирования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400 нм. Для каждой конфигурации концентрация УНТ подбиралась таким образом, чтобы обеспечить объёмную долю φ ≈ 0.5-0.6%, что гарантировало нахождение</w:t>
      </w:r>
      <w:r w:rsidRPr="006A5055">
        <w:rPr>
          <w:rFonts w:ascii="Times New Roman" w:hAnsi="Times New Roman" w:cs="Times New Roman"/>
        </w:rPr>
        <w:t xml:space="preserve"> системы выше порога перколяции (φ_c ≈ 0.24%). Каждая конфигурация моделировалась 15 раз с различными случайными начальными условиями для оценки статистического разброса.</w:t>
      </w:r>
    </w:p>
    <w:p w14:paraId="7840488D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При минимальном отношении </w:t>
      </w:r>
      <w:proofErr w:type="spellStart"/>
      <w:r w:rsidRPr="006A5055">
        <w:rPr>
          <w:rFonts w:ascii="Times New Roman" w:hAnsi="Times New Roman" w:cs="Times New Roman"/>
          <w:b/>
          <w:bCs/>
        </w:rPr>
        <w:t>L_tube</w:t>
      </w:r>
      <w:proofErr w:type="spellEnd"/>
      <w:r w:rsidRPr="006A5055">
        <w:rPr>
          <w:rFonts w:ascii="Times New Roman" w:hAnsi="Times New Roman" w:cs="Times New Roman"/>
          <w:b/>
          <w:bCs/>
        </w:rPr>
        <w:t>/</w:t>
      </w:r>
      <w:proofErr w:type="spellStart"/>
      <w:r w:rsidRPr="006A5055">
        <w:rPr>
          <w:rFonts w:ascii="Times New Roman" w:hAnsi="Times New Roman" w:cs="Times New Roman"/>
          <w:b/>
          <w:bCs/>
        </w:rPr>
        <w:t>L_field</w:t>
      </w:r>
      <w:proofErr w:type="spellEnd"/>
      <w:r w:rsidRPr="006A5055">
        <w:rPr>
          <w:rFonts w:ascii="Times New Roman" w:hAnsi="Times New Roman" w:cs="Times New Roman"/>
          <w:b/>
          <w:bCs/>
        </w:rPr>
        <w:t xml:space="preserve"> = 0.375</w:t>
      </w:r>
      <w:r w:rsidRPr="006A5055">
        <w:rPr>
          <w:rFonts w:ascii="Times New Roman" w:hAnsi="Times New Roman" w:cs="Times New Roman"/>
        </w:rPr>
        <w:t xml:space="preserve"> (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 xml:space="preserve"> = 150 нм) перколяция наблюда</w:t>
      </w:r>
      <w:r w:rsidRPr="006A5055">
        <w:rPr>
          <w:rFonts w:ascii="Times New Roman" w:hAnsi="Times New Roman" w:cs="Times New Roman"/>
        </w:rPr>
        <w:t>лась лишь в 20% симуляций (3/15), несмотря на то что объёмная доля φ = 0.64% более чем вдвое превышала критическое значение. Средняя проводимость составила σ = 5 ± 11 См/м, где большое стандартное отклонение обусловлено бинарным характером распределения: 1</w:t>
      </w:r>
      <w:r w:rsidRPr="006A5055">
        <w:rPr>
          <w:rFonts w:ascii="Times New Roman" w:hAnsi="Times New Roman" w:cs="Times New Roman"/>
        </w:rPr>
        <w:t>2 систем непроводящие (σ = 10⁻⁶ См/м), 3 системы проводящие (σ ≈ 26 См/м). Данный результат указывает на недостаточное аспектное отношение L/D для надёжного формирования перколяционной сетки при указанной концентрации.</w:t>
      </w:r>
    </w:p>
    <w:p w14:paraId="552C375E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Начиная с отношения </w:t>
      </w:r>
      <w:proofErr w:type="spellStart"/>
      <w:r w:rsidRPr="006A5055">
        <w:rPr>
          <w:rFonts w:ascii="Times New Roman" w:hAnsi="Times New Roman" w:cs="Times New Roman"/>
          <w:b/>
          <w:bCs/>
        </w:rPr>
        <w:t>L_tube</w:t>
      </w:r>
      <w:proofErr w:type="spellEnd"/>
      <w:r w:rsidRPr="006A5055">
        <w:rPr>
          <w:rFonts w:ascii="Times New Roman" w:hAnsi="Times New Roman" w:cs="Times New Roman"/>
          <w:b/>
          <w:bCs/>
        </w:rPr>
        <w:t>/</w:t>
      </w:r>
      <w:proofErr w:type="spellStart"/>
      <w:r w:rsidRPr="006A5055">
        <w:rPr>
          <w:rFonts w:ascii="Times New Roman" w:hAnsi="Times New Roman" w:cs="Times New Roman"/>
          <w:b/>
          <w:bCs/>
        </w:rPr>
        <w:t>L_field</w:t>
      </w:r>
      <w:proofErr w:type="spellEnd"/>
      <w:r w:rsidRPr="006A5055">
        <w:rPr>
          <w:rFonts w:ascii="Times New Roman" w:hAnsi="Times New Roman" w:cs="Times New Roman"/>
          <w:b/>
          <w:bCs/>
        </w:rPr>
        <w:t xml:space="preserve"> = </w:t>
      </w:r>
      <w:r w:rsidRPr="006A5055">
        <w:rPr>
          <w:rFonts w:ascii="Times New Roman" w:hAnsi="Times New Roman" w:cs="Times New Roman"/>
          <w:b/>
          <w:bCs/>
        </w:rPr>
        <w:t>0.5</w:t>
      </w:r>
      <w:r w:rsidRPr="006A5055">
        <w:rPr>
          <w:rFonts w:ascii="Times New Roman" w:hAnsi="Times New Roman" w:cs="Times New Roman"/>
        </w:rPr>
        <w:t xml:space="preserve"> (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 xml:space="preserve"> = 200 нм) перколяция становится устойчивой: все 15 симуляций демонстрируют проводящее состояние (100% </w:t>
      </w:r>
      <w:r w:rsidRPr="006A5055">
        <w:rPr>
          <w:rFonts w:ascii="Times New Roman" w:hAnsi="Times New Roman" w:cs="Times New Roman"/>
        </w:rPr>
        <w:lastRenderedPageBreak/>
        <w:t>вероятность). Проводимость резко возрастает до σ = 70 ± 113 См/м. При дальнейшем увеличении отношения наблюдается монотонный рост проводимости</w:t>
      </w:r>
      <w:r w:rsidRPr="006A5055">
        <w:rPr>
          <w:rFonts w:ascii="Times New Roman" w:hAnsi="Times New Roman" w:cs="Times New Roman"/>
        </w:rPr>
        <w:t>:</w:t>
      </w:r>
    </w:p>
    <w:p w14:paraId="1C54EB97" w14:textId="77777777" w:rsidR="00601890" w:rsidRPr="006A5055" w:rsidRDefault="00BE2939" w:rsidP="006A5055">
      <w:pPr>
        <w:spacing w:after="6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•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0.625 (250 нм): σ = 581 ± 367 См/м, 100% перколяция</w:t>
      </w:r>
    </w:p>
    <w:p w14:paraId="00DEBC8D" w14:textId="77777777" w:rsidR="00601890" w:rsidRPr="006A5055" w:rsidRDefault="00BE2939" w:rsidP="006A5055">
      <w:pPr>
        <w:spacing w:after="6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•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0.75 (300 нм): σ = 1523 ± 427 См/м, 100% перколяция</w:t>
      </w:r>
    </w:p>
    <w:p w14:paraId="7BF425A4" w14:textId="77777777" w:rsidR="00601890" w:rsidRPr="006A5055" w:rsidRDefault="00BE2939" w:rsidP="006A5055">
      <w:pPr>
        <w:spacing w:after="6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•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1.0 (400 нм): σ = 3825 ± 762 См/м, 100% перколяция</w:t>
      </w:r>
    </w:p>
    <w:p w14:paraId="6054FC2A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•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1.25 (500 нм): σ = 8459</w:t>
      </w:r>
      <w:r w:rsidRPr="006A5055">
        <w:rPr>
          <w:rFonts w:ascii="Times New Roman" w:hAnsi="Times New Roman" w:cs="Times New Roman"/>
        </w:rPr>
        <w:t xml:space="preserve"> ± 1195 См/м, 100% перколяция</w:t>
      </w:r>
    </w:p>
    <w:p w14:paraId="375AB8BE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Рост проводимости с увеличением отношения носит </w:t>
      </w:r>
      <w:proofErr w:type="spellStart"/>
      <w:r w:rsidRPr="006A5055">
        <w:rPr>
          <w:rFonts w:ascii="Times New Roman" w:hAnsi="Times New Roman" w:cs="Times New Roman"/>
        </w:rPr>
        <w:t>сверхлинейный</w:t>
      </w:r>
      <w:proofErr w:type="spellEnd"/>
      <w:r w:rsidRPr="006A5055">
        <w:rPr>
          <w:rFonts w:ascii="Times New Roman" w:hAnsi="Times New Roman" w:cs="Times New Roman"/>
        </w:rPr>
        <w:t xml:space="preserve"> характер: при изменении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от 0.5 до 1.25 (в 2.5 раза) проводимость возрастает в 121 раз (от 70 до 8459 См/м). Данная зависимость обусловлена двумя факт</w:t>
      </w:r>
      <w:r w:rsidRPr="006A5055">
        <w:rPr>
          <w:rFonts w:ascii="Times New Roman" w:hAnsi="Times New Roman" w:cs="Times New Roman"/>
        </w:rPr>
        <w:t>орами: увеличением числа контактов между трубками (геометрический фактор) и ростом эффективной длины проводящих путей (топологический фактор). Относительно высокий статистический разброс (CV = 30-60%) свидетельствует о сохранении чувствительности к конкрет</w:t>
      </w:r>
      <w:r w:rsidRPr="006A5055">
        <w:rPr>
          <w:rFonts w:ascii="Times New Roman" w:hAnsi="Times New Roman" w:cs="Times New Roman"/>
        </w:rPr>
        <w:t>ной геометрии контактной сети даже при надёжной перколяции.</w:t>
      </w:r>
    </w:p>
    <w:p w14:paraId="2E6E1090" w14:textId="77777777" w:rsidR="00601890" w:rsidRPr="006A5055" w:rsidRDefault="00BE2939">
      <w:pPr>
        <w:spacing w:before="120" w:after="120"/>
        <w:jc w:val="center"/>
        <w:rPr>
          <w:rFonts w:ascii="Times New Roman" w:hAnsi="Times New Roman" w:cs="Times New Roman"/>
        </w:rPr>
      </w:pPr>
      <w:proofErr w:type="spellStart"/>
      <w:r w:rsidRPr="006A5055">
        <w:rPr>
          <w:rFonts w:ascii="Times New Roman" w:hAnsi="Times New Roman" w:cs="Times New Roman"/>
          <w:b/>
          <w:bCs/>
          <w:sz w:val="26"/>
          <w:szCs w:val="26"/>
        </w:rPr>
        <w:t>L_tube</w:t>
      </w:r>
      <w:proofErr w:type="spellEnd"/>
      <w:r w:rsidRPr="006A5055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6A5055">
        <w:rPr>
          <w:rFonts w:ascii="Times New Roman" w:hAnsi="Times New Roman" w:cs="Times New Roman"/>
          <w:b/>
          <w:bCs/>
          <w:sz w:val="26"/>
          <w:szCs w:val="26"/>
        </w:rPr>
        <w:t>L_field</w:t>
      </w:r>
      <w:proofErr w:type="spellEnd"/>
      <w:r w:rsidRPr="006A5055">
        <w:rPr>
          <w:rFonts w:ascii="Times New Roman" w:hAnsi="Times New Roman" w:cs="Times New Roman"/>
          <w:b/>
          <w:bCs/>
          <w:sz w:val="26"/>
          <w:szCs w:val="26"/>
        </w:rPr>
        <w:t xml:space="preserve"> ≥ 0.5 (критическое отношение)</w:t>
      </w:r>
    </w:p>
    <w:p w14:paraId="4F7E3F5A" w14:textId="370FAEB9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Полученное критическое значение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≥ 0.5 определяет минимальное отношение размеров для обеспечения надёжной перколяции при используемых кон</w:t>
      </w:r>
      <w:r w:rsidRPr="006A5055">
        <w:rPr>
          <w:rFonts w:ascii="Times New Roman" w:hAnsi="Times New Roman" w:cs="Times New Roman"/>
        </w:rPr>
        <w:t>центрациях. Это согласуется с теорией перколяции стержней, где требуется определённая минимальная длина объектов относительно размера системы для гарантированного образования бесконечного кластера.</w:t>
      </w:r>
    </w:p>
    <w:p w14:paraId="6FAEAD65" w14:textId="1B3EF2C1" w:rsidR="006A5055" w:rsidRPr="006A5055" w:rsidRDefault="006A5055" w:rsidP="006A5055">
      <w:pPr>
        <w:spacing w:after="120"/>
        <w:jc w:val="center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noProof/>
        </w:rPr>
        <w:drawing>
          <wp:inline distT="0" distB="0" distL="0" distR="0" wp14:anchorId="58F3A1B7" wp14:editId="158FCDE3">
            <wp:extent cx="572262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2DC5" w14:textId="77777777" w:rsidR="00601890" w:rsidRPr="006A5055" w:rsidRDefault="00BE2939" w:rsidP="006A5055">
      <w:pPr>
        <w:spacing w:before="120" w:after="120"/>
        <w:jc w:val="center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i/>
          <w:iCs/>
        </w:rPr>
        <w:t>Рис. 2 Детальное распределение проводимости для всех конфи</w:t>
      </w:r>
      <w:r w:rsidRPr="006A5055">
        <w:rPr>
          <w:rFonts w:ascii="Times New Roman" w:hAnsi="Times New Roman" w:cs="Times New Roman"/>
          <w:i/>
          <w:iCs/>
        </w:rPr>
        <w:t>гураций</w:t>
      </w:r>
    </w:p>
    <w:p w14:paraId="7A55C2BE" w14:textId="77777777" w:rsidR="00601890" w:rsidRPr="006A5055" w:rsidRDefault="00BE2939" w:rsidP="006A5055">
      <w:pPr>
        <w:spacing w:before="240"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t xml:space="preserve">Проверка масштабной инвариантности. </w:t>
      </w:r>
      <w:r w:rsidRPr="006A5055">
        <w:rPr>
          <w:rFonts w:ascii="Times New Roman" w:hAnsi="Times New Roman" w:cs="Times New Roman"/>
        </w:rPr>
        <w:t xml:space="preserve">Для выяснения влияния абсолютного размера системы на проводимость при фиксированном отношении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0.625 проведены симуляции для трёх различных масштабов: (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 xml:space="preserve">,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) = (125, </w:t>
      </w:r>
      <w:r w:rsidRPr="006A5055">
        <w:rPr>
          <w:rFonts w:ascii="Times New Roman" w:hAnsi="Times New Roman" w:cs="Times New Roman"/>
        </w:rPr>
        <w:lastRenderedPageBreak/>
        <w:t>200), (250, 400), (</w:t>
      </w:r>
      <w:r w:rsidRPr="006A5055">
        <w:rPr>
          <w:rFonts w:ascii="Times New Roman" w:hAnsi="Times New Roman" w:cs="Times New Roman"/>
        </w:rPr>
        <w:t>500, 800) нм. Концентрация УНТ в каждом случае подбиралась для поддержания примерно одинаковой объёмной доли, однако из-за различий в упаковке и обрезке на границах фактические значения φ составили 1.05%, 0.53% и 0.26% для малого, среднего и большого масшт</w:t>
      </w:r>
      <w:r w:rsidRPr="006A5055">
        <w:rPr>
          <w:rFonts w:ascii="Times New Roman" w:hAnsi="Times New Roman" w:cs="Times New Roman"/>
        </w:rPr>
        <w:t>абов соответственно. Каждая конфигурация моделировалась 15 раз.</w:t>
      </w:r>
    </w:p>
    <w:p w14:paraId="471CED9B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>Результаты выявили существенную зависимость проводимости от абсолютного размера системы:</w:t>
      </w:r>
    </w:p>
    <w:p w14:paraId="3BD43371" w14:textId="77777777" w:rsidR="00601890" w:rsidRPr="006A5055" w:rsidRDefault="00BE2939" w:rsidP="006A5055">
      <w:pPr>
        <w:spacing w:after="6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>• Малый масштаб (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200 нм): σ = 813 ± 525 См/м</w:t>
      </w:r>
    </w:p>
    <w:p w14:paraId="56C6519D" w14:textId="77777777" w:rsidR="00601890" w:rsidRPr="006A5055" w:rsidRDefault="00BE2939" w:rsidP="006A5055">
      <w:pPr>
        <w:spacing w:after="6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>• Средний масштаб (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400 нм): σ = 217 ± </w:t>
      </w:r>
      <w:r w:rsidRPr="006A5055">
        <w:rPr>
          <w:rFonts w:ascii="Times New Roman" w:hAnsi="Times New Roman" w:cs="Times New Roman"/>
        </w:rPr>
        <w:t>122 См/м</w:t>
      </w:r>
    </w:p>
    <w:p w14:paraId="1135CC87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>• Большой масштаб (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800 нм): σ = 191 ± 41 См/м</w:t>
      </w:r>
    </w:p>
    <w:p w14:paraId="57F41E60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 xml:space="preserve">Коэффициент вариации между средними значениями составил </w:t>
      </w:r>
      <w:r w:rsidRPr="006A5055">
        <w:rPr>
          <w:rFonts w:ascii="Times New Roman" w:hAnsi="Times New Roman" w:cs="Times New Roman"/>
          <w:b/>
          <w:bCs/>
        </w:rPr>
        <w:t>CV = 86.5%</w:t>
      </w:r>
      <w:r w:rsidRPr="006A5055">
        <w:rPr>
          <w:rFonts w:ascii="Times New Roman" w:hAnsi="Times New Roman" w:cs="Times New Roman"/>
        </w:rPr>
        <w:t>, что значительно превышает пороговое значение 30% для признания масштабной инвариантности. Проводимость систематически снижа</w:t>
      </w:r>
      <w:r w:rsidRPr="006A5055">
        <w:rPr>
          <w:rFonts w:ascii="Times New Roman" w:hAnsi="Times New Roman" w:cs="Times New Roman"/>
        </w:rPr>
        <w:t xml:space="preserve">ется при увеличении размера: переход от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200 нм к 400 нм приводит к падению σ в 3.7 раза, а дальнейшее увеличение до 800 нм даёт лишь незначительное дополнительное снижение (в 1.1 раза), что указывает на насыщение эффекта.</w:t>
      </w:r>
    </w:p>
    <w:p w14:paraId="4B3E1FB7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6A5055">
        <w:rPr>
          <w:rFonts w:ascii="Times New Roman" w:hAnsi="Times New Roman" w:cs="Times New Roman"/>
          <w:b/>
          <w:bCs/>
        </w:rPr>
        <w:t>Finite-size</w:t>
      </w:r>
      <w:proofErr w:type="spellEnd"/>
      <w:r w:rsidRPr="006A5055">
        <w:rPr>
          <w:rFonts w:ascii="Times New Roman" w:hAnsi="Times New Roman" w:cs="Times New Roman"/>
          <w:b/>
          <w:bCs/>
        </w:rPr>
        <w:t xml:space="preserve"> эффекты. </w:t>
      </w:r>
      <w:r w:rsidRPr="006A5055">
        <w:rPr>
          <w:rFonts w:ascii="Times New Roman" w:hAnsi="Times New Roman" w:cs="Times New Roman"/>
        </w:rPr>
        <w:t>Наб</w:t>
      </w:r>
      <w:r w:rsidRPr="006A5055">
        <w:rPr>
          <w:rFonts w:ascii="Times New Roman" w:hAnsi="Times New Roman" w:cs="Times New Roman"/>
        </w:rPr>
        <w:t xml:space="preserve">людаемое явление связано с </w:t>
      </w:r>
      <w:proofErr w:type="spellStart"/>
      <w:r w:rsidRPr="006A5055">
        <w:rPr>
          <w:rFonts w:ascii="Times New Roman" w:hAnsi="Times New Roman" w:cs="Times New Roman"/>
        </w:rPr>
        <w:t>finite-size</w:t>
      </w:r>
      <w:proofErr w:type="spellEnd"/>
      <w:r w:rsidRPr="006A5055">
        <w:rPr>
          <w:rFonts w:ascii="Times New Roman" w:hAnsi="Times New Roman" w:cs="Times New Roman"/>
        </w:rPr>
        <w:t xml:space="preserve"> эффектами, характерными для моделирования перколяционных систем методом Монте-Карло. При малых размерах системы (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200 нм, что составляет всего 1.6 длины трубки) граничные эффекты существенно влияют на тополог</w:t>
      </w:r>
      <w:r w:rsidRPr="006A5055">
        <w:rPr>
          <w:rFonts w:ascii="Times New Roman" w:hAnsi="Times New Roman" w:cs="Times New Roman"/>
        </w:rPr>
        <w:t xml:space="preserve">ию сети: относительно большая доля трубок пересекает границы, что искусственно завышает связность и, следовательно, проводимость. При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400 нм (3.2 длины трубки) влияние границ ослабевает, но всё ещё заметно. При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800 нм (6.4 длины трубки)</w:t>
      </w:r>
      <w:r w:rsidRPr="006A5055">
        <w:rPr>
          <w:rFonts w:ascii="Times New Roman" w:hAnsi="Times New Roman" w:cs="Times New Roman"/>
        </w:rPr>
        <w:t xml:space="preserve"> система приближается к термодинамическому пределу, где граничные эффекты становятся пренебрежимо малыми.</w:t>
      </w:r>
    </w:p>
    <w:p w14:paraId="29539D54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>Дополнительным фактором является различие в объёмных долях (φ = 1.05%, 0.53%, 0.26%), обусловленное особенностями алгоритма генерации и обрезки трубок</w:t>
      </w:r>
      <w:r w:rsidRPr="006A5055">
        <w:rPr>
          <w:rFonts w:ascii="Times New Roman" w:hAnsi="Times New Roman" w:cs="Times New Roman"/>
        </w:rPr>
        <w:t xml:space="preserve">. Более высокая концентрация в малой системе (φ = 1.05%) по сравнению с большой (φ = 0.26%) вносит вклад в различие проводимостей, однако не является единственной причиной. Анализ показал, что даже при учёте разницы в φ через степенной закон σ </w:t>
      </w:r>
      <w:r w:rsidRPr="006A5055">
        <w:rPr>
          <w:rFonts w:ascii="Cambria Math" w:hAnsi="Cambria Math" w:cs="Cambria Math"/>
        </w:rPr>
        <w:t>∝</w:t>
      </w:r>
      <w:r w:rsidRPr="006A5055">
        <w:rPr>
          <w:rFonts w:ascii="Times New Roman" w:hAnsi="Times New Roman" w:cs="Times New Roman"/>
        </w:rPr>
        <w:t xml:space="preserve"> (φ - φ_</w:t>
      </w:r>
      <w:proofErr w:type="gramStart"/>
      <w:r w:rsidRPr="006A5055">
        <w:rPr>
          <w:rFonts w:ascii="Times New Roman" w:hAnsi="Times New Roman" w:cs="Times New Roman"/>
        </w:rPr>
        <w:t>c)^</w:t>
      </w:r>
      <w:proofErr w:type="gramEnd"/>
      <w:r w:rsidRPr="006A5055">
        <w:rPr>
          <w:rFonts w:ascii="Times New Roman" w:hAnsi="Times New Roman" w:cs="Times New Roman"/>
        </w:rPr>
        <w:t xml:space="preserve">t, </w:t>
      </w:r>
      <w:proofErr w:type="spellStart"/>
      <w:r w:rsidRPr="006A5055">
        <w:rPr>
          <w:rFonts w:ascii="Times New Roman" w:hAnsi="Times New Roman" w:cs="Times New Roman"/>
        </w:rPr>
        <w:t>finite-size</w:t>
      </w:r>
      <w:proofErr w:type="spellEnd"/>
      <w:r w:rsidRPr="006A5055">
        <w:rPr>
          <w:rFonts w:ascii="Times New Roman" w:hAnsi="Times New Roman" w:cs="Times New Roman"/>
        </w:rPr>
        <w:t xml:space="preserve"> эффекты остаются доминирующим фактором.</w:t>
      </w:r>
    </w:p>
    <w:p w14:paraId="07C75DEF" w14:textId="77777777" w:rsidR="00601890" w:rsidRPr="006A5055" w:rsidRDefault="00BE2939" w:rsidP="006A5055">
      <w:pPr>
        <w:pStyle w:val="Heading3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</w:rPr>
        <w:t>Импликации для применимости модели</w:t>
      </w:r>
    </w:p>
    <w:p w14:paraId="066B5911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t xml:space="preserve">Требования к размеру системы. </w:t>
      </w:r>
      <w:r w:rsidRPr="006A5055">
        <w:rPr>
          <w:rFonts w:ascii="Times New Roman" w:hAnsi="Times New Roman" w:cs="Times New Roman"/>
        </w:rPr>
        <w:t xml:space="preserve">Результаты </w:t>
      </w:r>
      <w:proofErr w:type="spellStart"/>
      <w:r w:rsidRPr="006A5055">
        <w:rPr>
          <w:rFonts w:ascii="Times New Roman" w:hAnsi="Times New Roman" w:cs="Times New Roman"/>
        </w:rPr>
        <w:t>подтеста</w:t>
      </w:r>
      <w:proofErr w:type="spellEnd"/>
      <w:r w:rsidRPr="006A5055">
        <w:rPr>
          <w:rFonts w:ascii="Times New Roman" w:hAnsi="Times New Roman" w:cs="Times New Roman"/>
        </w:rPr>
        <w:t xml:space="preserve"> B указывают на необходимость соблюдения минимального размера области моделирования для получения результатов, примен</w:t>
      </w:r>
      <w:r w:rsidRPr="006A5055">
        <w:rPr>
          <w:rFonts w:ascii="Times New Roman" w:hAnsi="Times New Roman" w:cs="Times New Roman"/>
        </w:rPr>
        <w:t xml:space="preserve">имых к макроскопическим системам. Критерий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≥ 5-10 длин УНТ представляется разумным компромиссом между вычислительными затратами (растут как L_field³) и точностью результатов. При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400 нм (3.2L_tube) </w:t>
      </w:r>
      <w:proofErr w:type="spellStart"/>
      <w:r w:rsidRPr="006A5055">
        <w:rPr>
          <w:rFonts w:ascii="Times New Roman" w:hAnsi="Times New Roman" w:cs="Times New Roman"/>
        </w:rPr>
        <w:t>finite-size</w:t>
      </w:r>
      <w:proofErr w:type="spellEnd"/>
      <w:r w:rsidRPr="006A5055">
        <w:rPr>
          <w:rFonts w:ascii="Times New Roman" w:hAnsi="Times New Roman" w:cs="Times New Roman"/>
        </w:rPr>
        <w:t xml:space="preserve"> эффекты ещё заметны, но уже </w:t>
      </w:r>
      <w:r w:rsidRPr="006A5055">
        <w:rPr>
          <w:rFonts w:ascii="Times New Roman" w:hAnsi="Times New Roman" w:cs="Times New Roman"/>
        </w:rPr>
        <w:t xml:space="preserve">не критичны. Для количественно точных предсказаний рекомендуется использовать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≥ 6-8 длин УНТ.</w:t>
      </w:r>
    </w:p>
    <w:p w14:paraId="5F44A057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lastRenderedPageBreak/>
        <w:t xml:space="preserve">Необходимость калибровки. </w:t>
      </w:r>
      <w:r w:rsidRPr="006A5055">
        <w:rPr>
          <w:rFonts w:ascii="Times New Roman" w:hAnsi="Times New Roman" w:cs="Times New Roman"/>
        </w:rPr>
        <w:t>Для корректного масштабирования результатов на макроскопические системы требуется калибровочная процедура, учитывающая зависимос</w:t>
      </w:r>
      <w:r w:rsidRPr="006A5055">
        <w:rPr>
          <w:rFonts w:ascii="Times New Roman" w:hAnsi="Times New Roman" w:cs="Times New Roman"/>
        </w:rPr>
        <w:t>ть σ(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) при фиксированном φ и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>. Альтернативным подходом является использование репрезентативного элементарного объёма (RVE) с периодическими граничными условиями, что позволяет устранить граничные эффекты. Однако реализация периодически</w:t>
      </w:r>
      <w:r w:rsidRPr="006A5055">
        <w:rPr>
          <w:rFonts w:ascii="Times New Roman" w:hAnsi="Times New Roman" w:cs="Times New Roman"/>
        </w:rPr>
        <w:t>х условий для систем трёхмерных стержней представляет значительную техническую сложность.</w:t>
      </w:r>
    </w:p>
    <w:p w14:paraId="66C8082A" w14:textId="77777777" w:rsidR="00601890" w:rsidRPr="006A5055" w:rsidRDefault="00BE2939" w:rsidP="006A5055">
      <w:pPr>
        <w:spacing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t xml:space="preserve">Область применимости. </w:t>
      </w:r>
      <w:r w:rsidRPr="006A5055">
        <w:rPr>
          <w:rFonts w:ascii="Times New Roman" w:hAnsi="Times New Roman" w:cs="Times New Roman"/>
        </w:rPr>
        <w:t>Модель в текущей реализации наиболее применима для качественного анализа зависимостей и определения критических параметров (порог перколяции, критические показатели, влияние геометрических параметров). Для количественного сравнения с экспериментальными дан</w:t>
      </w:r>
      <w:r w:rsidRPr="006A5055">
        <w:rPr>
          <w:rFonts w:ascii="Times New Roman" w:hAnsi="Times New Roman" w:cs="Times New Roman"/>
        </w:rPr>
        <w:t xml:space="preserve">ными по макроскопическим образцам необходимо либо проводить калибровку через серию симуляций различных масштабов, либо использовать эффективные среды с </w:t>
      </w:r>
      <w:proofErr w:type="spellStart"/>
      <w:r w:rsidRPr="006A5055">
        <w:rPr>
          <w:rFonts w:ascii="Times New Roman" w:hAnsi="Times New Roman" w:cs="Times New Roman"/>
        </w:rPr>
        <w:t>L_</w:t>
      </w:r>
      <w:proofErr w:type="gramStart"/>
      <w:r w:rsidRPr="006A5055">
        <w:rPr>
          <w:rFonts w:ascii="Times New Roman" w:hAnsi="Times New Roman" w:cs="Times New Roman"/>
        </w:rPr>
        <w:t>field</w:t>
      </w:r>
      <w:proofErr w:type="spellEnd"/>
      <w:r w:rsidRPr="006A5055">
        <w:rPr>
          <w:rFonts w:ascii="Times New Roman" w:hAnsi="Times New Roman" w:cs="Times New Roman"/>
        </w:rPr>
        <w:t xml:space="preserve"> &gt;</w:t>
      </w:r>
      <w:proofErr w:type="gramEnd"/>
      <w:r w:rsidRPr="006A5055">
        <w:rPr>
          <w:rFonts w:ascii="Times New Roman" w:hAnsi="Times New Roman" w:cs="Times New Roman"/>
        </w:rPr>
        <w:t xml:space="preserve">&gt;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 xml:space="preserve">. Прямое применение результатов для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</w:t>
      </w:r>
      <w:proofErr w:type="gramStart"/>
      <w:r w:rsidRPr="006A5055">
        <w:rPr>
          <w:rFonts w:ascii="Times New Roman" w:hAnsi="Times New Roman" w:cs="Times New Roman"/>
        </w:rPr>
        <w:t>&lt; 5</w:t>
      </w:r>
      <w:proofErr w:type="gramEnd"/>
      <w:r w:rsidRPr="006A5055">
        <w:rPr>
          <w:rFonts w:ascii="Times New Roman" w:hAnsi="Times New Roman" w:cs="Times New Roman"/>
        </w:rPr>
        <w:t>L_tube к макроскопическим системам может</w:t>
      </w:r>
      <w:r w:rsidRPr="006A5055">
        <w:rPr>
          <w:rFonts w:ascii="Times New Roman" w:hAnsi="Times New Roman" w:cs="Times New Roman"/>
        </w:rPr>
        <w:t xml:space="preserve"> приводить к систематической переоценке проводимости.</w:t>
      </w:r>
    </w:p>
    <w:p w14:paraId="22EE15F1" w14:textId="77777777" w:rsidR="00601890" w:rsidRPr="006A5055" w:rsidRDefault="00BE2939" w:rsidP="006A5055">
      <w:pPr>
        <w:spacing w:before="240" w:after="12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b/>
          <w:bCs/>
        </w:rPr>
        <w:t xml:space="preserve">Выводы. </w:t>
      </w:r>
      <w:r w:rsidRPr="006A5055">
        <w:rPr>
          <w:rFonts w:ascii="Times New Roman" w:hAnsi="Times New Roman" w:cs="Times New Roman"/>
        </w:rPr>
        <w:t xml:space="preserve">Валидация масштабирования выявила два критических аспекта применимости модели. Во-первых, установлено минимальное отношение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≥ 0.5 для обеспечения надёжной перколяции при типичных </w:t>
      </w:r>
      <w:r w:rsidRPr="006A5055">
        <w:rPr>
          <w:rFonts w:ascii="Times New Roman" w:hAnsi="Times New Roman" w:cs="Times New Roman"/>
        </w:rPr>
        <w:t xml:space="preserve">концентрациях φ ≈ 0.5-0.6%. При меньших отношениях перколяция становится вероятностной (20% при </w:t>
      </w:r>
      <w:proofErr w:type="spellStart"/>
      <w:r w:rsidRPr="006A5055">
        <w:rPr>
          <w:rFonts w:ascii="Times New Roman" w:hAnsi="Times New Roman" w:cs="Times New Roman"/>
        </w:rPr>
        <w:t>ratio</w:t>
      </w:r>
      <w:proofErr w:type="spellEnd"/>
      <w:r w:rsidRPr="006A5055">
        <w:rPr>
          <w:rFonts w:ascii="Times New Roman" w:hAnsi="Times New Roman" w:cs="Times New Roman"/>
        </w:rPr>
        <w:t xml:space="preserve"> = 0.375), что делает результаты статистически ненадёжными. Во-вторых, обнаружены существенные </w:t>
      </w:r>
      <w:proofErr w:type="spellStart"/>
      <w:r w:rsidRPr="006A5055">
        <w:rPr>
          <w:rFonts w:ascii="Times New Roman" w:hAnsi="Times New Roman" w:cs="Times New Roman"/>
        </w:rPr>
        <w:t>finite-size</w:t>
      </w:r>
      <w:proofErr w:type="spellEnd"/>
      <w:r w:rsidRPr="006A5055">
        <w:rPr>
          <w:rFonts w:ascii="Times New Roman" w:hAnsi="Times New Roman" w:cs="Times New Roman"/>
        </w:rPr>
        <w:t xml:space="preserve"> эффекты: проводимость систематически завышается </w:t>
      </w:r>
      <w:r w:rsidRPr="006A5055">
        <w:rPr>
          <w:rFonts w:ascii="Times New Roman" w:hAnsi="Times New Roman" w:cs="Times New Roman"/>
        </w:rPr>
        <w:t xml:space="preserve">при уменьшении абсолютного размера системы (CV = 86.5% между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= 200 и 800 нм). Это обусловлено влиянием граничных условий и требует калибровки для масштабирования на макроскопические образцы. Для количественно корректных результатов рекомендуется ис</w:t>
      </w:r>
      <w:r w:rsidRPr="006A5055">
        <w:rPr>
          <w:rFonts w:ascii="Times New Roman" w:hAnsi="Times New Roman" w:cs="Times New Roman"/>
        </w:rPr>
        <w:t xml:space="preserve">пользовать 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≥ 6-8 длин УНТ при сохранении </w:t>
      </w:r>
      <w:proofErr w:type="spellStart"/>
      <w:r w:rsidRPr="006A5055">
        <w:rPr>
          <w:rFonts w:ascii="Times New Roman" w:hAnsi="Times New Roman" w:cs="Times New Roman"/>
        </w:rPr>
        <w:t>L_tube</w:t>
      </w:r>
      <w:proofErr w:type="spellEnd"/>
      <w:r w:rsidRPr="006A5055">
        <w:rPr>
          <w:rFonts w:ascii="Times New Roman" w:hAnsi="Times New Roman" w:cs="Times New Roman"/>
        </w:rPr>
        <w:t>/</w:t>
      </w:r>
      <w:proofErr w:type="spellStart"/>
      <w:r w:rsidRPr="006A5055">
        <w:rPr>
          <w:rFonts w:ascii="Times New Roman" w:hAnsi="Times New Roman" w:cs="Times New Roman"/>
        </w:rPr>
        <w:t>L_field</w:t>
      </w:r>
      <w:proofErr w:type="spellEnd"/>
      <w:r w:rsidRPr="006A5055">
        <w:rPr>
          <w:rFonts w:ascii="Times New Roman" w:hAnsi="Times New Roman" w:cs="Times New Roman"/>
        </w:rPr>
        <w:t xml:space="preserve"> ≥ 0.5. Модель остаётся применимой для качественного анализа зависимостей и определения критических параметров, однако прямое сравнение с макроскопическими экспериментами требует учёта масштабн</w:t>
      </w:r>
      <w:r w:rsidRPr="006A5055">
        <w:rPr>
          <w:rFonts w:ascii="Times New Roman" w:hAnsi="Times New Roman" w:cs="Times New Roman"/>
        </w:rPr>
        <w:t>ых эффектов.</w:t>
      </w:r>
    </w:p>
    <w:p w14:paraId="22CC7A7F" w14:textId="77777777" w:rsidR="00601890" w:rsidRPr="006A5055" w:rsidRDefault="00BE2939" w:rsidP="006A5055">
      <w:pPr>
        <w:spacing w:before="360"/>
        <w:jc w:val="both"/>
        <w:rPr>
          <w:rFonts w:ascii="Times New Roman" w:hAnsi="Times New Roman" w:cs="Times New Roman"/>
        </w:rPr>
      </w:pPr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Параметры теста: 135 симуляций (</w:t>
      </w:r>
      <w:proofErr w:type="spellStart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подтест</w:t>
      </w:r>
      <w:proofErr w:type="spellEnd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A: 6 конфигураций × 15 повторов, </w:t>
      </w:r>
      <w:proofErr w:type="spellStart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подтест</w:t>
      </w:r>
      <w:proofErr w:type="spellEnd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B: 3 конфигурации × 15 повторов), aligned ориентация (jitter = 4°), без аэрогеля (</w:t>
      </w:r>
      <w:proofErr w:type="spellStart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enable_particles</w:t>
      </w:r>
      <w:proofErr w:type="spellEnd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= </w:t>
      </w:r>
      <w:proofErr w:type="spellStart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False</w:t>
      </w:r>
      <w:proofErr w:type="spellEnd"/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), метод расчёта: Кирхгофф (перколяция) / проводимость и</w:t>
      </w:r>
      <w:r w:rsidRPr="006A5055">
        <w:rPr>
          <w:rFonts w:ascii="Times New Roman" w:hAnsi="Times New Roman" w:cs="Times New Roman"/>
          <w:i/>
          <w:iCs/>
          <w:color w:val="666666"/>
          <w:sz w:val="20"/>
          <w:szCs w:val="20"/>
        </w:rPr>
        <w:t>золятора (без перколяции).</w:t>
      </w:r>
    </w:p>
    <w:sectPr w:rsidR="00601890" w:rsidRPr="006A50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D1F19"/>
    <w:multiLevelType w:val="hybridMultilevel"/>
    <w:tmpl w:val="86829980"/>
    <w:lvl w:ilvl="0" w:tplc="6824925C">
      <w:start w:val="1"/>
      <w:numFmt w:val="bullet"/>
      <w:lvlText w:val="●"/>
      <w:lvlJc w:val="left"/>
      <w:pPr>
        <w:ind w:left="720" w:hanging="360"/>
      </w:pPr>
    </w:lvl>
    <w:lvl w:ilvl="1" w:tplc="6EB0DCB0">
      <w:start w:val="1"/>
      <w:numFmt w:val="bullet"/>
      <w:lvlText w:val="○"/>
      <w:lvlJc w:val="left"/>
      <w:pPr>
        <w:ind w:left="1440" w:hanging="360"/>
      </w:pPr>
    </w:lvl>
    <w:lvl w:ilvl="2" w:tplc="F5E4C632">
      <w:start w:val="1"/>
      <w:numFmt w:val="bullet"/>
      <w:lvlText w:val="■"/>
      <w:lvlJc w:val="left"/>
      <w:pPr>
        <w:ind w:left="2160" w:hanging="360"/>
      </w:pPr>
    </w:lvl>
    <w:lvl w:ilvl="3" w:tplc="EAF8B306">
      <w:start w:val="1"/>
      <w:numFmt w:val="bullet"/>
      <w:lvlText w:val="●"/>
      <w:lvlJc w:val="left"/>
      <w:pPr>
        <w:ind w:left="2880" w:hanging="360"/>
      </w:pPr>
    </w:lvl>
    <w:lvl w:ilvl="4" w:tplc="A4526F08">
      <w:start w:val="1"/>
      <w:numFmt w:val="bullet"/>
      <w:lvlText w:val="○"/>
      <w:lvlJc w:val="left"/>
      <w:pPr>
        <w:ind w:left="3600" w:hanging="360"/>
      </w:pPr>
    </w:lvl>
    <w:lvl w:ilvl="5" w:tplc="F9365472">
      <w:start w:val="1"/>
      <w:numFmt w:val="bullet"/>
      <w:lvlText w:val="■"/>
      <w:lvlJc w:val="left"/>
      <w:pPr>
        <w:ind w:left="4320" w:hanging="360"/>
      </w:pPr>
    </w:lvl>
    <w:lvl w:ilvl="6" w:tplc="26C48C4E">
      <w:start w:val="1"/>
      <w:numFmt w:val="bullet"/>
      <w:lvlText w:val="●"/>
      <w:lvlJc w:val="left"/>
      <w:pPr>
        <w:ind w:left="5040" w:hanging="360"/>
      </w:pPr>
    </w:lvl>
    <w:lvl w:ilvl="7" w:tplc="FDDEF3C6">
      <w:start w:val="1"/>
      <w:numFmt w:val="bullet"/>
      <w:lvlText w:val="●"/>
      <w:lvlJc w:val="left"/>
      <w:pPr>
        <w:ind w:left="5760" w:hanging="360"/>
      </w:pPr>
    </w:lvl>
    <w:lvl w:ilvl="8" w:tplc="9A4E0F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890"/>
    <w:rsid w:val="00601890"/>
    <w:rsid w:val="006A5055"/>
    <w:rsid w:val="00BE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FD03"/>
  <w15:docId w15:val="{3EC4BECF-B482-4DD5-AE7D-5F8F5CA1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Jonah</cp:lastModifiedBy>
  <cp:revision>3</cp:revision>
  <dcterms:created xsi:type="dcterms:W3CDTF">2025-12-09T20:26:00Z</dcterms:created>
  <dcterms:modified xsi:type="dcterms:W3CDTF">2025-12-09T21:24:00Z</dcterms:modified>
</cp:coreProperties>
</file>