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1F3A"/>
          <w:sz w:val="36"/>
        </w:rPr>
        <w:t>Trade Flow Intelligence</w:t>
      </w:r>
    </w:p>
    <w:p>
      <w:pPr>
        <w:spacing w:before="80" w:after="80"/>
      </w:pPr>
      <w:r>
        <w:rPr>
          <w:rFonts w:ascii="Calibri" w:hAnsi="Calibri"/>
          <w:b/>
          <w:color w:val="0E7C7B"/>
          <w:sz w:val="24"/>
        </w:rPr>
        <w:t>Product Detail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**Product**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Trade Flow Intelligence Agent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**Version**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**Audience**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Policymakers, trade analysts, supply-chain &amp; business strategy teams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**Status**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Production-ready pipeline (synthetic fallback when live APIs unavailable)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**Live demo**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https://urmic111.github.io/Trade_Intelligence/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1. Product overview</w:t>
      </w:r>
    </w:p>
    <w:p>
      <w:pPr>
        <w:spacing w:after="8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Trade Flow Intelligence</w:t>
      </w:r>
      <w:r>
        <w:rPr>
          <w:rFonts w:ascii="Calibri" w:hAnsi="Calibri"/>
          <w:b w:val="0"/>
          <w:sz w:val="21"/>
        </w:rPr>
        <w:t xml:space="preserve"> is an autonomous analytics product that turns fragmented U.S. public trade data into decision-ready risk, forecast, and opportunity insights.</w:t>
      </w:r>
    </w:p>
    <w:p>
      <w:pPr>
        <w:spacing w:after="80"/>
      </w:pPr>
      <w:r>
        <w:rPr>
          <w:rFonts w:ascii="Calibri" w:hAnsi="Calibri"/>
          <w:b w:val="0"/>
          <w:sz w:val="21"/>
        </w:rPr>
        <w:t>Users get a single operating picture of import/export dynamics: which commodities are dependency-concentrated, which ports are congested, where anomalies appear, and what actions to consider next—without manually stitching Census, BEA, BTS, tariff, and commodity feeds.</w:t>
      </w:r>
    </w:p>
    <w:p>
      <w:pPr>
        <w:spacing w:after="80"/>
      </w:pPr>
      <w:r>
        <w:rPr>
          <w:rFonts w:ascii="Calibri" w:hAnsi="Calibri"/>
          <w:b w:val="0"/>
          <w:sz w:val="21"/>
        </w:rPr>
        <w:t xml:space="preserve">The product runs as a modular Python pipeline and delivers results as </w:t>
      </w:r>
      <w:r>
        <w:rPr>
          <w:rFonts w:ascii="Calibri" w:hAnsi="Calibri"/>
          <w:b/>
          <w:sz w:val="21"/>
        </w:rPr>
        <w:t>Excel workbooks</w:t>
      </w:r>
      <w:r>
        <w:rPr>
          <w:rFonts w:ascii="Calibri" w:hAnsi="Calibri"/>
          <w:b w:val="0"/>
          <w:sz w:val="21"/>
        </w:rPr>
        <w:t xml:space="preserve">, </w:t>
      </w:r>
      <w:r>
        <w:rPr>
          <w:rFonts w:ascii="Calibri" w:hAnsi="Calibri"/>
          <w:b/>
          <w:sz w:val="21"/>
        </w:rPr>
        <w:t>CSV datasets</w:t>
      </w:r>
      <w:r>
        <w:rPr>
          <w:rFonts w:ascii="Calibri" w:hAnsi="Calibri"/>
          <w:b w:val="0"/>
          <w:sz w:val="21"/>
        </w:rPr>
        <w:t xml:space="preserve">, and an </w:t>
      </w:r>
      <w:r>
        <w:rPr>
          <w:rFonts w:ascii="Calibri" w:hAnsi="Calibri"/>
          <w:b/>
          <w:sz w:val="21"/>
        </w:rPr>
        <w:t>interactive HTML dashboard</w:t>
      </w:r>
      <w:r>
        <w:rPr>
          <w:rFonts w:ascii="Calibri" w:hAnsi="Calibri"/>
          <w:b w:val="0"/>
          <w:sz w:val="21"/>
        </w:rPr>
        <w:t xml:space="preserve"> (also published to GitHub Pages).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2. Problem</w:t>
      </w:r>
    </w:p>
    <w:p>
      <w:pPr>
        <w:spacing w:after="80"/>
      </w:pPr>
      <w:r>
        <w:rPr>
          <w:rFonts w:ascii="Calibri" w:hAnsi="Calibri"/>
          <w:b w:val="0"/>
          <w:sz w:val="21"/>
        </w:rPr>
        <w:t>Trade stakeholders face three recurring gaps: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Fragmented sources</w:t>
      </w:r>
      <w:r>
        <w:rPr>
          <w:rFonts w:ascii="Calibri" w:hAnsi="Calibri"/>
          <w:b w:val="0"/>
          <w:sz w:val="21"/>
        </w:rPr>
        <w:t xml:space="preserve"> — Goods/services balances, HS-level country flows, port stats, tariffs, and disruption signals live in different systems and formats.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Slow interpretation</w:t>
      </w:r>
      <w:r>
        <w:rPr>
          <w:rFonts w:ascii="Calibri" w:hAnsi="Calibri"/>
          <w:b w:val="0"/>
          <w:sz w:val="21"/>
        </w:rPr>
        <w:t xml:space="preserve"> — Analysts spend hours cleaning codes (HS, country names) before they can ask policy questions.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Opaque risk</w:t>
      </w:r>
      <w:r>
        <w:rPr>
          <w:rFonts w:ascii="Calibri" w:hAnsi="Calibri"/>
          <w:b w:val="0"/>
          <w:sz w:val="21"/>
        </w:rPr>
        <w:t xml:space="preserve"> — Single-supplier reliance, tariff exposure, and congestion rarely appear in one scored, explainable view.</w:t>
      </w:r>
    </w:p>
    <w:p>
      <w:pPr>
        <w:spacing w:after="80"/>
      </w:pPr>
      <w:r>
        <w:rPr>
          <w:rFonts w:ascii="Calibri" w:hAnsi="Calibri"/>
          <w:b w:val="0"/>
          <w:sz w:val="21"/>
        </w:rPr>
        <w:t>Trade Flow Intelligence closes those gaps with an end-to-end ingest → engineer → model → report workflow.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3. Who it’s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Persona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Primary need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Product answer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**Policy analyst**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Early warning on critical commodities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Risk tiers, dependency scores, narrative brief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**Trade economist**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Forecast context for top flows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ARIMA import/export outlooks + anomaly flags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**Supply-chain lead**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Bottlenecks &amp; routing pressure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Port congestion scores, dwell, recommendations</w:t>
            </w:r>
          </w:p>
        </w:tc>
      </w:tr>
      <w:tr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**Business strategist**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Tariff &amp; sourcing exposure</w:t>
            </w:r>
          </w:p>
        </w:tc>
        <w:tc>
          <w:tcPr>
            <w:tcW w:type="dxa" w:w="3264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Duty-sensitive flags, supplier concentration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4. Core capabilities</w:t>
      </w:r>
    </w:p>
    <w:p>
      <w:pPr>
        <w:spacing w:before="80" w:after="80"/>
      </w:pPr>
      <w:r>
        <w:rPr>
          <w:rFonts w:ascii="Calibri" w:hAnsi="Calibri"/>
          <w:b/>
          <w:color w:val="0E7C7B"/>
          <w:sz w:val="24"/>
        </w:rPr>
        <w:t>Data acquisition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Connects to Data.gov / agency endpoints (BEA, Census HS trade, BTS ports, Commerce disruption proxies, ITC tariff schedules, USDA/Census commodity flows).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Validates freshness and schema; logs source mode (</w:t>
      </w:r>
      <w:r>
        <w:rPr>
          <w:rFonts w:ascii="Calibri" w:hAnsi="Calibri"/>
          <w:b/>
          <w:sz w:val="21"/>
        </w:rPr>
        <w:t>live API</w:t>
      </w:r>
      <w:r>
        <w:rPr>
          <w:rFonts w:ascii="Calibri" w:hAnsi="Calibri"/>
          <w:b w:val="0"/>
          <w:sz w:val="21"/>
        </w:rPr>
        <w:t xml:space="preserve"> vs </w:t>
      </w:r>
      <w:r>
        <w:rPr>
          <w:rFonts w:ascii="Calibri" w:hAnsi="Calibri"/>
          <w:b/>
          <w:sz w:val="21"/>
        </w:rPr>
        <w:t>synthetic fallback</w:t>
      </w:r>
      <w:r>
        <w:rPr>
          <w:rFonts w:ascii="Calibri" w:hAnsi="Calibri"/>
          <w:b w:val="0"/>
          <w:sz w:val="21"/>
        </w:rPr>
        <w:t>).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Retries failed HTTP calls with exponential backoff.</w:t>
      </w:r>
    </w:p>
    <w:p>
      <w:pPr>
        <w:spacing w:before="80" w:after="80"/>
      </w:pPr>
      <w:r>
        <w:rPr>
          <w:rFonts w:ascii="Calibri" w:hAnsi="Calibri"/>
          <w:b/>
          <w:color w:val="0E7C7B"/>
          <w:sz w:val="24"/>
        </w:rPr>
        <w:t>Data engineering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Cleans missing values; normalizes country names and HS codes.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Builds unified trade tables and monthly time series for modeling.</w:t>
      </w:r>
    </w:p>
    <w:p>
      <w:pPr>
        <w:spacing w:before="80" w:after="80"/>
      </w:pPr>
      <w:r>
        <w:rPr>
          <w:rFonts w:ascii="Calibri" w:hAnsi="Calibri"/>
          <w:b/>
          <w:color w:val="0E7C7B"/>
          <w:sz w:val="24"/>
        </w:rPr>
        <w:t>Analytics &amp; modeling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Anomalies</w:t>
      </w:r>
      <w:r>
        <w:rPr>
          <w:rFonts w:ascii="Calibri" w:hAnsi="Calibri"/>
          <w:b w:val="0"/>
          <w:sz w:val="21"/>
        </w:rPr>
        <w:t xml:space="preserve"> — Z-score spikes/drops in commodity import flows.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Forecasts</w:t>
      </w:r>
      <w:r>
        <w:rPr>
          <w:rFonts w:ascii="Calibri" w:hAnsi="Calibri"/>
          <w:b w:val="0"/>
          <w:sz w:val="21"/>
        </w:rPr>
        <w:t xml:space="preserve"> — ARIMA(1,1,1) horizons for top commodities.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Clusters</w:t>
      </w:r>
      <w:r>
        <w:rPr>
          <w:rFonts w:ascii="Calibri" w:hAnsi="Calibri"/>
          <w:b w:val="0"/>
          <w:sz w:val="21"/>
        </w:rPr>
        <w:t xml:space="preserve"> — K-means groupings of countries and commodities by trade behavior.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Dependency</w:t>
      </w:r>
      <w:r>
        <w:rPr>
          <w:rFonts w:ascii="Calibri" w:hAnsi="Calibri"/>
          <w:b w:val="0"/>
          <w:sz w:val="21"/>
        </w:rPr>
        <w:t xml:space="preserve"> — Top-supplier share, concentration, and reliance scores.</w:t>
      </w:r>
    </w:p>
    <w:p>
      <w:pPr>
        <w:spacing w:before="80" w:after="80"/>
      </w:pPr>
      <w:r>
        <w:rPr>
          <w:rFonts w:ascii="Calibri" w:hAnsi="Calibri"/>
          <w:b/>
          <w:color w:val="0E7C7B"/>
          <w:sz w:val="24"/>
        </w:rPr>
        <w:t>Risk &amp; insights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Composite risk from dependency, geopolitics, tariffs, disruptions, and port congestion.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Narrative sections and prioritized recommendations by audience (policy, business, logistics).</w:t>
      </w:r>
    </w:p>
    <w:p>
      <w:pPr>
        <w:spacing w:before="80" w:after="80"/>
      </w:pPr>
      <w:r>
        <w:rPr>
          <w:rFonts w:ascii="Calibri" w:hAnsi="Calibri"/>
          <w:b/>
          <w:color w:val="0E7C7B"/>
          <w:sz w:val="24"/>
        </w:rPr>
        <w:t>Distribution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Multi-sheet Excel report + Excel dashboard.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CSV export pack for BI tools.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  <w:t>HTML dashboard (Plotly) for browser viewing and GitHub Pages publishing.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5. Key outputs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Deliverable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Description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`Trade_Flow_Intelligence_Report.xlsx`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Full analytic workbook (ingestion log, cleaned summary, anomalies, forecasts, clusters, risk, insights, recommendations, viz data)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`Trade_Flow_Dashboard.xlsx`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Executive Excel dashboard with KPI tiles and charts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`outputs/csv/*.csv`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Sheet-level CSV sources for Tableau/Power BI/custom tools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`Trade_Flow_Dashboard.html`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Interactive web dashboard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GitHub Pages site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Hosted HTML dashboard for sharing</w:t>
            </w:r>
          </w:p>
        </w:tc>
      </w:tr>
    </w:tbl>
    <w:p/>
    <w:p>
      <w:pPr>
        <w:spacing w:after="8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Representative KPIs surfaced in the UI:</w:t>
      </w:r>
      <w:r>
        <w:rPr>
          <w:rFonts w:ascii="Calibri" w:hAnsi="Calibri"/>
          <w:b w:val="0"/>
          <w:sz w:val="21"/>
        </w:rPr>
        <w:t xml:space="preserve"> critical/elevated risk counts, anomaly count, average dependency, max port congestion score, recommendation count.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6. How it works (user journey)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Run pipeline</w:t>
      </w:r>
      <w:r>
        <w:rPr>
          <w:rFonts w:ascii="Calibri" w:hAnsi="Calibri"/>
          <w:b w:val="0"/>
          <w:sz w:val="21"/>
        </w:rPr>
        <w:t xml:space="preserve"> — `python scripts/run_pipeline.py`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Refresh CSVs &amp; Excel dashboard</w:t>
      </w:r>
      <w:r>
        <w:rPr>
          <w:rFonts w:ascii="Calibri" w:hAnsi="Calibri"/>
          <w:b w:val="0"/>
          <w:sz w:val="21"/>
        </w:rPr>
        <w:t xml:space="preserve"> — `python scripts/build_dashboard.py`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Refresh HTML / Pages source</w:t>
      </w:r>
      <w:r>
        <w:rPr>
          <w:rFonts w:ascii="Calibri" w:hAnsi="Calibri"/>
          <w:b w:val="0"/>
          <w:sz w:val="21"/>
        </w:rPr>
        <w:t xml:space="preserve"> — `python scripts/build_html_dashboard.py`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Consume</w:t>
      </w:r>
      <w:r>
        <w:rPr>
          <w:rFonts w:ascii="Calibri" w:hAnsi="Calibri"/>
          <w:b w:val="0"/>
          <w:sz w:val="21"/>
        </w:rPr>
        <w:t xml:space="preserve"> — Open Excel, browse HTML locally, or visit the published Pages URL.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Optional live data</w:t>
      </w:r>
      <w:r>
        <w:rPr>
          <w:rFonts w:ascii="Calibri" w:hAnsi="Calibri"/>
          <w:b w:val="0"/>
          <w:sz w:val="21"/>
        </w:rPr>
        <w:t xml:space="preserve"> — Set `CENSUS_API_KEY` / `BEA_API_KEY` and re-run for production freshness.</w:t>
      </w:r>
    </w:p>
    <w:p>
      <w:pPr>
        <w:spacing w:after="80"/>
      </w:pPr>
      <w:r>
        <w:rPr>
          <w:rFonts w:ascii="Calibri" w:hAnsi="Calibri"/>
          <w:b w:val="0"/>
          <w:sz w:val="21"/>
        </w:rPr>
        <w:t>No specialized BI license is required for the HTML path; Excel is optional for offline briefing packs.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7. Product principles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Resilience over fragility</w:t>
      </w:r>
      <w:r>
        <w:rPr>
          <w:rFonts w:ascii="Calibri" w:hAnsi="Calibri"/>
          <w:b w:val="0"/>
          <w:sz w:val="21"/>
        </w:rPr>
        <w:t xml:space="preserve"> — API failure does not halt insight generation; fallbacks are logged transparently.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Explainability</w:t>
      </w:r>
      <w:r>
        <w:rPr>
          <w:rFonts w:ascii="Calibri" w:hAnsi="Calibri"/>
          <w:b w:val="0"/>
          <w:sz w:val="21"/>
        </w:rPr>
        <w:t xml:space="preserve"> — Scores ship with drivers (supplier, duty, congestion, events), not black-box ranks alone.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Reproducibility</w:t>
      </w:r>
      <w:r>
        <w:rPr>
          <w:rFonts w:ascii="Calibri" w:hAnsi="Calibri"/>
          <w:b w:val="0"/>
          <w:sz w:val="21"/>
        </w:rPr>
        <w:t xml:space="preserve"> — Seeded synthetics, staged raw/processed folders, and rebuild scripts keep results auditable.</w:t>
      </w:r>
    </w:p>
    <w:p>
      <w:pPr>
        <w:pStyle w:val="ListBullet"/>
        <w:spacing w:after="4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Audience fit</w:t>
      </w:r>
      <w:r>
        <w:rPr>
          <w:rFonts w:ascii="Calibri" w:hAnsi="Calibri"/>
          <w:b w:val="0"/>
          <w:sz w:val="21"/>
        </w:rPr>
        <w:t xml:space="preserve"> — Recommendations are tagged for policymakers, businesses, analysts, and logistics users.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8. Scope &amp; boundaries (v1.0)</w:t>
      </w:r>
    </w:p>
    <w:p>
      <w:pPr>
        <w:spacing w:after="8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In scope:</w:t>
      </w:r>
      <w:r>
        <w:rPr>
          <w:rFonts w:ascii="Calibri" w:hAnsi="Calibri"/>
          <w:b w:val="0"/>
          <w:sz w:val="21"/>
        </w:rPr>
        <w:t xml:space="preserve"> U.S.-centric public trade analytics; monthly commodity/country views; port congestion indicators; tariff sensitivity flags; dashboarding and export.</w:t>
      </w:r>
    </w:p>
    <w:p>
      <w:pPr>
        <w:spacing w:after="8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Out of scope (current):</w:t>
      </w:r>
      <w:r>
        <w:rPr>
          <w:rFonts w:ascii="Calibri" w:hAnsi="Calibri"/>
          <w:b w:val="0"/>
          <w:sz w:val="21"/>
        </w:rPr>
        <w:t xml:space="preserve"> Firm-level BOM dependency, real-time vessel AIS, paid commercial data vendors, mobile native apps, multi-tenant SaaS auth.</w:t>
      </w:r>
    </w:p>
    <w:p>
      <w:pPr>
        <w:spacing w:after="8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Known dependency:</w:t>
      </w:r>
      <w:r>
        <w:rPr>
          <w:rFonts w:ascii="Calibri" w:hAnsi="Calibri"/>
          <w:b w:val="0"/>
          <w:sz w:val="21"/>
        </w:rPr>
        <w:t xml:space="preserve"> Without agency API keys, analytics use deterministic synthetic series that preserve realistic seasonality, shocks, and concentration patterns for demos and pipeline testing.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9.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Metric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B1F3A"/>
                <w:sz w:val="19"/>
              </w:rPr>
              <w:t>Target signal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Time-to-insight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Full refresh to dashboard in one scripted run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Coverage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Top commodities + major partners + major ports in one pack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Actionability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Ranked recommendations with expected impact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Shareability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HTML Pages URL usable without local setup</w:t>
            </w:r>
          </w:p>
        </w:tc>
      </w:tr>
      <w:tr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Trust</w:t>
            </w:r>
          </w:p>
        </w:tc>
        <w:tc>
          <w:tcPr>
            <w:tcW w:type="dxa" w:w="4896"/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sz w:val="19"/>
              </w:rPr>
              <w:t>Ingestion log shows live vs fallback for every source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10. Roadmap (next iterations)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  <w:t>Wire live ITC HTS extracts and verified BTS port dwell feeds.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  <w:t>Ensemble forecasts (Prophet/LSTM) with scenario stress tests.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  <w:t>Alerting when dependency ≥ 75 or port congestion ≥ 60.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  <w:t>Scheduled weekly refresh (cron/Actions) with changelog.</w:t>
      </w:r>
    </w:p>
    <w:p>
      <w:pPr>
        <w:pStyle w:val="ListNumber"/>
        <w:spacing w:after="40"/>
      </w:pPr>
      <w:r>
        <w:rPr>
          <w:rFonts w:ascii="Calibri" w:hAnsi="Calibri"/>
          <w:b w:val="0"/>
          <w:sz w:val="21"/>
        </w:rPr>
        <w:t>Optional authenticated SaaS wrapper for institutional users.</w:t>
      </w:r>
    </w:p>
    <w:p>
      <w:pPr>
        <w:spacing w:before="200" w:after="80"/>
      </w:pPr>
      <w:r>
        <w:rPr>
          <w:rFonts w:ascii="Calibri" w:hAnsi="Calibri"/>
          <w:b/>
          <w:color w:val="0B1F3A"/>
          <w:sz w:val="26"/>
        </w:rPr>
        <w:t>11. Summary</w:t>
      </w:r>
    </w:p>
    <w:p>
      <w:pPr>
        <w:spacing w:after="80"/>
      </w:pPr>
      <w:r>
        <w:rPr>
          <w:rFonts w:ascii="Calibri" w:hAnsi="Calibri"/>
          <w:b w:val="0"/>
          <w:sz w:val="21"/>
        </w:rPr>
        <w:t xml:space="preserve">Trade Flow Intelligence is a </w:t>
      </w:r>
      <w:r>
        <w:rPr>
          <w:rFonts w:ascii="Calibri" w:hAnsi="Calibri"/>
          <w:b/>
          <w:sz w:val="21"/>
        </w:rPr>
        <w:t>trade-risk and flow intelligence product</w:t>
      </w:r>
      <w:r>
        <w:rPr>
          <w:rFonts w:ascii="Calibri" w:hAnsi="Calibri"/>
          <w:b w:val="0"/>
          <w:sz w:val="21"/>
        </w:rPr>
        <w:t xml:space="preserve"> that automates the path from public data to executive-ready insight. It helps rising decision cycles move from scattered tables to a scored, narrated, shareable dashboard—built for analysts who need speed without sacrificing transparency.</w:t>
      </w:r>
    </w:p>
    <w:p>
      <w:pPr>
        <w:spacing w:after="80"/>
      </w:pPr>
      <w:r>
        <w:rPr>
          <w:rFonts w:ascii="Calibri" w:hAnsi="Calibri"/>
          <w:b w:val="0"/>
          <w:sz w:val="21"/>
        </w:rPr>
      </w:r>
      <w:r>
        <w:rPr>
          <w:rFonts w:ascii="Calibri" w:hAnsi="Calibri"/>
          <w:b/>
          <w:sz w:val="21"/>
        </w:rPr>
        <w:t>Primary CTA:</w:t>
      </w:r>
      <w:r>
        <w:rPr>
          <w:rFonts w:ascii="Calibri" w:hAnsi="Calibri"/>
          <w:b w:val="0"/>
          <w:sz w:val="21"/>
        </w:rPr>
        <w:t xml:space="preserve"> Run the pipeline → open the HTML dashboard → share the Pages link for stakeholder review.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