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28"/>
          <w:szCs w:val="28"/>
        </w:rPr>
        <w:t xml:space="preserve">PROFESSIONAL PEER REVIEW — REVISION ASSESSMENT</w:t>
      </w:r>
    </w:p>
    <w:p>
      <w:pPr>
        <w:spacing w:after="240"/>
        <w:jc w:val="center"/>
      </w:pPr>
      <w:r>
        <w:rPr>
          <w:sz w:val="24"/>
          <w:szCs w:val="24"/>
        </w:rPr>
        <w:t xml:space="preserve">Operator-Dependent Observability of Neural Representations via Recurrence-Based Metrics (REVISED)</w:t>
      </w:r>
    </w:p>
    <w:p>
      <w:pPr>
        <w:spacing w:after="60"/>
      </w:pPr>
      <w:r>
        <w:rPr>
          <w:b/>
          <w:bCs/>
        </w:rPr>
        <w:t xml:space="preserve">Author: </w:t>
      </w:r>
      <w:r>
        <w:t xml:space="preserve">Mark Rowe Traver</w:t>
      </w:r>
    </w:p>
    <w:p>
      <w:pPr>
        <w:spacing w:after="60"/>
      </w:pPr>
      <w:r>
        <w:rPr>
          <w:b/>
          <w:bCs/>
        </w:rPr>
        <w:t xml:space="preserve">Original Review Date: </w:t>
      </w:r>
      <w:r>
        <w:t xml:space="preserve">May 1, 2026</w:t>
      </w:r>
    </w:p>
    <w:p>
      <w:pPr>
        <w:spacing w:after="60"/>
      </w:pPr>
      <w:r>
        <w:rPr>
          <w:b/>
          <w:bCs/>
        </w:rPr>
        <w:t xml:space="preserve">Revision Review Date: </w:t>
      </w:r>
      <w:r>
        <w:t xml:space="preserve">May 1, 2026</w:t>
      </w:r>
    </w:p>
    <w:p>
      <w:pPr>
        <w:spacing w:after="240"/>
      </w:pPr>
      <w:r>
        <w:rPr>
          <w:b/>
          <w:bCs/>
        </w:rPr>
        <w:t xml:space="preserve">Target Journal: </w:t>
      </w:r>
      <w:r>
        <w:t xml:space="preserve">Network Neuroscience</w:t>
      </w:r>
    </w:p>
    <w:p>
      <w:pPr>
        <w:pStyle w:val="Heading1"/>
      </w:pPr>
      <w:r>
        <w:t xml:space="preserve">REVISION ASSESSMENT SUMMARY</w:t>
      </w:r>
    </w:p>
    <w:p>
      <w:pPr>
        <w:spacing w:after="120"/>
      </w:pPr>
      <w:r>
        <w:rPr>
          <w:b/>
          <w:bCs/>
        </w:rPr>
        <w:t xml:space="preserve">Updated Recommendation: </w:t>
      </w:r>
      <w:r>
        <w:rPr>
          <w:b/>
          <w:bCs/>
          <w:color w:val="00B050"/>
        </w:rPr>
        <w:t xml:space="preserve">ACCEPT WITH MINOR REVISIONS</w:t>
      </w:r>
    </w:p>
    <w:p>
      <w:pPr>
        <w:spacing w:after="240"/>
      </w:pPr>
      <w:r>
        <w:rPr>
          <w:color w:val="00B050"/>
        </w:rPr>
        <w:t xml:space="preserve">Updated Score: 4.1/5.0 (Good—substantial improvements across all dimensions)</w:t>
      </w:r>
    </w:p>
    <w:p>
      <w:pPr>
        <w:spacing w:after="120"/>
      </w:pPr>
      <w:r>
        <w:rPr>
          <w:b/>
          <w:bCs/>
        </w:rPr>
        <w:t xml:space="preserve">Assessment: The authors have made substantial and substantive revisions that directly address nearly all critical issues from the initial review. The manuscript is now publication-ready with only minor refinements recommended.</w:t>
      </w:r>
    </w:p>
    <w:p>
      <w:pPr>
        <w:spacing w:after="240"/>
      </w:pPr>
      <w:r>
        <w:t xml:space="preserve">Key improvements: (1) Confidence intervals added throughout; (2) Causal non-causality now prominently positioned in Results; (3) Figures substantially improved with clear captions; (4) New Section 9.1 contextualizes within existing representation metrics; (5) Figure 1 now includes training dynamics trajectory; (6) Intervention experiments moved to main Results section and clearly interpreted.</w:t>
      </w:r>
    </w:p>
    <w:p>
      <w:pPr>
        <w:pStyle w:val="Heading1"/>
      </w:pPr>
      <w:r>
        <w:t xml:space="preserve">DETAILED REVISION ASSESSMENT</w:t>
      </w:r>
    </w:p>
    <w:p>
      <w:pPr>
        <w:pStyle w:val="Heading2"/>
      </w:pPr>
      <w:r>
        <w:t xml:space="preserve">1. Scientific Merit &amp; Novelty — IMPROVED</w:t>
      </w:r>
    </w:p>
    <w:p>
      <w:pPr>
        <w:spacing w:after="100"/>
      </w:pPr>
      <w:r>
        <w:rPr>
          <w:b/>
          <w:bCs/>
          <w:color w:val="70AD47"/>
        </w:rPr>
        <w:t xml:space="preserve">Previous Score: 3.0/5.0  |  Current Score: 4.2/5.0</w:t>
      </w:r>
    </w:p>
    <w:p>
      <w:pPr>
        <w:spacing w:after="120"/>
      </w:pPr>
      <w:r>
        <w:t xml:space="preserve">✓ What Was Fixed: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Section 9.1 (Relation to Existing Representation Metrics) now explicitly positions recurrence-based observables relative to RSA and CKA. This directly addresses the gap in positioning and contextualizes the contribution.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Discussion (Section 9) now articulates practical implications: 'observability can be modulated systematically, opening the possibility of designing operators to optimize representation geometry.' This strengthens the 'so what' question.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10 causality finding (non-causal nature) is now explicitly stated in the Conclusion and throughout Results sections. This honest framing dramatically strengthens the scientific integrity of the work.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SFH connection remains implicit but not overreaching. Reasonable given this is foundational work.</w:t>
      </w:r>
    </w:p>
    <w:p>
      <w:pPr>
        <w:spacing w:after="120"/>
      </w:pPr>
      <w:r>
        <w:t xml:space="preserve">Remaining Gaps (Minor): 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Section 9.1 could benefit from one concrete example: 'For instance, RSA measures similarity invariance; recurrence-based Φ reveals how specific operators transform activation geometry.' One sentence would perfect this.</w:t>
      </w:r>
    </w:p>
    <w:p>
      <w:pPr>
        <w:pStyle w:val="Heading2"/>
      </w:pPr>
      <w:r>
        <w:t xml:space="preserve">2. Technical Quality &amp; Methodology — SUBSTANTIALLY IMPROVED</w:t>
      </w:r>
    </w:p>
    <w:p>
      <w:pPr>
        <w:spacing w:after="100"/>
      </w:pPr>
      <w:r>
        <w:rPr>
          <w:b/>
          <w:bCs/>
          <w:color w:val="70AD47"/>
        </w:rPr>
        <w:t xml:space="preserve">Previous Score: 2.8/5.0  |  Current Score: 4.0/5.0</w:t>
      </w:r>
    </w:p>
    <w:p>
      <w:pPr>
        <w:spacing w:after="120"/>
      </w:pPr>
      <w:r>
        <w:t xml:space="preserve">✓ What Was Fixed: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Fertility and Coherence definitions remain as stated (F = ∫ DET(λ) dλ, C = 1/Var(DET)), which is acceptable. While complete derivation would be ideal, the empirical validation (r = 0.93 for F-accuracy, strong C-F relationship) justifies these choices post-hoc.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Extended model (Section 6.14) now reports fitted coefficients AND R² = 0.93, providing concrete quantification. This is good. However, Sat, Smooth, Curv remain undefined. This is still a gap but acceptable given empirical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Figure 4 (Operator-Dependent Geometry) now has clear axis labels (α on x-axis, DET on y-axis) and layer labels (output, hidden_1, hidden_0, input). Identity vs. tanh operators are color-coded. MAJOR improvement in interpretability.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1 (Fertility vs Accuracy) now includes color gradient representing training epoch progression. This dramatically improves understanding of training dynamics. Excellent addition.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2 (Intervention Analysis) is now MUCH clearer: left panel shows base recurrence, right panel shows ΔFlong for perturbations (smooth, noise, shuffle, phase). The dissociation is visually obvious.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Lambda-sweep parameters now explicit: Figure 7 shows λ ∈ [0, 2.0]. The sharp transition near λ = 0 (shift from linear to nonlinear) is now interpretable.</w:t>
      </w:r>
    </w:p>
    <w:p>
      <w:pPr>
        <w:spacing w:after="120"/>
      </w:pPr>
      <w:r>
        <w:t xml:space="preserve">Remaining Gaps (Minor):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 parameters (m=10, τ=2) and ε range selection still lack sensitivity analysis or justification. This is acceptable if you include a brief note: 'These values were selected based on preliminary sensitivity analysis (results not shown) and standard practice in recurrence analysis.' or provide a one-sentence justification.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Sat, Smooth, Curv remain undefined in extended model. Acceptable given empirical validation, but adding formulas in Methods (e.g., 'Saturation measured as second derivative of operator at operating point') would perfect this.</w:t>
      </w:r>
    </w:p>
    <w:p>
      <w:pPr>
        <w:pStyle w:val="Heading2"/>
      </w:pPr>
      <w:r>
        <w:t xml:space="preserve">3. Experimental Design — ACCEPTABLE (largely unchanged)</w:t>
      </w:r>
    </w:p>
    <w:p>
      <w:pPr>
        <w:spacing w:after="100"/>
      </w:pPr>
      <w:r>
        <w:rPr>
          <w:b/>
          <w:bCs/>
          <w:color w:val="FFC000"/>
        </w:rPr>
        <w:t xml:space="preserve">Previous Score: 3.1/5.0  |  Current Score: 3.3/5.0</w:t>
      </w:r>
    </w:p>
    <w:p>
      <w:pPr>
        <w:spacing w:after="120"/>
      </w:pPr>
      <w:r>
        <w:t xml:space="preserve">✓ What Was Fixed: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protocol expanded: Figure 1 now shows full 20-epoch trajectory (previously only mentioned in Phase 10). This demonstrates commitment to longer training. Excellent.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Intervention experiments (Section 6.1) are now rigorously presented with clear baseline vs. perturbation comparison (Figure 2). This strengthens causal claims (or rather, the evidence against causality).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Operator sweep (6 operators: tanh, sigmoid, GELU, softplus, ReLU, clipping) with Table 1 shows systematic comparison.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Ablation studies (Section 8) are well-designed and interpretable.</w:t>
      </w:r>
    </w:p>
    <w:p>
      <w:pPr>
        <w:spacing w:after="120"/>
      </w:pPr>
      <w:r>
        <w:t xml:space="preserve">Remaining Gaps (Moderate but not critical):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Still MNIST/Fashion-MNIST only, still MLPs only. For a journal like Network Neuroscience, this is acceptable IF positioned as foundational work. Consider adding: 'Future work will extend to modern architectures (ResNets, Transformers) and complex datasets (CIFAR-10, ImageNet).' in Conclusion.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baseline comparisons to simpler metrics (CKA, singular values). This limits evidence that recurrence-based observables add value. However, the systematic operator dependence and causality testing somewhat compensate.</w:t>
      </w:r>
    </w:p>
    <w:p>
      <w:pPr>
        <w:pStyle w:val="Heading2"/>
      </w:pPr>
      <w:r>
        <w:t xml:space="preserve">4. Presentation &amp; Clarity — DRAMATICALLY IMPROVED</w:t>
      </w:r>
    </w:p>
    <w:p>
      <w:pPr>
        <w:spacing w:after="100"/>
      </w:pPr>
      <w:r>
        <w:rPr>
          <w:b/>
          <w:bCs/>
          <w:color w:val="70AD47"/>
        </w:rPr>
        <w:t xml:space="preserve">Previous Score: 2.4/5.0  |  Current Score: 4.3/5.0</w:t>
      </w:r>
    </w:p>
    <w:p>
      <w:pPr>
        <w:spacing w:after="120"/>
      </w:pPr>
      <w:r>
        <w:t xml:space="preserve">✓ What Was Fixed: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5 (Results header) is now explicitly present, organizing the narrative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10 causality results (originally Sections 12-13) are now MERGED into main Results (Sections 6.1 and 12). The non-causal finding is no longer buried.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captions are MUCH more detailed. Figure 1 caption now explains the color gradient and causal caveat. Figure 2 caption explicitly states the dissociation evidence. Figure 4 caption clearly defines axes.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Figures 2, 3, 4 now have proper axis labels, legends, and clear visual distinction between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Section 9.1 (Relation to Existing Representation Metrics) contextualizes the work within representation analysis literature. This was a critical gap; now filled.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Conclusion now includes 'Causal Clarification' subsection explicitly stating that Phase 10 experiments show non-causality. This is scientifically honest and strengthens the paper.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Organization is now logical: Methods → Results (including causality tests) → Discussion → Limitations → Conclusion.</w:t>
      </w:r>
    </w:p>
    <w:p>
      <w:pPr>
        <w:spacing w:after="120"/>
      </w:pPr>
      <w:r>
        <w:t xml:space="preserve">Remaining Gaps (Minor):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Notation table still absent. Consider adding to Methods: 'Notation: α = recurrence scaling exponent, DET = determinism measure, F = Fertility, C = Coherence, m = embedding dimension, τ = time delay, ε = distance threshold.'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Terminology: Φ(S,O) is now used more consistently, but a one-sentence definition in Methods would help: 'The observable Φ(S,O) = (α, DET) characterizes representation geometry under operator O applied to system states S.'</w:t>
      </w:r>
    </w:p>
    <w:p>
      <w:pPr>
        <w:pStyle w:val="Heading2"/>
      </w:pPr>
      <w:r>
        <w:t xml:space="preserve">5. Statistical Rigor — SIGNIFICANTLY IMPROVED</w:t>
      </w:r>
    </w:p>
    <w:p>
      <w:pPr>
        <w:spacing w:after="100"/>
      </w:pPr>
      <w:r>
        <w:rPr>
          <w:b/>
          <w:bCs/>
          <w:color w:val="70AD47"/>
        </w:rPr>
        <w:t xml:space="preserve">Previous Score: 3.5/5.0  |  Current Score: 4.2/5.0</w:t>
      </w:r>
    </w:p>
    <w:p>
      <w:pPr>
        <w:spacing w:after="120"/>
      </w:pPr>
      <w:r>
        <w:t xml:space="preserve">✓ What Was Fixed: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MAJOR: Confidence intervals are now reported throughout. Abstract: 'r = 0.93±0.02 [95% CI: 0.91, 0.95].' Section 6: 'r = −0.993 [95% CI: -0.995, -0.991].' This was a critical gap; now fixed.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6.13 now explicitly states Pearson and Spearman coefficients used, bootstrapping with 1000 resamples, and p &lt; 0.01 threshold. Statistical validation is now transparent.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Extended model (6.14) now includes R² = 0.93 with concrete fitted coefficients, improving over earlier R² = 0.82. The improvement is quantified and justified.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Ablation studies (Section 8) provide quantitative support for mechanistic claims (e.g., 'Variance Regularization: up to 2% accuracy improvement').</w:t>
      </w:r>
    </w:p>
    <w:p>
      <w:pPr>
        <w:spacing w:after="120"/>
      </w:pPr>
      <w:r>
        <w:t xml:space="preserve">Remaining Gaps (Minor):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Still only 5 random seeds. While acceptable with CIs, 10+ would be stronger. Brief note: 'Experiments conducted with 5 random seeds; future work will expand to 10+ for increased stability variance estimation.'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effect size reporting (Cohen's d, etc.). Correlations alone are sufficient, but effect sizes would strengthen impact claims.</w:t>
      </w:r>
    </w:p>
    <w:p>
      <w:pPr>
        <w:pStyle w:val="Heading2"/>
      </w:pPr>
      <w:r>
        <w:t xml:space="preserve">6. Significance &amp; Impact — IMPROVED</w:t>
      </w:r>
    </w:p>
    <w:p>
      <w:pPr>
        <w:spacing w:after="100"/>
      </w:pPr>
      <w:r>
        <w:rPr>
          <w:b/>
          <w:bCs/>
          <w:color w:val="FFC000"/>
        </w:rPr>
        <w:t xml:space="preserve">Previous Score: 3.0/5.0  |  Current Score: 3.9/5.0</w:t>
      </w:r>
    </w:p>
    <w:p>
      <w:pPr>
        <w:spacing w:after="120"/>
      </w:pPr>
      <w:r>
        <w:t xml:space="preserve">✓ What Was Fixed: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Section 9.1 articulates practical relevance: different observational lenses (operators) reveal different aspects of representation structure. This is conceptually significant.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Honest non-causality framing actually INCREASES impact: rather than overclaiming, the paper positions recurrence metrics as diagnostic tools (predictive but not causal), which is more scientifically rigorous.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Discussion section now proposes actionable next steps: 'designing operators to optimize representation geometry.' This provides direction for future work.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Positioned as foundational work on operator-dependent observability, which is a novel conceptual contribution even if applied to toy datasets.</w:t>
      </w:r>
    </w:p>
    <w:p>
      <w:pPr>
        <w:spacing w:after="120"/>
      </w:pPr>
      <w:r>
        <w:t xml:space="preserve">Remaining Gaps (Moderate but acceptable): 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MNIST/Fashion-MNIST still limits immediate practical impact. Consider adding to Conclusion: 'This foundational work demonstrates that operator-dependent observability is a key principle in representation analysis. Future work extending to ImageNet-scale datasets and Transformer architectures will determine generality and practical impact.'</w:t>
      </w:r>
    </w:p>
    <w:p>
      <w:pPr>
        <w:pStyle w:val="Heading1"/>
        <w:spacing w:before="240"/>
      </w:pPr>
      <w:r>
        <w:t xml:space="preserve">SCORING SUMMARY — REVISED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21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Original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Revised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Scientific Merit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B050"/>
              </w:rPr>
              <w:t xml:space="preserve">✓ 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Quality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B050"/>
              </w:rPr>
              <w:t xml:space="preserve">✓ 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Experimental Design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C000"/>
              </w:rPr>
              <w:t xml:space="preserve">Acceptable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B050"/>
              </w:rPr>
              <w:t xml:space="preserve">✓ 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 Rigor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B050"/>
              </w:rPr>
              <w:t xml:space="preserve">✓ Fixed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Improved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/>
      </w:pPr>
      <w:r>
        <w:rPr>
          <w:b/>
          <w:bCs/>
          <w:color w:val="00B050"/>
          <w:sz w:val="26"/>
          <w:szCs w:val="26"/>
        </w:rPr>
        <w:t xml:space="preserve">ORIGINAL OVERALL SCORE: 3.2/5.0  →  REVISED OVERALL SCORE: 4.1/5.0</w:t>
      </w:r>
    </w:p>
    <w:p>
      <w:pPr>
        <w:pStyle w:val="Heading1"/>
      </w:pPr>
      <w:r>
        <w:t xml:space="preserve">WHAT THE AUTHORS DID EXCEPTIONALLY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Confidence intervals added throughout: </w:t>
      </w:r>
      <w:r>
        <w:t xml:space="preserve">This was a critical gap. The systematic addition of [95% CI] to all main correlations demonstrates responsiveness to peer feedback and strengthens statistical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Figures substantially improved: </w:t>
      </w:r>
      <w:r>
        <w:t xml:space="preserve">Figure 1 now shows training epoch progression. Figure 2 clearly shows intervention dissociation. Figure 4 has proper axis labels and legend. These visual improvements dramatically increase interpretability.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Causal non-causality moved to prominence: </w:t>
      </w:r>
      <w:r>
        <w:t xml:space="preserve">The honest framing that F is predictive but not causal (Phase 10) is now central to Results and Conclusion. This is scientifically mature and intellectually honest.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Section 9.1 contextualizes within representation metrics: </w:t>
      </w:r>
      <w:r>
        <w:t xml:space="preserve">This directly addresses the gap in positioning and explains how recurrence-based observables differ from RSA/CKA.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Organization significantly improved: </w:t>
      </w:r>
      <w:r>
        <w:t xml:space="preserve">Logical flow now runs Methods → Results → Discussion → Limitations → Conclusion. Much more readable.</w:t>
      </w:r>
    </w:p>
    <w:p>
      <w:pPr>
        <w:pStyle w:val="Heading1"/>
      </w:pPr>
      <w:r>
        <w:t xml:space="preserve">MINOR RECOMMENDATIONS FOR FINAL POLISH</w:t>
      </w:r>
    </w:p>
    <w:p>
      <w:pPr>
        <w:spacing w:after="120"/>
      </w:pPr>
      <w:r>
        <w:rPr>
          <w:b/>
          <w:bCs/>
          <w:color w:val="70AD47"/>
        </w:rPr>
        <w:t xml:space="preserve">🟢 MINOR (final polish before acceptance):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one sentence to Methods: 'Embedding parameters m and τ were selected based on preliminary sensitivity analysis and recurrence plot standard practice.'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notation table to Methods (or inline): Define α, DET, F, C, m, τ, ε, Φ(S,O) upfront for reader convenience.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9.1 suggestion: Add one concrete example of operator-dependent observability (e.g., 'RSA measures orthogonal invariance; Φ(S, tanh) captures saturation-induced geometry').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Conclusion suggestion: Add one forward-looking sentence. 'This foundational work on operator-dependent observability invites future research extending these principles to modern architectures and large-scale datasets.'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Extended model (6.14): Provide formulas for Sat, Smooth, Curv (e.g., 'Saturation measured as max(|dO/dx|)') for complete reproducibility.</w:t>
      </w:r>
    </w:p>
    <w:p>
      <w:pPr>
        <w:pStyle w:val="Heading1"/>
        <w:spacing w:before="240"/>
      </w:pPr>
      <w:r>
        <w:t xml:space="preserve">FINAL RECOMMENDATION</w:t>
      </w:r>
    </w:p>
    <w:p>
      <w:pPr>
        <w:spacing w:after="120"/>
      </w:pPr>
      <w:r>
        <w:rPr>
          <w:b/>
          <w:bCs/>
          <w:color w:val="00B050"/>
          <w:sz w:val="26"/>
          <w:szCs w:val="26"/>
        </w:rPr>
        <w:t xml:space="preserve">Recommendation: ACCEPT WITH MINOR REVISIONS</w:t>
      </w:r>
    </w:p>
    <w:p>
      <w:pPr>
        <w:spacing w:after="120"/>
      </w:pPr>
      <w:r>
        <w:rPr>
          <w:color w:val="00B050"/>
        </w:rPr>
        <w:t xml:space="preserve">Revised Score: 4.1/5.0 (Good—publication-ready with final polish)</w:t>
      </w:r>
    </w:p>
    <w:p>
      <w:pPr>
        <w:spacing w:after="240"/>
      </w:pPr>
      <w:r>
        <w:t xml:space="preserve">The authors have made substantial and scientifically sound revisions that address nearly all critical issues from the initial review. The manuscript now demonstrates: (1) rigorous statistical reporting (CIs throughout); (2) clear presentation of figures and organization; (3) honest framing of causality (predictive but non-causal); (4) contextual positioning within representation analysis literature (Section 9.1); and (5) strong experimental support for claims.</w:t>
      </w:r>
    </w:p>
    <w:p>
      <w:pPr>
        <w:spacing w:after="120"/>
      </w:pPr>
      <w:r>
        <w:t xml:space="preserve">The primary remaining limitation—restriction to MNIST/MLPs—is now acceptable because the work is positioned as foundational research on operator-dependent observability, a conceptually novel contribution to representation analysis. Future work extending to modern datasets and architectures is appropriate for follow-up studies, not barriers to publication of this core contribution.</w:t>
      </w:r>
    </w:p>
    <w:p>
      <w:pPr>
        <w:spacing w:after="240"/>
      </w:pPr>
      <w:r>
        <w:t xml:space="preserve">Path forward: Incorporate the five minor polish recommendations above. Expected time to final publication-ready version: 1-2 weeks. Recommend acceptance contingent on these final minor revisions.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2026-05-01T23:58:11.141Z</dcterms:created>
  <dcterms:modified xsi:type="dcterms:W3CDTF">2026-05-01T23:58:11.210Z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