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8:43 AM</w:t>
      </w:r>
    </w:p>
    <w:p>
      <w:pPr>
        <w:pStyle w:val="Heading2"/>
        <w:bidi w:val="0"/>
        <w:ind w:hanging="0" w:start="0" w:end="0"/>
        <w:jc w:val="start"/>
        <w:rPr/>
      </w:pPr>
      <w:r>
        <w:rPr/>
        <w:t>Claude responded: This deserves a really deep think before I write anything.</w:t>
      </w:r>
    </w:p>
    <w:p>
      <w:pPr>
        <w:pStyle w:val="BodyText"/>
        <w:bidi w:val="0"/>
        <w:jc w:val="start"/>
        <w:rPr/>
      </w:pPr>
      <w:r>
        <w:rPr/>
        <w:t>This deserves a really deep think before I write anything. Let me reason through the system carefully across multiple dimensions.</w:t>
      </w:r>
    </w:p>
    <w:p>
      <w:pPr>
        <w:pStyle w:val="BodyText"/>
        <w:bidi w:val="0"/>
        <w:jc w:val="start"/>
        <w:rPr/>
      </w:pPr>
      <w:r>
        <w:rPr/>
        <w:t>Good, I have the design system. Now let me think deeply about the TRMS before building the visual — this deserves serious economic analysis first, then I'll visualize the key attack vectors.</w:t>
      </w:r>
    </w:p>
    <w:p>
      <w:pPr>
        <w:pStyle w:val="BodyText"/>
        <w:bidi w:val="0"/>
        <w:jc w:val="start"/>
        <w:rPr/>
      </w:pPr>
      <w:r>
        <w:rPr/>
        <w:t>The core question is: yes, I understood it well. Let me now think through feasibility, competition, and attack vectors carefully.</w:t>
      </w:r>
    </w:p>
    <w:p>
      <w:pPr>
        <w:pStyle w:val="BodyText"/>
        <w:bidi w:val="0"/>
        <w:jc w:val="start"/>
        <w:rPr/>
      </w:pPr>
      <w:r>
        <w:rPr>
          <w:rStyle w:val="Strong"/>
        </w:rPr>
        <w:t>Feasibility against USD/USDT:</w:t>
      </w:r>
      <w:r>
        <w:rPr/>
        <w:t xml:space="preserve"> The honest answer is nuanced. TRMS is not trying to compete with USDT (which is just a dollar on-chain) — it's proposing a replacement economic </w:t>
      </w:r>
      <w:r>
        <w:rPr>
          <w:rStyle w:val="Emphasis"/>
        </w:rPr>
        <w:t>system</w:t>
      </w:r>
      <w:r>
        <w:rPr/>
        <w:t>, more like competing with the dollar itself. That's a fundamentally different and much harder challenge.</w:t>
      </w:r>
    </w:p>
    <w:p>
      <w:pPr>
        <w:pStyle w:val="BodyText"/>
        <w:bidi w:val="0"/>
        <w:jc w:val="start"/>
        <w:rPr/>
      </w:pPr>
      <w:r>
        <w:rPr>
          <w:rStyle w:val="Strong"/>
        </w:rPr>
        <w:t>Real logical vulnerabilities I need to think through:</w:t>
      </w:r>
    </w:p>
    <w:p>
      <w:pPr>
        <w:pStyle w:val="BodyText"/>
        <w:numPr>
          <w:ilvl w:val="0"/>
          <w:numId w:val="1"/>
        </w:numPr>
        <w:tabs>
          <w:tab w:val="clear" w:pos="709"/>
          <w:tab w:val="left" w:pos="709" w:leader="none"/>
        </w:tabs>
        <w:bidi w:val="0"/>
        <w:spacing w:before="0" w:after="0"/>
        <w:ind w:hanging="283" w:start="709"/>
        <w:jc w:val="start"/>
        <w:rPr/>
      </w:pPr>
      <w:r>
        <w:rPr>
          <w:rStyle w:val="Strong"/>
        </w:rPr>
        <w:t>The labor advance is a zero-interest loan — massive arbitrage opportunity.</w:t>
      </w:r>
      <w:r>
        <w:rPr/>
        <w:t xml:space="preserve"> Get a labor advance, don't manufacture anything, invest the MRT in yield-bearing protocols, repay after 1 year. The "product NFT as collateral" fix I proposed helps but doesn't eliminate sophisticated evasion. </w:t>
      </w:r>
    </w:p>
    <w:p>
      <w:pPr>
        <w:pStyle w:val="BodyText"/>
        <w:numPr>
          <w:ilvl w:val="0"/>
          <w:numId w:val="1"/>
        </w:numPr>
        <w:tabs>
          <w:tab w:val="clear" w:pos="709"/>
          <w:tab w:val="left" w:pos="709" w:leader="none"/>
        </w:tabs>
        <w:bidi w:val="0"/>
        <w:spacing w:before="0" w:after="0"/>
        <w:ind w:hanging="283" w:start="709"/>
        <w:jc w:val="start"/>
        <w:rPr/>
      </w:pPr>
      <w:r>
        <w:rPr>
          <w:rStyle w:val="Strong"/>
        </w:rPr>
        <w:t>Commodity basket peg vs. recyclability value divergence.</w:t>
      </w:r>
      <w:r>
        <w:rPr/>
        <w:t xml:space="preserve"> Gold is recyclable but its price is driven by speculation, jewelry demand, and central bank reserves — NOT its recyclability. Pegging MRT to gold price doesn't actually peg it to "recyclable value" — it pegs it to gold speculation. </w:t>
      </w:r>
    </w:p>
    <w:p>
      <w:pPr>
        <w:pStyle w:val="BodyText"/>
        <w:numPr>
          <w:ilvl w:val="0"/>
          <w:numId w:val="1"/>
        </w:numPr>
        <w:tabs>
          <w:tab w:val="clear" w:pos="709"/>
          <w:tab w:val="left" w:pos="709" w:leader="none"/>
        </w:tabs>
        <w:bidi w:val="0"/>
        <w:spacing w:before="0" w:after="0"/>
        <w:ind w:hanging="283" w:start="709"/>
        <w:jc w:val="start"/>
        <w:rPr/>
      </w:pPr>
      <w:r>
        <w:rPr>
          <w:rStyle w:val="Strong"/>
        </w:rPr>
        <w:t>The "free material" benefit creates a circular economy attack.</w:t>
      </w:r>
      <w:r>
        <w:rPr/>
        <w:t xml:space="preserve"> Register as a Recycle Center, certify your own materials, get MRT, use MRT to buy materials from yourself, certify again. This is a money printer if the Recycle Center verification is weak. </w:t>
      </w:r>
    </w:p>
    <w:p>
      <w:pPr>
        <w:pStyle w:val="BodyText"/>
        <w:numPr>
          <w:ilvl w:val="0"/>
          <w:numId w:val="1"/>
        </w:numPr>
        <w:tabs>
          <w:tab w:val="clear" w:pos="709"/>
          <w:tab w:val="left" w:pos="709" w:leader="none"/>
        </w:tabs>
        <w:bidi w:val="0"/>
        <w:spacing w:before="0" w:after="0"/>
        <w:ind w:hanging="283" w:start="709"/>
        <w:jc w:val="start"/>
        <w:rPr/>
      </w:pPr>
      <w:r>
        <w:rPr>
          <w:rStyle w:val="Strong"/>
        </w:rPr>
        <w:t>Labor is only 50% covered — but what defines "labor cost"?</w:t>
      </w:r>
      <w:r>
        <w:rPr/>
        <w:t xml:space="preserve"> A producer can inflate their declared labor costs to extract more MRT. There's no market-rate check. </w:t>
      </w:r>
    </w:p>
    <w:p>
      <w:pPr>
        <w:pStyle w:val="BodyText"/>
        <w:numPr>
          <w:ilvl w:val="0"/>
          <w:numId w:val="1"/>
        </w:numPr>
        <w:tabs>
          <w:tab w:val="clear" w:pos="709"/>
          <w:tab w:val="left" w:pos="709" w:leader="none"/>
        </w:tabs>
        <w:bidi w:val="0"/>
        <w:spacing w:before="0" w:after="0"/>
        <w:ind w:hanging="283" w:start="709"/>
        <w:jc w:val="start"/>
        <w:rPr/>
      </w:pPr>
      <w:r>
        <w:rPr>
          <w:rStyle w:val="Strong"/>
        </w:rPr>
        <w:t>The "physical product only" rule is hard to enforce on-chain.</w:t>
      </w:r>
      <w:r>
        <w:rPr/>
        <w:t xml:space="preserve"> NFTs can be minted for anything. The certification system is the only barrier, and it's a human one. </w:t>
      </w:r>
    </w:p>
    <w:p>
      <w:pPr>
        <w:pStyle w:val="BodyText"/>
        <w:numPr>
          <w:ilvl w:val="0"/>
          <w:numId w:val="1"/>
        </w:numPr>
        <w:tabs>
          <w:tab w:val="clear" w:pos="709"/>
          <w:tab w:val="left" w:pos="709" w:leader="none"/>
        </w:tabs>
        <w:bidi w:val="0"/>
        <w:spacing w:before="0" w:after="0"/>
        <w:ind w:hanging="283" w:start="709"/>
        <w:jc w:val="start"/>
        <w:rPr/>
      </w:pPr>
      <w:r>
        <w:rPr>
          <w:rStyle w:val="Strong"/>
        </w:rPr>
        <w:t>Bootstrapping problem — which came first, the MRT or the economy?</w:t>
      </w:r>
      <w:r>
        <w:rPr/>
        <w:t xml:space="preserve"> If MRT supply starts at 0, there's no medium of exchange to pay for the first labor advance repayment. You need MRT to pay back MRT. </w:t>
      </w:r>
    </w:p>
    <w:p>
      <w:pPr>
        <w:pStyle w:val="BodyText"/>
        <w:numPr>
          <w:ilvl w:val="0"/>
          <w:numId w:val="1"/>
        </w:numPr>
        <w:tabs>
          <w:tab w:val="clear" w:pos="709"/>
          <w:tab w:val="left" w:pos="709" w:leader="none"/>
        </w:tabs>
        <w:bidi w:val="0"/>
        <w:spacing w:before="0" w:after="0"/>
        <w:ind w:hanging="283" w:start="709"/>
        <w:jc w:val="start"/>
        <w:rPr/>
      </w:pPr>
      <w:r>
        <w:rPr>
          <w:rStyle w:val="Strong"/>
        </w:rPr>
        <w:t>The transition to RBE end-goal is philosophically underspecified.</w:t>
      </w:r>
      <w:r>
        <w:rPr/>
        <w:t xml:space="preserve"> What mechanism causes the system to "know" that enough abundance has been reached? </w:t>
      </w:r>
    </w:p>
    <w:p>
      <w:pPr>
        <w:pStyle w:val="BodyText"/>
        <w:numPr>
          <w:ilvl w:val="0"/>
          <w:numId w:val="1"/>
        </w:numPr>
        <w:tabs>
          <w:tab w:val="clear" w:pos="709"/>
          <w:tab w:val="left" w:pos="709" w:leader="none"/>
        </w:tabs>
        <w:bidi w:val="0"/>
        <w:ind w:hanging="283" w:start="709"/>
        <w:jc w:val="start"/>
        <w:rPr/>
      </w:pPr>
      <w:r>
        <w:rPr>
          <w:rStyle w:val="Strong"/>
        </w:rPr>
        <w:t>Governance capture is deeply underspecified for the real threat model.</w:t>
      </w:r>
      <w:r>
        <w:rPr/>
        <w:t xml:space="preserve"> Not whale voting — but: what stops a nation-state or corporation from acquiring 51% of Recycle Center registrations and controlling the material flow? </w:t>
      </w:r>
    </w:p>
    <w:p>
      <w:pPr>
        <w:pStyle w:val="BodyText"/>
        <w:bidi w:val="0"/>
        <w:jc w:val="start"/>
        <w:rPr/>
      </w:pPr>
      <w:r>
        <w:rPr/>
        <w:t>Let me now build a comprehensive, visually rich response.</w:t>
      </w:r>
    </w:p>
    <w:p>
      <w:pPr>
        <w:sectPr>
          <w:type w:val="nextPage"/>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sz w:val="20"/>
        </w:rPr>
      </w:pPr>
      <w:r>
        <w:rPr>
          <w:sz w:val="20"/>
        </w:rPr>
        <w:t>V</w:t>
      </w:r>
    </w:p>
    <w:p>
      <w:pPr>
        <w:pStyle w:val="BodyText"/>
        <w:bidi w:val="0"/>
        <w:spacing w:before="0" w:after="0"/>
        <w:jc w:val="start"/>
        <w:rPr/>
      </w:pPr>
      <w:r>
        <w:rPr/>
        <w:t>visualize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sz w:val="15"/>
        </w:rPr>
      </w:pPr>
      <w:r>
        <w:rPr>
          <w:sz w:val="15"/>
        </w:rPr>
        <w:t>V</w:t>
      </w:r>
    </w:p>
    <w:p>
      <w:pPr>
        <w:pStyle w:val="BodyText"/>
        <w:bidi w:val="0"/>
        <w:spacing w:before="0" w:after="0"/>
        <w:jc w:val="start"/>
        <w:rPr/>
      </w:pPr>
      <w:r>
        <w:rPr/>
        <w:t>visualize show_widget</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drawing>
          <wp:inline distT="0" distB="0" distL="0" distR="0">
            <wp:extent cx="6332220" cy="7810500"/>
            <wp:effectExtent l="0" t="0" r="0" b="0"/>
            <wp:docPr id="1" name="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1"/>
                    <pic:cNvPicPr>
                      <a:picLocks noChangeAspect="1" noChangeArrowheads="1"/>
                    </pic:cNvPicPr>
                  </pic:nvPicPr>
                  <pic:blipFill>
                    <a:blip/>
                    <a:stretch>
                      <a:fillRect/>
                    </a:stretch>
                  </pic:blipFill>
                  <pic:spPr bwMode="auto">
                    <a:xfrm>
                      <a:off x="0" y="0"/>
                      <a:ext cx="6332220" cy="7810500"/>
                    </a:xfrm>
                    <a:prstGeom prst="rect">
                      <a:avLst/>
                    </a:prstGeom>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jc w:val="start"/>
        <w:rPr/>
      </w:pPr>
      <w:r>
        <w:rPr/>
        <w:t>Yes — I understood it deeply. Here's the full, unfiltered analysis.</w:t>
      </w:r>
    </w:p>
    <w:p>
      <w:pPr>
        <w:pStyle w:val="HorizontalLine"/>
        <w:bidi w:val="0"/>
        <w:jc w:val="start"/>
        <w:rPr/>
      </w:pPr>
      <w:r>
        <w:rPr/>
      </w:r>
    </w:p>
    <w:p>
      <w:pPr>
        <w:pStyle w:val="Heading3"/>
        <w:bidi w:val="0"/>
        <w:jc w:val="start"/>
        <w:rPr/>
      </w:pPr>
      <w:r>
        <w:rPr/>
        <w:t>Do I understand TRMS?</w:t>
      </w:r>
    </w:p>
    <w:p>
      <w:pPr>
        <w:pStyle w:val="BodyText"/>
        <w:bidi w:val="0"/>
        <w:jc w:val="start"/>
        <w:rPr/>
      </w:pPr>
      <w:r>
        <w:rPr/>
        <w:t xml:space="preserve">Yes. It's a </w:t>
      </w:r>
      <w:r>
        <w:rPr>
          <w:rStyle w:val="Strong"/>
        </w:rPr>
        <w:t>producer-centric monetary system</w:t>
      </w:r>
      <w:r>
        <w:rPr/>
        <w:t xml:space="preserve"> where money creation flows to whoever adds real, physical, measurable value to the economy — not to banks, not to governments. It synthesizes commodity-backed money (gold standard logic), spend-into-existence money (Colonial Script), and behavioral token inflation (Steemit) into something genuinely new: </w:t>
      </w:r>
      <w:r>
        <w:rPr>
          <w:rStyle w:val="Strong"/>
        </w:rPr>
        <w:t>work-backed elastic currency with mandatory burn on obligation fulfillment</w:t>
      </w:r>
      <w:r>
        <w:rPr/>
        <w:t>. The core logic is sound. The microeconomics in Table-1 are mathematically correct and the incentive differential is real.</w:t>
      </w:r>
    </w:p>
    <w:p>
      <w:pPr>
        <w:pStyle w:val="HorizontalLine"/>
        <w:bidi w:val="0"/>
        <w:jc w:val="start"/>
        <w:rPr/>
      </w:pPr>
      <w:r>
        <w:rPr/>
      </w:r>
    </w:p>
    <w:p>
      <w:pPr>
        <w:pStyle w:val="Heading3"/>
        <w:bidi w:val="0"/>
        <w:jc w:val="start"/>
        <w:rPr/>
      </w:pPr>
      <w:r>
        <w:rPr/>
        <w:t>Is it feasible to deploy and compete?</w:t>
      </w:r>
    </w:p>
    <w:p>
      <w:pPr>
        <w:pStyle w:val="BodyText"/>
        <w:bidi w:val="0"/>
        <w:jc w:val="start"/>
        <w:rPr/>
      </w:pPr>
      <w:r>
        <w:rPr/>
        <w:t xml:space="preserve">The honest answer is: </w:t>
      </w:r>
      <w:r>
        <w:rPr>
          <w:rStyle w:val="Strong"/>
        </w:rPr>
        <w:t>it is feasible to deploy, but competing with the dollar or USDT is a category error — and that distinction matters enormously.</w:t>
      </w:r>
    </w:p>
    <w:p>
      <w:pPr>
        <w:pStyle w:val="BodyText"/>
        <w:bidi w:val="0"/>
        <w:jc w:val="start"/>
        <w:rPr/>
      </w:pPr>
      <w:r>
        <w:rPr/>
        <w:t xml:space="preserve">USDT is a digital wrapper around a dollar. It doesn't compete with economic systems — it's a payment rail. The dollar is backed by the full military, legal, and tax enforcement apparatus of the largest economy in history. TRMS isn't trying to beat those at their own game, which is correct — Mark's instinct to "build a new model that makes the old one obsolete" is right. But that means TRMS's real competition is </w:t>
      </w:r>
      <w:r>
        <w:rPr>
          <w:rStyle w:val="Strong"/>
        </w:rPr>
        <w:t>adoption inertia and the Oracle Problem</w:t>
      </w:r>
      <w:r>
        <w:rPr/>
        <w:t>, not USDT.</w:t>
      </w:r>
    </w:p>
    <w:p>
      <w:pPr>
        <w:pStyle w:val="BodyText"/>
        <w:bidi w:val="0"/>
        <w:jc w:val="start"/>
        <w:rPr/>
      </w:pPr>
      <w:r>
        <w:rPr/>
        <w:t xml:space="preserve">Where TRMS is genuinely strong: it solves the </w:t>
      </w:r>
      <w:r>
        <w:rPr>
          <w:rStyle w:val="Emphasis"/>
        </w:rPr>
        <w:t>legitimacy problem</w:t>
      </w:r>
      <w:r>
        <w:rPr/>
        <w:t xml:space="preserve"> of money creation in a way no existing crypto does. Bitcoin is deflationary and rewards holders, not producers. USDT is just a dollar with extra steps. DAI is collateral-backed speculation. MRT is the first attempt to anchor currency to the real, physical, productive economy. That's its genuine edge.</w:t>
      </w:r>
    </w:p>
    <w:p>
      <w:pPr>
        <w:pStyle w:val="HorizontalLine"/>
        <w:bidi w:val="0"/>
        <w:jc w:val="start"/>
        <w:rPr/>
      </w:pPr>
      <w:r>
        <w:rPr/>
      </w:r>
    </w:p>
    <w:p>
      <w:pPr>
        <w:pStyle w:val="Heading3"/>
        <w:bidi w:val="0"/>
        <w:jc w:val="start"/>
        <w:rPr/>
      </w:pPr>
      <w:r>
        <w:rPr/>
        <w:t>The Logical Gaps and Gaming Vectors — Deep Dive</w:t>
      </w:r>
    </w:p>
    <w:p>
      <w:pPr>
        <w:pStyle w:val="BodyText"/>
        <w:bidi w:val="0"/>
        <w:jc w:val="start"/>
        <w:rPr/>
      </w:pPr>
      <w:r>
        <w:rPr/>
        <w:t>Here's everything that could break it, with fixes:</w:t>
      </w:r>
    </w:p>
    <w:p>
      <w:pPr>
        <w:pStyle w:val="BodyText"/>
        <w:bidi w:val="0"/>
        <w:jc w:val="start"/>
        <w:rPr/>
      </w:pPr>
      <w:r>
        <w:rPr>
          <w:rStyle w:val="Strong"/>
        </w:rPr>
        <w:t>1. The Circular Recycling Attack (Critical)</w:t>
      </w:r>
    </w:p>
    <w:p>
      <w:pPr>
        <w:pStyle w:val="BodyText"/>
        <w:bidi w:val="0"/>
        <w:jc w:val="start"/>
        <w:rPr/>
      </w:pPr>
      <w:r>
        <w:rPr/>
        <w:t>This is the most dangerous exploit. Imagine I open a certified Recycle Center. I bring in 1,000kg of copper. I get MRT minted against it. I use that MRT to buy copper from the commodity market. I bring it back to my center. I certify it again. The same physical copper generates MRT twice, three times, infinitely. The document never addresses what prevents re-certification of the same material batch.</w:t>
      </w:r>
    </w:p>
    <w:p>
      <w:pPr>
        <w:pStyle w:val="BodyText"/>
        <w:bidi w:val="0"/>
        <w:jc w:val="start"/>
        <w:rPr/>
      </w:pPr>
      <w:r>
        <w:rPr/>
        <w:t xml:space="preserve">The fix requires </w:t>
      </w:r>
      <w:r>
        <w:rPr>
          <w:rStyle w:val="Strong"/>
        </w:rPr>
        <w:t>Material Tracking IDs</w:t>
      </w:r>
      <w:r>
        <w:rPr/>
        <w:t xml:space="preserve"> with physical tamper-evident markers (RFID + cryptographic batch seals) that are destroyed in the certification process and regenerated only after actual recycling. The MTID must be burned on-chain when material is certified and only regenerated when a recycling event is physically confirmed by IoT hardware. Without this, the system is a money printer.</w:t>
      </w:r>
    </w:p>
    <w:p>
      <w:pPr>
        <w:pStyle w:val="BodyText"/>
        <w:bidi w:val="0"/>
        <w:jc w:val="start"/>
        <w:rPr/>
      </w:pPr>
      <w:r>
        <w:rPr>
          <w:rStyle w:val="Strong"/>
        </w:rPr>
        <w:t>2. The Labor Cost Inflation Attack (Critical)</w:t>
      </w:r>
    </w:p>
    <w:p>
      <w:pPr>
        <w:pStyle w:val="BodyText"/>
        <w:bidi w:val="0"/>
        <w:jc w:val="start"/>
        <w:rPr/>
      </w:pPr>
      <w:r>
        <w:rPr/>
        <w:t>The system pays 50% of "labor cost" — but who verifies what the labor cost actually was? I declare my widgets cost $10,000 in labor. I get $5,000 MRT advance. My actual labor cost was $500. I pocket $4,750 net after repayment. There is no market-rate labor check in the current design.</w:t>
      </w:r>
    </w:p>
    <w:p>
      <w:pPr>
        <w:pStyle w:val="BodyText"/>
        <w:bidi w:val="0"/>
        <w:jc w:val="start"/>
        <w:rPr/>
      </w:pPr>
      <w:r>
        <w:rPr/>
        <w:t xml:space="preserve">The fix: labor advances should be capped at </w:t>
      </w:r>
      <w:r>
        <w:rPr>
          <w:rStyle w:val="Strong"/>
        </w:rPr>
        <w:t>regional median wage rates for the declared occupation type</w:t>
      </w:r>
      <w:r>
        <w:rPr/>
        <w:t>, verified against on-chain labor market oracles (similar to how Chainlink provides price feeds, a TRMS Labor Rate Oracle pulls Bureau of Labor Statistics or ILO data by jurisdiction and skill category). Any declared labor exceeding 150% of median rate requires additional validator sign-off.</w:t>
      </w:r>
    </w:p>
    <w:p>
      <w:pPr>
        <w:pStyle w:val="BodyText"/>
        <w:bidi w:val="0"/>
        <w:jc w:val="start"/>
        <w:rPr/>
      </w:pPr>
      <w:r>
        <w:rPr>
          <w:rStyle w:val="Strong"/>
        </w:rPr>
        <w:t>3. The 12-Month Advance Arbitrage Attack (Critical)</w:t>
      </w:r>
    </w:p>
    <w:p>
      <w:pPr>
        <w:pStyle w:val="BodyText"/>
        <w:bidi w:val="0"/>
        <w:jc w:val="start"/>
        <w:rPr/>
      </w:pPr>
      <w:r>
        <w:rPr/>
        <w:t>The labor advance is a zero-interest, 12-month loan denominated in MRT. In a functioning DeFi ecosystem, MRT will have lending markets (Aave-style). A sophisticated actor can: receive MRT advance, deposit it in a yield protocol at 8-15% APY, earn yield for 12 months, repay the principal, keep the yield. They've extracted free money from the system with zero real production occurring.</w:t>
      </w:r>
    </w:p>
    <w:p>
      <w:pPr>
        <w:pStyle w:val="BodyText"/>
        <w:bidi w:val="0"/>
        <w:jc w:val="start"/>
        <w:rPr/>
      </w:pPr>
      <w:r>
        <w:rPr/>
        <w:t xml:space="preserve">The fix: </w:t>
      </w:r>
      <w:r>
        <w:rPr>
          <w:rStyle w:val="Strong"/>
        </w:rPr>
        <w:t>interest accrues on advances from day one</w:t>
      </w:r>
      <w:r>
        <w:rPr/>
        <w:t>, at a rate set by DAO governance (initially 3-5% APY). This interest is burned upon repayment — it doesn't enrich anyone, it just eliminates the free arbitrage and removes slightly more MRT from circulation than was advanced, creating a mild deflationary pressure that counterbalances system growth. Repaying early earns a small interest rebate.</w:t>
      </w:r>
    </w:p>
    <w:p>
      <w:pPr>
        <w:pStyle w:val="BodyText"/>
        <w:bidi w:val="0"/>
        <w:jc w:val="start"/>
        <w:rPr/>
      </w:pPr>
      <w:r>
        <w:rPr>
          <w:rStyle w:val="Strong"/>
        </w:rPr>
        <w:t>4. The Commodity Basket Peg Divergence (Significant)</w:t>
      </w:r>
    </w:p>
    <w:p>
      <w:pPr>
        <w:pStyle w:val="BodyText"/>
        <w:bidi w:val="0"/>
        <w:jc w:val="start"/>
        <w:rPr/>
      </w:pPr>
      <w:r>
        <w:rPr/>
        <w:t xml:space="preserve">Mark pegs MRT to "recyclable commodity values including gold and silver." But gold's price is driven primarily by speculation, jewelry demand, geopolitical fear, and central bank hoarding — </w:t>
      </w:r>
      <w:r>
        <w:rPr>
          <w:rStyle w:val="Strong"/>
        </w:rPr>
        <w:t>not</w:t>
      </w:r>
      <w:r>
        <w:rPr/>
        <w:t xml:space="preserve"> by its recyclability. Gold trades at ~$3,200/oz today; its pure industrial/recyclable value (electronics, dentistry) would price it far lower. The peg as described connects MRT to gold speculation, not to recyclable value — defeating the purpose.</w:t>
      </w:r>
    </w:p>
    <w:p>
      <w:pPr>
        <w:pStyle w:val="BodyText"/>
        <w:bidi w:val="0"/>
        <w:jc w:val="start"/>
        <w:rPr/>
      </w:pPr>
      <w:r>
        <w:rPr/>
        <w:t xml:space="preserve">The fix: the basket should weight commodities by their </w:t>
      </w:r>
      <w:r>
        <w:rPr>
          <w:rStyle w:val="Strong"/>
        </w:rPr>
        <w:t>recycling market price</w:t>
      </w:r>
      <w:r>
        <w:rPr/>
        <w:t xml:space="preserve">, not their spot price. Copper's recycling price and copper's LME spot price are closely correlated because copper is genuinely industrial. Gold's recycling price and spot price diverge massively. The oracle should query </w:t>
      </w:r>
      <w:r>
        <w:rPr>
          <w:rStyle w:val="Strong"/>
        </w:rPr>
        <w:t>scrap metal exchanges and recycling market platforms</w:t>
      </w:r>
      <w:r>
        <w:rPr/>
        <w:t xml:space="preserve"> (iScrap App, ScrapMonster) for the commodity basket, not commodity futures exchanges.</w:t>
      </w:r>
    </w:p>
    <w:p>
      <w:pPr>
        <w:pStyle w:val="BodyText"/>
        <w:bidi w:val="0"/>
        <w:jc w:val="start"/>
        <w:rPr/>
      </w:pPr>
      <w:r>
        <w:rPr>
          <w:rStyle w:val="Strong"/>
        </w:rPr>
        <w:t>5. The Sybil Recycle Center Attack (Significant)</w:t>
      </w:r>
    </w:p>
    <w:p>
      <w:pPr>
        <w:pStyle w:val="BodyText"/>
        <w:bidi w:val="0"/>
        <w:jc w:val="start"/>
        <w:rPr/>
      </w:pPr>
      <w:r>
        <w:rPr/>
        <w:t>Nothing fundamentally prevents one entity from registering as 50 different Recycle Centers under 50 different legal identities, staking the minimum TRMS each time, and running a coordinated fraud operation. The staking requirement creates a cost-of-attack floor but doesn't make the attack infeasible for a well-funded actor.</w:t>
      </w:r>
    </w:p>
    <w:p>
      <w:pPr>
        <w:pStyle w:val="BodyText"/>
        <w:bidi w:val="0"/>
        <w:jc w:val="start"/>
        <w:rPr/>
      </w:pPr>
      <w:r>
        <w:rPr/>
        <w:t xml:space="preserve">The fix: Recycle Centers require </w:t>
      </w:r>
      <w:r>
        <w:rPr>
          <w:rStyle w:val="Strong"/>
        </w:rPr>
        <w:t>in-person DAO delegate verification</w:t>
      </w:r>
      <w:r>
        <w:rPr/>
        <w:t xml:space="preserve"> (similar to Proof of Humanity) before registration — a randomly assigned DAO inspector physically visits the facility. Additionally, Centers must bond proportional to their monthly certification volume, not a flat minimum. High-volume centers post much higher bonds, making large-scale fraud expensive to sustain across many fake identities.</w:t>
      </w:r>
    </w:p>
    <w:p>
      <w:pPr>
        <w:pStyle w:val="BodyText"/>
        <w:bidi w:val="0"/>
        <w:jc w:val="start"/>
        <w:rPr/>
      </w:pPr>
      <w:r>
        <w:rPr>
          <w:rStyle w:val="Strong"/>
        </w:rPr>
        <w:t>6. The Bootstrap Deadlock (Structural)</w:t>
      </w:r>
    </w:p>
    <w:p>
      <w:pPr>
        <w:pStyle w:val="BodyText"/>
        <w:bidi w:val="0"/>
        <w:jc w:val="start"/>
        <w:rPr/>
      </w:pPr>
      <w:r>
        <w:rPr/>
        <w:t>This one will kill the system before it starts if not addressed. MRT supply begins at zero. The first labor advance mints MRT to producers. But repayment must be made in MRT. Where do buyers get MRT to buy products with? Where does the producer get MRT to repay the advance if their product hasn't sold yet? The system needs a medium of exchange before it can circulate one.</w:t>
      </w:r>
    </w:p>
    <w:p>
      <w:pPr>
        <w:pStyle w:val="BodyText"/>
        <w:bidi w:val="0"/>
        <w:jc w:val="start"/>
        <w:rPr/>
      </w:pPr>
      <w:r>
        <w:rPr/>
        <w:t xml:space="preserve">The fix: </w:t>
      </w:r>
      <w:r>
        <w:rPr>
          <w:rStyle w:val="Strong"/>
        </w:rPr>
        <w:t>a Genesis MRT distribution</w:t>
      </w:r>
      <w:r>
        <w:rPr/>
        <w:t xml:space="preserve"> tied to the initial TRMS governance token sale. Some fraction of TRMS token sale proceeds (say, 20%) are used to seed an initial MRT liquidity pool on a DEX. This gives the market a starting MRT supply to bootstrap commerce. Simultaneously, the first cohort of Recycle Center certifications (from existing, pre-registered recyclable goods) create the first organic MRT supply. The genesis pool is clearly labeled as temporary and planned to shrink as organic MRT creation takes over.</w:t>
      </w:r>
    </w:p>
    <w:p>
      <w:pPr>
        <w:pStyle w:val="BodyText"/>
        <w:bidi w:val="0"/>
        <w:jc w:val="start"/>
        <w:rPr/>
      </w:pPr>
      <w:r>
        <w:rPr>
          <w:rStyle w:val="Strong"/>
        </w:rPr>
        <w:t>7. Recycle Center Capture by a Coordinated Actor (Structural)</w:t>
      </w:r>
    </w:p>
    <w:p>
      <w:pPr>
        <w:pStyle w:val="BodyText"/>
        <w:bidi w:val="0"/>
        <w:jc w:val="start"/>
        <w:rPr/>
      </w:pPr>
      <w:r>
        <w:rPr/>
        <w:t>If a nation-state, corporation, or cartel acquires majority control of certified Recycle Centers in a region, they control MRT issuance for that region's recyclable material — effectively controlling the local money supply. This replicates the exact problem the system was designed to solve.</w:t>
      </w:r>
    </w:p>
    <w:p>
      <w:pPr>
        <w:pStyle w:val="BodyText"/>
        <w:bidi w:val="0"/>
        <w:jc w:val="start"/>
        <w:rPr/>
      </w:pPr>
      <w:r>
        <w:rPr/>
        <w:t xml:space="preserve">The fix: </w:t>
      </w:r>
      <w:r>
        <w:rPr>
          <w:rStyle w:val="Strong"/>
        </w:rPr>
        <w:t>geographic and entity diversity caps</w:t>
      </w:r>
      <w:r>
        <w:rPr/>
        <w:t>. No single legal entity (or web of entities identified as related via on-chain analysis) can control more than 15% of total certified Recycle Center capacity globally or more than 30% in any single jurisdiction. These caps are enforced at the smart contract level via the Registry. The DAO can vote to investigate and de-register Center clusters that violate concentration limits.</w:t>
      </w:r>
    </w:p>
    <w:p>
      <w:pPr>
        <w:pStyle w:val="BodyText"/>
        <w:bidi w:val="0"/>
        <w:jc w:val="start"/>
        <w:rPr/>
      </w:pPr>
      <w:r>
        <w:rPr>
          <w:rStyle w:val="Strong"/>
        </w:rPr>
        <w:t>8. The "Physical Product" Boundary Erosion (Structural)</w:t>
      </w:r>
    </w:p>
    <w:p>
      <w:pPr>
        <w:pStyle w:val="BodyText"/>
        <w:bidi w:val="0"/>
        <w:jc w:val="start"/>
        <w:rPr/>
      </w:pPr>
      <w:r>
        <w:rPr/>
        <w:t>Over time, governance pressure will push to expand the definition of eligible labor. First it's 3D-printed goods. Then software embedded in physical devices. Then the firmware itself. Then purely digital "smart city infrastructure." Then anything connected to a physical thing. This is regulatory capture via definitional drift.</w:t>
      </w:r>
    </w:p>
    <w:p>
      <w:pPr>
        <w:pStyle w:val="BodyText"/>
        <w:bidi w:val="0"/>
        <w:jc w:val="start"/>
        <w:rPr/>
      </w:pPr>
      <w:r>
        <w:rPr/>
        <w:t xml:space="preserve">The fix: the </w:t>
      </w:r>
      <w:r>
        <w:rPr>
          <w:rStyle w:val="Strong"/>
        </w:rPr>
        <w:t>core eligibility rules must be constitutionally locked</w:t>
      </w:r>
      <w:r>
        <w:rPr/>
        <w:t xml:space="preserve"> — requiring a 90% supermajority to amend, with a mandatory 60-day public comment period. The initial definition should be written with extreme precision: "physical goods with a mass exceeding 100 grams, composed of materials with a documented recycling pathway certified by ISO 14040 Life Cycle Assessment standards." Vague is exploitable.</w:t>
      </w:r>
    </w:p>
    <w:p>
      <w:pPr>
        <w:pStyle w:val="BodyText"/>
        <w:bidi w:val="0"/>
        <w:jc w:val="start"/>
        <w:rPr/>
      </w:pPr>
      <w:r>
        <w:rPr>
          <w:rStyle w:val="Strong"/>
        </w:rPr>
        <w:t>9. The Oracle Dependency Attack (Significant)</w:t>
      </w:r>
    </w:p>
    <w:p>
      <w:pPr>
        <w:pStyle w:val="BodyText"/>
        <w:bidi w:val="0"/>
        <w:jc w:val="start"/>
        <w:rPr/>
      </w:pPr>
      <w:r>
        <w:rPr/>
        <w:t>The entire MRT peg rests on commodity price oracles. If Chainlink feeds are manipulated (a known attack vector in DeFi), or if the oracle network is bribed or hacked, the commodity basket price can be artificially spiked, allowing a short window during which an attacker mints enormous amounts of MRT against overvalued material. By the time the oracle corrects, the MRT has been distributed.</w:t>
      </w:r>
    </w:p>
    <w:p>
      <w:pPr>
        <w:pStyle w:val="BodyText"/>
        <w:bidi w:val="0"/>
        <w:jc w:val="start"/>
        <w:rPr/>
      </w:pPr>
      <w:r>
        <w:rPr/>
        <w:t xml:space="preserve">The fix: </w:t>
      </w:r>
      <w:r>
        <w:rPr>
          <w:rStyle w:val="Strong"/>
        </w:rPr>
        <w:t>Time-Weighted Average Price (TWAP) over 24 hours</w:t>
      </w:r>
      <w:r>
        <w:rPr/>
        <w:t xml:space="preserve"> for all advance calculations, not spot price. Price manipulations lasting less than 24 hours have zero effect on the mintable amount. Combined with circuit breakers (&gt;10% basket move in 1 hour = advances paused), this makes oracle attacks economically infeasible relative to the cost of maintaining a 24-hour price manipulation.</w:t>
      </w:r>
    </w:p>
    <w:p>
      <w:pPr>
        <w:pStyle w:val="BodyText"/>
        <w:bidi w:val="0"/>
        <w:jc w:val="start"/>
        <w:rPr/>
      </w:pPr>
      <w:r>
        <w:rPr>
          <w:rStyle w:val="Strong"/>
        </w:rPr>
        <w:t>10. The Transition-to-RBE End-State is Undefined (Philosophical)</w:t>
      </w:r>
    </w:p>
    <w:p>
      <w:pPr>
        <w:pStyle w:val="BodyText"/>
        <w:bidi w:val="0"/>
        <w:jc w:val="start"/>
        <w:rPr/>
      </w:pPr>
      <w:r>
        <w:rPr/>
        <w:t>Mark's vision is that TRMS eventually makes scarcity so low that profit-seeking becomes unnecessary and humanity transitions to a Resource-Based Economy. This is beautiful as a north star. It's incomplete as a protocol specification. At what point does the DAO declare the transition achieved? Who decides? What happens to outstanding MRT? What happens to Recycle Centers?</w:t>
      </w:r>
    </w:p>
    <w:p>
      <w:pPr>
        <w:pStyle w:val="BodyText"/>
        <w:bidi w:val="0"/>
        <w:jc w:val="start"/>
        <w:rPr/>
      </w:pPr>
      <w:r>
        <w:rPr/>
        <w:t xml:space="preserve">The fix: encode </w:t>
      </w:r>
      <w:r>
        <w:rPr>
          <w:rStyle w:val="Strong"/>
        </w:rPr>
        <w:t>RBE Transition Indicators</w:t>
      </w:r>
      <w:r>
        <w:rPr/>
        <w:t xml:space="preserve"> as on-chain metrics the DAO monitors: global MRT per capita, average producer profit margin, Gini coefficient of MRT holdings, percentage of basic goods available at zero MRT cost via the system. When all four exceed DAO-set thresholds for 12 consecutive months, a DAO vote can trigger a transition protocol — gradually opening the "free goods" marketplace and reducing advance interest to zero. This makes the vision concrete and measurable rather than aspirational.</w:t>
      </w:r>
    </w:p>
    <w:p>
      <w:pPr>
        <w:pStyle w:val="HorizontalLine"/>
        <w:bidi w:val="0"/>
        <w:jc w:val="start"/>
        <w:rPr/>
      </w:pPr>
      <w:r>
        <w:rPr/>
      </w:r>
    </w:p>
    <w:p>
      <w:pPr>
        <w:pStyle w:val="Heading3"/>
        <w:bidi w:val="0"/>
        <w:jc w:val="start"/>
        <w:rPr/>
      </w:pPr>
      <w:r>
        <w:rPr/>
        <w:t>The Five Things That Will Actually Determine Success or Failure</w:t>
      </w:r>
    </w:p>
    <w:p>
      <w:pPr>
        <w:pStyle w:val="BodyText"/>
        <w:bidi w:val="0"/>
        <w:jc w:val="start"/>
        <w:rPr/>
      </w:pPr>
      <w:r>
        <w:rPr>
          <w:rStyle w:val="Strong"/>
        </w:rPr>
        <w:t>Recycle Center quality control</w:t>
      </w:r>
      <w:r>
        <w:rPr/>
        <w:t xml:space="preserve"> — the entire system's integrity is only as good as the weakest certified center. This is the single most important operational challenge.</w:t>
      </w:r>
    </w:p>
    <w:p>
      <w:pPr>
        <w:pStyle w:val="BodyText"/>
        <w:bidi w:val="0"/>
        <w:jc w:val="start"/>
        <w:rPr/>
      </w:pPr>
      <w:r>
        <w:rPr>
          <w:rStyle w:val="Strong"/>
        </w:rPr>
        <w:t>The bootstrap liquidity problem</w:t>
      </w:r>
      <w:r>
        <w:rPr/>
        <w:t xml:space="preserve"> — if the first users have no MRT to trade with, no commerce happens, no repayments occur, and the system dies before it starts.</w:t>
      </w:r>
    </w:p>
    <w:p>
      <w:pPr>
        <w:pStyle w:val="BodyText"/>
        <w:bidi w:val="0"/>
        <w:jc w:val="start"/>
        <w:rPr/>
      </w:pPr>
      <w:r>
        <w:rPr>
          <w:rStyle w:val="Strong"/>
        </w:rPr>
        <w:t>Labor rate verification</w:t>
      </w:r>
      <w:r>
        <w:rPr/>
        <w:t xml:space="preserve"> — without market-rate anchoring, this is the easiest way to print MRT with no real value backing it.</w:t>
      </w:r>
    </w:p>
    <w:p>
      <w:pPr>
        <w:pStyle w:val="BodyText"/>
        <w:bidi w:val="0"/>
        <w:jc w:val="start"/>
        <w:rPr/>
      </w:pPr>
      <w:r>
        <w:rPr>
          <w:rStyle w:val="Strong"/>
        </w:rPr>
        <w:t>Regulatory positioning</w:t>
      </w:r>
      <w:r>
        <w:rPr/>
        <w:t xml:space="preserve"> — the moment a jurisdiction classifies MRT as a security or unlicensed currency, all Recycle Centers and producers in that jurisdiction are immediately at legal risk. The legal wrapper must be bulletproof before launch.</w:t>
      </w:r>
    </w:p>
    <w:p>
      <w:pPr>
        <w:pStyle w:val="BodyText"/>
        <w:bidi w:val="0"/>
        <w:jc w:val="start"/>
        <w:rPr/>
      </w:pPr>
      <w:r>
        <w:rPr>
          <w:rStyle w:val="Strong"/>
        </w:rPr>
        <w:t>Adoption critical mass</w:t>
      </w:r>
      <w:r>
        <w:rPr/>
        <w:t xml:space="preserve"> — TRMS needs a sufficient ecosystem of producers, buyers, and centers to be self-sustaining. A system that can mint MRT but has no marketplace to spend it in collapses. The Open Marketplace DApp and real producer onboarding must be prioritized equally with the protocol itself — not treated as an afterthought.</w:t>
      </w:r>
    </w:p>
    <w:p>
      <w:pPr>
        <w:pStyle w:val="BodyText"/>
        <w:bidi w:val="0"/>
        <w:jc w:val="start"/>
        <w:rPr/>
      </w:pPr>
      <w:r>
        <w:rPr/>
        <w:t xml:space="preserve">The concept is the most coherent producer-centric monetary system I've seen articulated in the crypto space. The gaps are real but all fixable. The philosophical vision is genuinely ambitious in a way that most DeFi projects aren't — it's trying to change </w:t>
      </w:r>
      <w:r>
        <w:rPr>
          <w:rStyle w:val="Emphasis"/>
        </w:rPr>
        <w:t>who money serves</w:t>
      </w:r>
      <w:r>
        <w:rPr/>
        <w:t>, not just how it moves. That's worth building correctly.</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7</Pages>
  <Words>2200</Words>
  <Characters>12071</Characters>
  <CharactersWithSpaces>14234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2026-05-10T08:48:06Z</dcterms:created>
  <dc:creator/>
  <dc:description/>
  <dc:language>en-US</dc:language>
  <cp:lastModifiedBy/>
  <dcterms:modified xsi:type="dcterms:W3CDTF">2026-05-10T08:48:46Z</dcterms:modified>
  <cp:revision>1</cp:revision>
  <dc:subject/>
  <dc:title/>
</cp:coreProperties>
</file>