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500"/>
              <w:left w:type="dxa" w:w="400"/>
              <w:bottom w:type="dxa" w:w="500"/>
              <w:right w:type="dxa" w:w="400"/>
            </w:tcMar>
          </w:tcPr>
          <w:p>
            <w:pPr>
              <w:spacing w:after="80" w:before="200"/>
              <w:jc w:val="center"/>
            </w:pPr>
            <w:r>
              <w:rPr>
                <w:rFonts w:ascii="Arial" w:cs="Arial" w:eastAsia="Arial" w:hAnsi="Arial"/>
                <w:b/>
                <w:bCs/>
                <w:color w:val="FFFFFF"/>
                <w:sz w:val="96"/>
                <w:szCs w:val="96"/>
              </w:rPr>
              <w:t xml:space="preserve">TRMS</w:t>
            </w:r>
          </w:p>
          <w:p>
            <w:pPr>
              <w:spacing w:after="120" w:before="0"/>
              <w:jc w:val="center"/>
            </w:pPr>
            <w:r>
              <w:rPr>
                <w:rFonts w:ascii="Arial" w:cs="Arial" w:eastAsia="Arial" w:hAnsi="Arial"/>
                <w:color w:val="A8C8E8"/>
                <w:sz w:val="32"/>
                <w:szCs w:val="32"/>
              </w:rPr>
              <w:t xml:space="preserve">Transitional Resource Monetary System</w:t>
            </w:r>
          </w:p>
          <w:p>
            <w:pPr>
              <w:spacing w:after="80" w:before="80"/>
              <w:jc w:val="center"/>
            </w:pPr>
            <w:r>
              <w:rPr>
                <w:rFonts w:ascii="Arial" w:cs="Arial" w:eastAsia="Arial" w:hAnsi="Arial"/>
                <w:b/>
                <w:bCs/>
                <w:color w:val="FFD700"/>
                <w:sz w:val="24"/>
                <w:szCs w:val="24"/>
              </w:rPr>
              <w:t xml:space="preserve">FULL SYSTEMS ANALYSIS &amp; BLOCKCHAIN IMPLEMENTATION SPECIFICATION</w:t>
            </w:r>
          </w:p>
          <w:p>
            <w:pPr>
              <w:spacing w:after="60" w:before="60"/>
            </w:pPr>
            <w:r>
              <w:t xml:space="preserve"/>
            </w:r>
          </w:p>
          <w:p>
            <w:pPr>
              <w:spacing w:after="0" w:before="120"/>
              <w:jc w:val="center"/>
            </w:pPr>
            <w:r>
              <w:rPr>
                <w:rFonts w:ascii="Arial" w:cs="Arial" w:eastAsia="Arial" w:hAnsi="Arial"/>
                <w:color w:val="C0D8F0"/>
                <w:sz w:val="20"/>
                <w:szCs w:val="20"/>
              </w:rPr>
              <w:t xml:space="preserve">Prepared for: AI Coding Agent / Development Team</w:t>
            </w:r>
          </w:p>
          <w:p>
            <w:pPr>
              <w:spacing w:after="0" w:before="60"/>
              <w:jc w:val="center"/>
            </w:pPr>
            <w:r>
              <w:rPr>
                <w:rFonts w:ascii="Arial" w:cs="Arial" w:eastAsia="Arial" w:hAnsi="Arial"/>
                <w:color w:val="C0D8F0"/>
                <w:sz w:val="20"/>
                <w:szCs w:val="20"/>
              </w:rPr>
              <w:t xml:space="preserve">Original Concept: Mark Traver (c2009, crypto adaptation 2018)</w:t>
            </w:r>
          </w:p>
          <w:p>
            <w:pPr>
              <w:spacing w:after="200" w:before="60"/>
              <w:jc w:val="center"/>
            </w:pPr>
            <w:r>
              <w:rPr>
                <w:rFonts w:ascii="Arial" w:cs="Arial" w:eastAsia="Arial" w:hAnsi="Arial"/>
                <w:color w:val="C0D8F0"/>
                <w:sz w:val="20"/>
                <w:szCs w:val="20"/>
              </w:rPr>
              <w:t xml:space="preserve">Analysis &amp; Specification: May 2026</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160"/>
              <w:left w:type="dxa" w:w="300"/>
              <w:bottom w:type="dxa" w:w="160"/>
              <w:right w:type="dxa" w:w="300"/>
            </w:tcMar>
          </w:tcPr>
          <w:p>
            <w:pPr>
              <w:jc w:val="center"/>
            </w:pPr>
            <w:r>
              <w:rPr>
                <w:rFonts w:ascii="Arial" w:cs="Arial" w:eastAsia="Arial" w:hAnsi="Arial"/>
                <w:b/>
                <w:bCs/>
                <w:color w:val="FFFFFF"/>
                <w:sz w:val="28"/>
                <w:szCs w:val="28"/>
              </w:rPr>
              <w:t xml:space="preserve">PART 0 — EXECUTIVE BRIEF FOR DEVELOPERS</w:t>
            </w:r>
          </w:p>
        </w:tc>
      </w:tr>
    </w:tbl>
    <w:p>
      <w:pPr>
        <w:spacing w:after="60" w:before="60"/>
      </w:pPr>
      <w:r>
        <w:t xml:space="preserve"/>
      </w:r>
    </w:p>
    <w:p>
      <w:pPr>
        <w:spacing w:after="120" w:before="80"/>
      </w:pPr>
      <w:r>
        <w:rPr>
          <w:rFonts w:ascii="Arial" w:cs="Arial" w:eastAsia="Arial" w:hAnsi="Arial"/>
          <w:sz w:val="22"/>
          <w:szCs w:val="22"/>
        </w:rPr>
        <w:t xml:space="preserve">TRMS is a dual-token, producer-centric economic protocol designed to replace debt-based fiat money creation with resource-backed, real-economy-anchored currency issuance. Money is minted only when real-world value is added — recyclable materials enter the economy, labor builds physical goods, or natural resources are extracted. Money is burned when those underlying obligations are repaid. The system incentivizes circular economy design (recyclability, modularity, reuse) over linear extraction and waste.</w:t>
      </w:r>
    </w:p>
    <w:p>
      <w:pPr>
        <w:spacing w:after="60" w:before="60"/>
      </w:pPr>
      <w:r>
        <w:t xml:space="preserve"/>
      </w:r>
    </w:p>
    <w:p>
      <w:pPr>
        <w:spacing w:after="120" w:before="80"/>
      </w:pPr>
      <w:r>
        <w:rPr>
          <w:rFonts w:ascii="Arial" w:cs="Arial" w:eastAsia="Arial" w:hAnsi="Arial"/>
          <w:sz w:val="22"/>
          <w:szCs w:val="22"/>
        </w:rPr>
        <w:t xml:space="preserve">This document provides: (1) a faithful reconstruction and analysis of the original TRMS concept, (2) identification and resolution of all logical gaps and loopholes, (3) a complete on-chain architecture, (4) a blockchain selection recommendation with justification, and (5) a module-by-module smart contract specification ready for agent implementation.</w:t>
      </w:r>
    </w:p>
    <w:p>
      <w:pPr>
        <w:spacing w:after="60" w:before="60"/>
      </w:pPr>
      <w:r>
        <w:t xml:space="preserve"/>
      </w:r>
    </w:p>
    <w:p>
      <w:pPr>
        <w:pStyle w:val="Heading2"/>
        <w:spacing w:after="160" w:before="360"/>
      </w:pPr>
      <w:r>
        <w:rPr>
          <w:rFonts w:ascii="Arial" w:cs="Arial" w:eastAsia="Arial" w:hAnsi="Arial"/>
          <w:b/>
          <w:bCs/>
          <w:color w:val="2E6DA4"/>
          <w:sz w:val="28"/>
          <w:szCs w:val="28"/>
        </w:rPr>
        <w:t xml:space="preserve">Token Architecture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sz w:val="20"/>
                <w:szCs w:val="20"/>
              </w:rPr>
              <w:t xml:space="preserve">Property</w:t>
            </w:r>
          </w:p>
        </w:tc>
        <w:tc>
          <w:tcPr>
            <w:tcW w:type="dxa" w:w="32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sz w:val="20"/>
                <w:szCs w:val="20"/>
              </w:rPr>
              <w:t xml:space="preserve">TRMS Token (Governance)</w:t>
            </w:r>
          </w:p>
        </w:tc>
        <w:tc>
          <w:tcPr>
            <w:tcW w:type="dxa" w:w="32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sz w:val="20"/>
                <w:szCs w:val="20"/>
              </w:rPr>
              <w:t xml:space="preserve">MRT Token ($mart Coin)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Role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Governance / voting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 of exchange / currency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Supply model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Fixed / vesting schedule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Elastic — minted &amp; burned by protocol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Value peg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peg (governance utility)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Pegged to recyclable commodity basket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Holders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DAO participants, devs, founder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economy participants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Burn mechanism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Optional (DAO vote)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Mandatory on loan repayment</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160"/>
              <w:left w:type="dxa" w:w="300"/>
              <w:bottom w:type="dxa" w:w="160"/>
              <w:right w:type="dxa" w:w="300"/>
            </w:tcMar>
          </w:tcPr>
          <w:p>
            <w:pPr>
              <w:jc w:val="center"/>
            </w:pPr>
            <w:r>
              <w:rPr>
                <w:rFonts w:ascii="Arial" w:cs="Arial" w:eastAsia="Arial" w:hAnsi="Arial"/>
                <w:b/>
                <w:bCs/>
                <w:color w:val="FFFFFF"/>
                <w:sz w:val="28"/>
                <w:szCs w:val="28"/>
              </w:rPr>
              <w:t xml:space="preserve">PART 1 — CONCEPT ANALYSIS</w:t>
            </w:r>
          </w:p>
        </w:tc>
      </w:tr>
    </w:tbl>
    <w:p>
      <w:pPr>
        <w:spacing w:after="60" w:before="60"/>
      </w:pPr>
      <w:r>
        <w:t xml:space="preserve"/>
      </w:r>
    </w:p>
    <w:p>
      <w:pPr>
        <w:pStyle w:val="Heading1"/>
        <w:pBdr>
          <w:bottom w:val="single" w:color="2E6DA4" w:sz="8" w:space="6"/>
        </w:pBdr>
        <w:spacing w:after="200" w:before="480"/>
      </w:pPr>
      <w:r>
        <w:rPr>
          <w:rFonts w:ascii="Arial" w:cs="Arial" w:eastAsia="Arial" w:hAnsi="Arial"/>
          <w:b/>
          <w:bCs/>
          <w:color w:val="1A3A5C"/>
          <w:sz w:val="34"/>
          <w:szCs w:val="34"/>
        </w:rPr>
        <w:t xml:space="preserve">1. Core Philosophy &amp; Alignment</w:t>
      </w:r>
    </w:p>
    <w:p>
      <w:pPr>
        <w:spacing w:after="120" w:before="80"/>
      </w:pPr>
      <w:r>
        <w:rPr>
          <w:rFonts w:ascii="Arial" w:cs="Arial" w:eastAsia="Arial" w:hAnsi="Arial"/>
          <w:sz w:val="22"/>
          <w:szCs w:val="22"/>
        </w:rPr>
        <w:t xml:space="preserve">The TRMS is philosophically rooted in the question: 'Who should be the beneficiary of new money creation?' Its answer — the people who actually add wealth to the physical economy — is a coherent and historically grounded position. The critique of fractional reserve banking and the comparison to Colonial Script are accurate at a high level.</w:t>
      </w:r>
    </w:p>
    <w:p>
      <w:pPr>
        <w:spacing w:after="60" w:before="60"/>
      </w:pPr>
      <w:r>
        <w:t xml:space="preserve"/>
      </w:r>
    </w:p>
    <w:p>
      <w:pPr>
        <w:spacing w:after="120" w:before="80"/>
      </w:pPr>
      <w:r>
        <w:rPr>
          <w:rFonts w:ascii="Arial" w:cs="Arial" w:eastAsia="Arial" w:hAnsi="Arial"/>
          <w:sz w:val="22"/>
          <w:szCs w:val="22"/>
        </w:rPr>
        <w:t xml:space="preserve">The system draws correctly on three historical lineages: (1) commodity-backed money (gold standard), (2) government-spent-into-existence money (Colonial Script, MMT-adjacent), and (3) token inflation spent on desired behaviors (Steemit/HIVE). TRMS synthesizes these into a producer-spent-into-existence model, which is a genuine conceptual innovation.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A3A5C"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CORE THESIS</w:t>
            </w:r>
          </w:p>
        </w:tc>
        <w:tc>
          <w:tcPr>
            <w:tcW w:type="dxa" w:w="8360"/>
            <w:tcBorders>
              <w:top w:val="none" w:color="FFFFFF" w:sz="0"/>
              <w:left w:val="none" w:color="FFFFFF" w:sz="0"/>
              <w:bottom w:val="none" w:color="FFFFFF" w:sz="0"/>
              <w:right w:val="none" w:color="FFFFFF" w:sz="0"/>
            </w:tcBorders>
            <w:shd w:fill="D6E8F7" w:val="clear"/>
            <w:tcMar>
              <w:top w:type="dxa" w:w="100"/>
              <w:left w:type="dxa" w:w="160"/>
              <w:bottom w:type="dxa" w:w="100"/>
              <w:right w:type="dxa" w:w="120"/>
            </w:tcMar>
          </w:tcPr>
          <w:p>
            <w:r>
              <w:rPr>
                <w:rFonts w:ascii="Arial" w:cs="Arial" w:eastAsia="Arial" w:hAnsi="Arial"/>
                <w:i/>
                <w:iCs/>
                <w:sz w:val="20"/>
                <w:szCs w:val="20"/>
              </w:rPr>
              <w:t xml:space="preserve">Money should be created by — and flow first to — those who add real, measurable, physical value to the economy. It should be backed by that value and extinguished when the value is consumed or recycled.</w:t>
            </w:r>
          </w:p>
        </w:tc>
      </w:tr>
    </w:tbl>
    <w:p>
      <w:pPr>
        <w:spacing w:after="60" w:before="60"/>
      </w:pPr>
      <w:r>
        <w:t xml:space="preserve"/>
      </w:r>
    </w:p>
    <w:p>
      <w:pPr>
        <w:pStyle w:val="Heading1"/>
        <w:pBdr>
          <w:bottom w:val="single" w:color="2E6DA4" w:sz="8" w:space="6"/>
        </w:pBdr>
        <w:spacing w:after="200" w:before="480"/>
      </w:pPr>
      <w:r>
        <w:rPr>
          <w:rFonts w:ascii="Arial" w:cs="Arial" w:eastAsia="Arial" w:hAnsi="Arial"/>
          <w:b/>
          <w:bCs/>
          <w:color w:val="1A3A5C"/>
          <w:sz w:val="34"/>
          <w:szCs w:val="34"/>
        </w:rPr>
        <w:t xml:space="preserve">2. The Two-Token Architecture</w:t>
      </w:r>
    </w:p>
    <w:p>
      <w:pPr>
        <w:pStyle w:val="Heading3"/>
        <w:spacing w:after="120" w:before="280"/>
      </w:pPr>
      <w:r>
        <w:rPr>
          <w:rFonts w:ascii="Arial" w:cs="Arial" w:eastAsia="Arial" w:hAnsi="Arial"/>
          <w:b/>
          <w:bCs/>
          <w:color w:val="1A7A6E"/>
          <w:sz w:val="24"/>
          <w:szCs w:val="24"/>
        </w:rPr>
        <w:t xml:space="preserve">2.1 TRMS — Governance Token</w:t>
      </w:r>
    </w:p>
    <w:p>
      <w:pPr>
        <w:spacing w:after="120" w:before="80"/>
      </w:pPr>
      <w:r>
        <w:rPr>
          <w:rFonts w:ascii="Arial" w:cs="Arial" w:eastAsia="Arial" w:hAnsi="Arial"/>
          <w:sz w:val="22"/>
          <w:szCs w:val="22"/>
        </w:rPr>
        <w:t xml:space="preserve">The TRMS token governs protocol parameters: recyclability valuation methods, the commodity basket composition, labor advance percentages, oracle selection, fee structures, and DAO membership rules. It does not circulate as currency. The original document notes that distribution details were redacted ('[...]') in the executive summary, indicating this was intentionally left for a fuller whitepaper. We will design a sound distribution model.</w:t>
      </w:r>
    </w:p>
    <w:p>
      <w:pPr>
        <w:spacing w:after="60" w:before="60"/>
      </w:pPr>
      <w:r>
        <w:t xml:space="preserve"/>
      </w:r>
    </w:p>
    <w:p>
      <w:pPr>
        <w:pStyle w:val="Heading3"/>
        <w:spacing w:after="120" w:before="280"/>
      </w:pPr>
      <w:r>
        <w:rPr>
          <w:rFonts w:ascii="Arial" w:cs="Arial" w:eastAsia="Arial" w:hAnsi="Arial"/>
          <w:b/>
          <w:bCs/>
          <w:color w:val="1A7A6E"/>
          <w:sz w:val="24"/>
          <w:szCs w:val="24"/>
        </w:rPr>
        <w:t xml:space="preserve">2.2 MRT — Monetary Resource Token ('$mart Coin')</w:t>
      </w:r>
    </w:p>
    <w:p>
      <w:pPr>
        <w:spacing w:after="120" w:before="80"/>
      </w:pPr>
      <w:r>
        <w:rPr>
          <w:rFonts w:ascii="Arial" w:cs="Arial" w:eastAsia="Arial" w:hAnsi="Arial"/>
          <w:sz w:val="22"/>
          <w:szCs w:val="22"/>
        </w:rPr>
        <w:t xml:space="preserve">MRT is the active currency. Its supply is elastic: minted when value enters the economy through three channels, burned when the associated obligations are repaid. The peg to a basket of recyclable commodities (including gold and silver) gives it non-speculative stability. This is structurally similar to a multi-collateral stablecoin, but with a distinct social-incentive layer.</w:t>
      </w:r>
    </w:p>
    <w:p>
      <w:pPr>
        <w:spacing w:after="60" w:before="60"/>
      </w:pPr>
      <w:r>
        <w:t xml:space="preserve"/>
      </w:r>
    </w:p>
    <w:p>
      <w:pPr>
        <w:pStyle w:val="Heading1"/>
        <w:pBdr>
          <w:bottom w:val="single" w:color="2E6DA4" w:sz="8" w:space="6"/>
        </w:pBdr>
        <w:spacing w:after="200" w:before="480"/>
      </w:pPr>
      <w:r>
        <w:rPr>
          <w:rFonts w:ascii="Arial" w:cs="Arial" w:eastAsia="Arial" w:hAnsi="Arial"/>
          <w:b/>
          <w:bCs/>
          <w:color w:val="1A3A5C"/>
          <w:sz w:val="34"/>
          <w:szCs w:val="34"/>
        </w:rPr>
        <w:t xml:space="preserve">3. The Three Money-Creation Channels</w:t>
      </w:r>
    </w:p>
    <w:p>
      <w:pPr>
        <w:pStyle w:val="Heading3"/>
        <w:spacing w:after="120" w:before="280"/>
      </w:pPr>
      <w:r>
        <w:rPr>
          <w:rFonts w:ascii="Arial" w:cs="Arial" w:eastAsia="Arial" w:hAnsi="Arial"/>
          <w:b/>
          <w:bCs/>
          <w:color w:val="1A7A6E"/>
          <w:sz w:val="24"/>
          <w:szCs w:val="24"/>
        </w:rPr>
        <w:t xml:space="preserve">Channel 1 — Recyclable Material Deposit</w:t>
      </w:r>
    </w:p>
    <w:p>
      <w:pPr>
        <w:spacing w:after="120" w:before="80"/>
      </w:pPr>
      <w:r>
        <w:rPr>
          <w:rFonts w:ascii="Arial" w:cs="Arial" w:eastAsia="Arial" w:hAnsi="Arial"/>
          <w:sz w:val="22"/>
          <w:szCs w:val="22"/>
        </w:rPr>
        <w:t xml:space="preserve">When someone deposits raw recyclable materials at a certified TRMS Recycle Center, or produces a product containing recyclable materials, an NFT is minted representing that certified recyclable value (net of recycling cost), and an equivalent amount of MRT is issued. This MRT is permanent — it remains in circulation as long as the material exists in the economy. When the product is finally recycled, the NFT is burned and MRT is burned from circulation.</w:t>
      </w:r>
    </w:p>
    <w:p>
      <w:pPr>
        <w:spacing w:after="60" w:before="60"/>
      </w:pPr>
      <w:r>
        <w:t xml:space="preserve"/>
      </w:r>
    </w:p>
    <w:p>
      <w:pPr>
        <w:pStyle w:val="Heading3"/>
        <w:spacing w:after="120" w:before="280"/>
      </w:pPr>
      <w:r>
        <w:rPr>
          <w:rFonts w:ascii="Arial" w:cs="Arial" w:eastAsia="Arial" w:hAnsi="Arial"/>
          <w:b/>
          <w:bCs/>
          <w:color w:val="1A7A6E"/>
          <w:sz w:val="24"/>
          <w:szCs w:val="24"/>
        </w:rPr>
        <w:t xml:space="preserve">Channel 2 — Labor Advance on Physical Goods</w:t>
      </w:r>
    </w:p>
    <w:p>
      <w:pPr>
        <w:spacing w:after="120" w:before="80"/>
      </w:pPr>
      <w:r>
        <w:rPr>
          <w:rFonts w:ascii="Arial" w:cs="Arial" w:eastAsia="Arial" w:hAnsi="Arial"/>
          <w:sz w:val="22"/>
          <w:szCs w:val="22"/>
        </w:rPr>
        <w:t xml:space="preserve">Fifty percent of the labor cost of producing a physical product is advanced to the producer in MRT by the protocol. This advance is an obligation: repayable in MRT when the product sells, or within one year — whichever is sooner. Upon repayment, that MRT is burned. The net effect is that labor-backed money circulates during the production-to-sale period, stimulating the economy, then contracts when the value is realized.</w:t>
      </w:r>
    </w:p>
    <w:p>
      <w:pPr>
        <w:spacing w:after="60" w:before="60"/>
      </w:pPr>
      <w:r>
        <w:t xml:space="preserve"/>
      </w:r>
    </w:p>
    <w:p>
      <w:pPr>
        <w:pStyle w:val="Heading3"/>
        <w:spacing w:after="120" w:before="280"/>
      </w:pPr>
      <w:r>
        <w:rPr>
          <w:rFonts w:ascii="Arial" w:cs="Arial" w:eastAsia="Arial" w:hAnsi="Arial"/>
          <w:b/>
          <w:bCs/>
          <w:color w:val="1A7A6E"/>
          <w:sz w:val="24"/>
          <w:szCs w:val="24"/>
        </w:rPr>
        <w:t xml:space="preserve">Channel 3 — Natural Resource Extraction Advance</w:t>
      </w:r>
    </w:p>
    <w:p>
      <w:pPr>
        <w:spacing w:after="120" w:before="80"/>
      </w:pPr>
      <w:r>
        <w:rPr>
          <w:rFonts w:ascii="Arial" w:cs="Arial" w:eastAsia="Arial" w:hAnsi="Arial"/>
          <w:sz w:val="22"/>
          <w:szCs w:val="22"/>
        </w:rPr>
        <w:t xml:space="preserve">Natural resource extractors (mining, forestry, fishing, etc.) can receive 50% of the net value of the resource (after extraction cost, reclamation cost, and labor costs) as an MRT advance, for up to one year or until the resource is sold. Upon sale/repayment, MRT is burned. This lowers capital barriers for resource extraction while anchoring MRT to proven in-ground resource value.</w:t>
      </w:r>
    </w:p>
    <w:p>
      <w:pPr>
        <w:spacing w:after="60" w:before="60"/>
      </w:pPr>
      <w:r>
        <w:t xml:space="preserve"/>
      </w:r>
    </w:p>
    <w:p>
      <w:pPr>
        <w:pStyle w:val="Heading1"/>
        <w:pBdr>
          <w:bottom w:val="single" w:color="2E6DA4" w:sz="8" w:space="6"/>
        </w:pBdr>
        <w:spacing w:after="200" w:before="480"/>
      </w:pPr>
      <w:r>
        <w:rPr>
          <w:rFonts w:ascii="Arial" w:cs="Arial" w:eastAsia="Arial" w:hAnsi="Arial"/>
          <w:b/>
          <w:bCs/>
          <w:color w:val="1A3A5C"/>
          <w:sz w:val="34"/>
          <w:szCs w:val="34"/>
        </w:rPr>
        <w:t xml:space="preserve">4. The NFT Layer</w:t>
      </w:r>
    </w:p>
    <w:p>
      <w:pPr>
        <w:spacing w:after="120" w:before="80"/>
      </w:pPr>
      <w:r>
        <w:rPr>
          <w:rFonts w:ascii="Arial" w:cs="Arial" w:eastAsia="Arial" w:hAnsi="Arial"/>
          <w:sz w:val="22"/>
          <w:szCs w:val="22"/>
        </w:rPr>
        <w:t xml:space="preserve">The TRMS system uses NFTs as on-chain certificates of recyclable content. Each NFT encodes: the material type and quantity, certified recyclable percentage, estimated recycling cost, issuing Recycle Center identity, and the dollar-denominated MRT value at time of certification. NFTs can be transferred with the product they represent. When the product is recycled, the NFT is burned and corresponding MRT is burned, closing the money supply loop.</w:t>
      </w:r>
    </w:p>
    <w:p>
      <w:pPr>
        <w:spacing w:after="60" w:before="60"/>
      </w:pPr>
      <w:r>
        <w:t xml:space="preserve"/>
      </w:r>
    </w:p>
    <w:p>
      <w:pPr>
        <w:pStyle w:val="Heading1"/>
        <w:pBdr>
          <w:bottom w:val="single" w:color="2E6DA4" w:sz="8" w:space="6"/>
        </w:pBdr>
        <w:spacing w:after="200" w:before="480"/>
      </w:pPr>
      <w:r>
        <w:rPr>
          <w:rFonts w:ascii="Arial" w:cs="Arial" w:eastAsia="Arial" w:hAnsi="Arial"/>
          <w:b/>
          <w:bCs/>
          <w:color w:val="1A3A5C"/>
          <w:sz w:val="34"/>
          <w:szCs w:val="34"/>
        </w:rPr>
        <w:t xml:space="preserve">5. The Recyclable Material Benefit</w:t>
      </w:r>
    </w:p>
    <w:p>
      <w:pPr>
        <w:spacing w:after="120" w:before="80"/>
      </w:pPr>
      <w:r>
        <w:rPr>
          <w:rFonts w:ascii="Arial" w:cs="Arial" w:eastAsia="Arial" w:hAnsi="Arial"/>
          <w:sz w:val="22"/>
          <w:szCs w:val="22"/>
        </w:rPr>
        <w:t xml:space="preserve">Any producer whose product design has certified recyclable content is entitled to receive that material from TRMS Recycle Centers at zero net cost (material value minus recycling cost = 0, effectively free feedstock). This is the single most powerful producer incentive in the system: 100% recyclable products cost only labor and 'other' expenses — a dramatic reduction in capital requirements.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A7A6E"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INCENTIVE POWER</w:t>
            </w:r>
          </w:p>
        </w:tc>
        <w:tc>
          <w:tcPr>
            <w:tcW w:type="dxa" w:w="8360"/>
            <w:tcBorders>
              <w:top w:val="none" w:color="FFFFFF" w:sz="0"/>
              <w:left w:val="none" w:color="FFFFFF" w:sz="0"/>
              <w:bottom w:val="none" w:color="FFFFFF" w:sz="0"/>
              <w:right w:val="none" w:color="FFFFFF" w:sz="0"/>
            </w:tcBorders>
            <w:shd w:fill="D0EFEC" w:val="clear"/>
            <w:tcMar>
              <w:top w:type="dxa" w:w="100"/>
              <w:left w:type="dxa" w:w="160"/>
              <w:bottom w:type="dxa" w:w="100"/>
              <w:right w:type="dxa" w:w="120"/>
            </w:tcMar>
          </w:tcPr>
          <w:p>
            <w:r>
              <w:rPr>
                <w:rFonts w:ascii="Arial" w:cs="Arial" w:eastAsia="Arial" w:hAnsi="Arial"/>
                <w:i/>
                <w:iCs/>
                <w:sz w:val="20"/>
                <w:szCs w:val="20"/>
              </w:rPr>
              <w:t xml:space="preserve">Under TRMS, a widget producer using 100% recyclable materials and receiving a 50% labor advance needs only $35 of their own capital vs $100 under today's system — a 65% reduction — while earning $90 profit vs $50. This is a genuine and mathematically correct economic restructuring.</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160"/>
              <w:left w:type="dxa" w:w="300"/>
              <w:bottom w:type="dxa" w:w="160"/>
              <w:right w:type="dxa" w:w="300"/>
            </w:tcMar>
          </w:tcPr>
          <w:p>
            <w:pPr>
              <w:jc w:val="center"/>
            </w:pPr>
            <w:r>
              <w:rPr>
                <w:rFonts w:ascii="Arial" w:cs="Arial" w:eastAsia="Arial" w:hAnsi="Arial"/>
                <w:b/>
                <w:bCs/>
                <w:color w:val="FFFFFF"/>
                <w:sz w:val="28"/>
                <w:szCs w:val="28"/>
              </w:rPr>
              <w:t xml:space="preserve">PART 2 — LOGICAL GAP ANALYSIS &amp; RESOLUTIONS</w:t>
            </w:r>
          </w:p>
        </w:tc>
      </w:tr>
    </w:tbl>
    <w:p>
      <w:pPr>
        <w:spacing w:after="60" w:before="60"/>
      </w:pPr>
      <w:r>
        <w:t xml:space="preserve"/>
      </w:r>
    </w:p>
    <w:p>
      <w:pPr>
        <w:spacing w:after="120" w:before="80"/>
      </w:pPr>
      <w:r>
        <w:rPr>
          <w:rFonts w:ascii="Arial" w:cs="Arial" w:eastAsia="Arial" w:hAnsi="Arial"/>
          <w:sz w:val="22"/>
          <w:szCs w:val="22"/>
        </w:rPr>
        <w:t xml:space="preserve">The following section systematically identifies every logical gap, ambiguity, incentive misalignment, and attack surface in the original TRMS specification. Each gap is immediately followed by the resolution that must be implemented in the smart contract system.</w:t>
      </w:r>
    </w:p>
    <w:p>
      <w:pPr>
        <w:spacing w:after="60" w:before="60"/>
      </w:pPr>
      <w:r>
        <w:t xml:space="preserve"/>
      </w:r>
    </w:p>
    <w:p>
      <w:pPr>
        <w:pStyle w:val="Heading1"/>
        <w:pBdr>
          <w:bottom w:val="single" w:color="2E6DA4" w:sz="8" w:space="6"/>
        </w:pBdr>
        <w:spacing w:after="200" w:before="480"/>
      </w:pPr>
      <w:r>
        <w:rPr>
          <w:rFonts w:ascii="Arial" w:cs="Arial" w:eastAsia="Arial" w:hAnsi="Arial"/>
          <w:b/>
          <w:bCs/>
          <w:color w:val="1A3A5C"/>
          <w:sz w:val="34"/>
          <w:szCs w:val="34"/>
        </w:rPr>
        <w:t xml:space="preserve">GAP ANALYSIS: GOVERNANCE TOKEN (TRMS)</w:t>
      </w:r>
    </w:p>
    <w:p>
      <w:pPr>
        <w:pStyle w:val="Heading3"/>
        <w:spacing w:after="120" w:before="280"/>
      </w:pPr>
      <w:r>
        <w:rPr>
          <w:rFonts w:ascii="Arial" w:cs="Arial" w:eastAsia="Arial" w:hAnsi="Arial"/>
          <w:b/>
          <w:bCs/>
          <w:color w:val="1A7A6E"/>
          <w:sz w:val="24"/>
          <w:szCs w:val="24"/>
        </w:rPr>
        <w:t xml:space="preserve">Gap G-1: TRMS Token Distribution is Undefined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8B0000"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 GAP</w:t>
            </w:r>
          </w:p>
        </w:tc>
        <w:tc>
          <w:tcPr>
            <w:tcW w:type="dxa" w:w="8360"/>
            <w:tcBorders>
              <w:top w:val="none" w:color="FFFFFF" w:sz="0"/>
              <w:left w:val="none" w:color="FFFFFF" w:sz="0"/>
              <w:bottom w:val="none" w:color="FFFFFF" w:sz="0"/>
              <w:right w:val="none" w:color="FFFFFF" w:sz="0"/>
            </w:tcBorders>
            <w:shd w:fill="FDECEA" w:val="clear"/>
            <w:tcMar>
              <w:top w:type="dxa" w:w="100"/>
              <w:left w:type="dxa" w:w="160"/>
              <w:bottom w:type="dxa" w:w="100"/>
              <w:right w:type="dxa" w:w="120"/>
            </w:tcMar>
          </w:tcPr>
          <w:p>
            <w:r>
              <w:rPr>
                <w:rFonts w:ascii="Arial" w:cs="Arial" w:eastAsia="Arial" w:hAnsi="Arial"/>
                <w:i/>
                <w:iCs/>
                <w:sz w:val="20"/>
                <w:szCs w:val="20"/>
              </w:rPr>
              <w:t xml:space="preserve">The executive summary explicitly redacts the TRMS token distribution plan with '[...]'. No supply cap, vesting schedule, airdrop logic, or founder lockup is defined. This is a critical omission — it controls the entire governance system.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A7A6E"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 FIX</w:t>
            </w:r>
          </w:p>
        </w:tc>
        <w:tc>
          <w:tcPr>
            <w:tcW w:type="dxa" w:w="8360"/>
            <w:tcBorders>
              <w:top w:val="none" w:color="FFFFFF" w:sz="0"/>
              <w:left w:val="none" w:color="FFFFFF" w:sz="0"/>
              <w:bottom w:val="none" w:color="FFFFFF" w:sz="0"/>
              <w:right w:val="none" w:color="FFFFFF" w:sz="0"/>
            </w:tcBorders>
            <w:shd w:fill="D0EFEC" w:val="clear"/>
            <w:tcMar>
              <w:top w:type="dxa" w:w="100"/>
              <w:left w:type="dxa" w:w="160"/>
              <w:bottom w:type="dxa" w:w="100"/>
              <w:right w:type="dxa" w:w="120"/>
            </w:tcMar>
          </w:tcPr>
          <w:p>
            <w:r>
              <w:rPr>
                <w:rFonts w:ascii="Arial" w:cs="Arial" w:eastAsia="Arial" w:hAnsi="Arial"/>
                <w:i/>
                <w:iCs/>
                <w:sz w:val="20"/>
                <w:szCs w:val="20"/>
              </w:rPr>
              <w:t xml:space="preserve">Implement: Fixed supply of 100,000,000 TRMS. Founder (M. Traver) receives 20% locked in a 4-year linear vesting contract with 1-year cliff. 30% allocated to founding DAO participants and early TRMS Dapp builders via a verified application process. 30% reserved in a DAO treasury for protocol growth grants. 20% to a public sale to bootstrap liquidity and community.</w:t>
            </w:r>
          </w:p>
        </w:tc>
      </w:tr>
    </w:tbl>
    <w:p>
      <w:pPr>
        <w:spacing w:after="60" w:before="60"/>
      </w:pPr>
      <w:r>
        <w:t xml:space="preserve"/>
      </w:r>
    </w:p>
    <w:p>
      <w:pPr>
        <w:pStyle w:val="Heading3"/>
        <w:spacing w:after="120" w:before="280"/>
      </w:pPr>
      <w:r>
        <w:rPr>
          <w:rFonts w:ascii="Arial" w:cs="Arial" w:eastAsia="Arial" w:hAnsi="Arial"/>
          <w:b/>
          <w:bCs/>
          <w:color w:val="1A7A6E"/>
          <w:sz w:val="24"/>
          <w:szCs w:val="24"/>
        </w:rPr>
        <w:t xml:space="preserve">Gap G-2: Governance Attack Surface — Plutocracy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8B0000"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 GAP</w:t>
            </w:r>
          </w:p>
        </w:tc>
        <w:tc>
          <w:tcPr>
            <w:tcW w:type="dxa" w:w="8360"/>
            <w:tcBorders>
              <w:top w:val="none" w:color="FFFFFF" w:sz="0"/>
              <w:left w:val="none" w:color="FFFFFF" w:sz="0"/>
              <w:bottom w:val="none" w:color="FFFFFF" w:sz="0"/>
              <w:right w:val="none" w:color="FFFFFF" w:sz="0"/>
            </w:tcBorders>
            <w:shd w:fill="FDECEA" w:val="clear"/>
            <w:tcMar>
              <w:top w:type="dxa" w:w="100"/>
              <w:left w:type="dxa" w:w="160"/>
              <w:bottom w:type="dxa" w:w="100"/>
              <w:right w:type="dxa" w:w="120"/>
            </w:tcMar>
          </w:tcPr>
          <w:p>
            <w:r>
              <w:rPr>
                <w:rFonts w:ascii="Arial" w:cs="Arial" w:eastAsia="Arial" w:hAnsi="Arial"/>
                <w:i/>
                <w:iCs/>
                <w:sz w:val="20"/>
                <w:szCs w:val="20"/>
              </w:rPr>
              <w:t xml:space="preserve">Token-weighted voting is standard but can be captured by wealthy actors who accumulate TRMS. A whale could vote to change the commodity basket, recyclability percentages, or labor advance rates in their favor.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A7A6E"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 FIX</w:t>
            </w:r>
          </w:p>
        </w:tc>
        <w:tc>
          <w:tcPr>
            <w:tcW w:type="dxa" w:w="8360"/>
            <w:tcBorders>
              <w:top w:val="none" w:color="FFFFFF" w:sz="0"/>
              <w:left w:val="none" w:color="FFFFFF" w:sz="0"/>
              <w:bottom w:val="none" w:color="FFFFFF" w:sz="0"/>
              <w:right w:val="none" w:color="FFFFFF" w:sz="0"/>
            </w:tcBorders>
            <w:shd w:fill="D0EFEC" w:val="clear"/>
            <w:tcMar>
              <w:top w:type="dxa" w:w="100"/>
              <w:left w:type="dxa" w:w="160"/>
              <w:bottom w:type="dxa" w:w="100"/>
              <w:right w:type="dxa" w:w="120"/>
            </w:tcMar>
          </w:tcPr>
          <w:p>
            <w:r>
              <w:rPr>
                <w:rFonts w:ascii="Arial" w:cs="Arial" w:eastAsia="Arial" w:hAnsi="Arial"/>
                <w:i/>
                <w:iCs/>
                <w:sz w:val="20"/>
                <w:szCs w:val="20"/>
              </w:rPr>
              <w:t xml:space="preserve">Implement: Quadratic voting for all parameter-change proposals. Proposals require a 7-day timelock before execution. Super-majority (67%) required for changes to core economic parameters (commodity basket, advance percentages). Emergency pause requires 90% supermajority or a 3-of-5 elected Guardian multisig.</w:t>
            </w:r>
          </w:p>
        </w:tc>
      </w:tr>
    </w:tbl>
    <w:p>
      <w:pPr>
        <w:spacing w:after="60" w:before="60"/>
      </w:pPr>
      <w:r>
        <w:t xml:space="preserve"/>
      </w:r>
    </w:p>
    <w:p>
      <w:pPr>
        <w:pStyle w:val="Heading1"/>
        <w:pBdr>
          <w:bottom w:val="single" w:color="2E6DA4" w:sz="8" w:space="6"/>
        </w:pBdr>
        <w:spacing w:after="200" w:before="480"/>
      </w:pPr>
      <w:r>
        <w:rPr>
          <w:rFonts w:ascii="Arial" w:cs="Arial" w:eastAsia="Arial" w:hAnsi="Arial"/>
          <w:b/>
          <w:bCs/>
          <w:color w:val="1A3A5C"/>
          <w:sz w:val="34"/>
          <w:szCs w:val="34"/>
        </w:rPr>
        <w:t xml:space="preserve">GAP ANALYSIS: MRT MONETARY SUPPLY</w:t>
      </w:r>
    </w:p>
    <w:p>
      <w:pPr>
        <w:pStyle w:val="Heading3"/>
        <w:spacing w:after="120" w:before="280"/>
      </w:pPr>
      <w:r>
        <w:rPr>
          <w:rFonts w:ascii="Arial" w:cs="Arial" w:eastAsia="Arial" w:hAnsi="Arial"/>
          <w:b/>
          <w:bCs/>
          <w:color w:val="1A7A6E"/>
          <w:sz w:val="24"/>
          <w:szCs w:val="24"/>
        </w:rPr>
        <w:t xml:space="preserve">Gap M-1: The Commodity Peg Needs a Precise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8B0000"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 GAP</w:t>
            </w:r>
          </w:p>
        </w:tc>
        <w:tc>
          <w:tcPr>
            <w:tcW w:type="dxa" w:w="8360"/>
            <w:tcBorders>
              <w:top w:val="none" w:color="FFFFFF" w:sz="0"/>
              <w:left w:val="none" w:color="FFFFFF" w:sz="0"/>
              <w:bottom w:val="none" w:color="FFFFFF" w:sz="0"/>
              <w:right w:val="none" w:color="FFFFFF" w:sz="0"/>
            </w:tcBorders>
            <w:shd w:fill="FDECEA" w:val="clear"/>
            <w:tcMar>
              <w:top w:type="dxa" w:w="100"/>
              <w:left w:type="dxa" w:w="160"/>
              <w:bottom w:type="dxa" w:w="100"/>
              <w:right w:type="dxa" w:w="120"/>
            </w:tcMar>
          </w:tcPr>
          <w:p>
            <w:r>
              <w:rPr>
                <w:rFonts w:ascii="Arial" w:cs="Arial" w:eastAsia="Arial" w:hAnsi="Arial"/>
                <w:i/>
                <w:iCs/>
                <w:sz w:val="20"/>
                <w:szCs w:val="20"/>
              </w:rPr>
              <w:t xml:space="preserve">The document says MRT value is 'fixed to a ratio of recyclable commodity values including gold and silver' but does not define: which commodities, what weights, how the peg is maintained on-chain, who provides price feeds, or what happens if MRT trades at a discount or premium.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A7A6E"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 FIX</w:t>
            </w:r>
          </w:p>
        </w:tc>
        <w:tc>
          <w:tcPr>
            <w:tcW w:type="dxa" w:w="8360"/>
            <w:tcBorders>
              <w:top w:val="none" w:color="FFFFFF" w:sz="0"/>
              <w:left w:val="none" w:color="FFFFFF" w:sz="0"/>
              <w:bottom w:val="none" w:color="FFFFFF" w:sz="0"/>
              <w:right w:val="none" w:color="FFFFFF" w:sz="0"/>
            </w:tcBorders>
            <w:shd w:fill="D0EFEC" w:val="clear"/>
            <w:tcMar>
              <w:top w:type="dxa" w:w="100"/>
              <w:left w:type="dxa" w:w="160"/>
              <w:bottom w:type="dxa" w:w="100"/>
              <w:right w:type="dxa" w:w="120"/>
            </w:tcMar>
          </w:tcPr>
          <w:p>
            <w:r>
              <w:rPr>
                <w:rFonts w:ascii="Arial" w:cs="Arial" w:eastAsia="Arial" w:hAnsi="Arial"/>
                <w:i/>
                <w:iCs/>
                <w:sz w:val="20"/>
                <w:szCs w:val="20"/>
              </w:rPr>
              <w:t xml:space="preserve">Implement: A DAO-governed commodity basket (initially: 40% gold, 25% silver, 15% copper, 10% aluminum, 10% steel by recyclable market value). Chainlink price oracles (or a TRMS-specific oracle network) provide real-time USD prices per kg of each commodity. MRT has a soft peg: 1 MRT = 1 USD-equivalent of basket value at issuance. A stability module (similar to MakerDAO's PSM) absorbs peg deviations: if MRT &gt; peg by &gt;2%, a stabilization fee applies to new issuances; if MRT &lt; peg, a discount on recycling fees attracts arbitrageurs to burn MRT by depositing materials.</w:t>
            </w:r>
          </w:p>
        </w:tc>
      </w:tr>
    </w:tbl>
    <w:p>
      <w:pPr>
        <w:spacing w:after="60" w:before="60"/>
      </w:pPr>
      <w:r>
        <w:t xml:space="preserve"/>
      </w:r>
    </w:p>
    <w:p>
      <w:pPr>
        <w:pStyle w:val="Heading3"/>
        <w:spacing w:after="120" w:before="280"/>
      </w:pPr>
      <w:r>
        <w:rPr>
          <w:rFonts w:ascii="Arial" w:cs="Arial" w:eastAsia="Arial" w:hAnsi="Arial"/>
          <w:b/>
          <w:bCs/>
          <w:color w:val="1A7A6E"/>
          <w:sz w:val="24"/>
          <w:szCs w:val="24"/>
        </w:rPr>
        <w:t xml:space="preserve">Gap M-2: Labor Advance — No Default or Enforcement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8B0000"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 GAP</w:t>
            </w:r>
          </w:p>
        </w:tc>
        <w:tc>
          <w:tcPr>
            <w:tcW w:type="dxa" w:w="8360"/>
            <w:tcBorders>
              <w:top w:val="none" w:color="FFFFFF" w:sz="0"/>
              <w:left w:val="none" w:color="FFFFFF" w:sz="0"/>
              <w:bottom w:val="none" w:color="FFFFFF" w:sz="0"/>
              <w:right w:val="none" w:color="FFFFFF" w:sz="0"/>
            </w:tcBorders>
            <w:shd w:fill="FDECEA" w:val="clear"/>
            <w:tcMar>
              <w:top w:type="dxa" w:w="100"/>
              <w:left w:type="dxa" w:w="160"/>
              <w:bottom w:type="dxa" w:w="100"/>
              <w:right w:type="dxa" w:w="120"/>
            </w:tcMar>
          </w:tcPr>
          <w:p>
            <w:r>
              <w:rPr>
                <w:rFonts w:ascii="Arial" w:cs="Arial" w:eastAsia="Arial" w:hAnsi="Arial"/>
                <w:i/>
                <w:iCs/>
                <w:sz w:val="20"/>
                <w:szCs w:val="20"/>
              </w:rPr>
              <w:t xml:space="preserve">If a producer receives a 50% labor advance but the product never sells and they do not repay within one year, what happens? The document states repayment is 'due' but does not specify consequences of non-repayment. This is a critical loophole — producers could indefinitely defer repayment.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A7A6E"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 FIX</w:t>
            </w:r>
          </w:p>
        </w:tc>
        <w:tc>
          <w:tcPr>
            <w:tcW w:type="dxa" w:w="8360"/>
            <w:tcBorders>
              <w:top w:val="none" w:color="FFFFFF" w:sz="0"/>
              <w:left w:val="none" w:color="FFFFFF" w:sz="0"/>
              <w:bottom w:val="none" w:color="FFFFFF" w:sz="0"/>
              <w:right w:val="none" w:color="FFFFFF" w:sz="0"/>
            </w:tcBorders>
            <w:shd w:fill="D0EFEC" w:val="clear"/>
            <w:tcMar>
              <w:top w:type="dxa" w:w="100"/>
              <w:left w:type="dxa" w:w="160"/>
              <w:bottom w:type="dxa" w:w="100"/>
              <w:right w:type="dxa" w:w="120"/>
            </w:tcMar>
          </w:tcPr>
          <w:p>
            <w:r>
              <w:rPr>
                <w:rFonts w:ascii="Arial" w:cs="Arial" w:eastAsia="Arial" w:hAnsi="Arial"/>
                <w:i/>
                <w:iCs/>
                <w:sz w:val="20"/>
                <w:szCs w:val="20"/>
              </w:rPr>
              <w:t xml:space="preserve">Implement: Labor advances are issued against a smart contract escrow. The producer pledges the NFT of the product as collateral. If unpaid at 11 months, an automated warning is sent. At 12 months, the collateral NFT is transferred to the DAO treasury. The DAO treasury MRT equivalent from that NFT is burned, closing the loop. Non-repaying producers are flagged and must provide additional collateral (up to 150% NFT value) for subsequent advances.</w:t>
            </w:r>
          </w:p>
        </w:tc>
      </w:tr>
    </w:tbl>
    <w:p>
      <w:pPr>
        <w:spacing w:after="60" w:before="60"/>
      </w:pPr>
      <w:r>
        <w:t xml:space="preserve"/>
      </w:r>
    </w:p>
    <w:p>
      <w:pPr>
        <w:pStyle w:val="Heading3"/>
        <w:spacing w:after="120" w:before="280"/>
      </w:pPr>
      <w:r>
        <w:rPr>
          <w:rFonts w:ascii="Arial" w:cs="Arial" w:eastAsia="Arial" w:hAnsi="Arial"/>
          <w:b/>
          <w:bCs/>
          <w:color w:val="1A7A6E"/>
          <w:sz w:val="24"/>
          <w:szCs w:val="24"/>
        </w:rPr>
        <w:t xml:space="preserve">Gap M-3: Labor Advance — Digital Services Exclusion Must Be Explicit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8B0000"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 GAP</w:t>
            </w:r>
          </w:p>
        </w:tc>
        <w:tc>
          <w:tcPr>
            <w:tcW w:type="dxa" w:w="8360"/>
            <w:tcBorders>
              <w:top w:val="none" w:color="FFFFFF" w:sz="0"/>
              <w:left w:val="none" w:color="FFFFFF" w:sz="0"/>
              <w:bottom w:val="none" w:color="FFFFFF" w:sz="0"/>
              <w:right w:val="none" w:color="FFFFFF" w:sz="0"/>
            </w:tcBorders>
            <w:shd w:fill="FDECEA" w:val="clear"/>
            <w:tcMar>
              <w:top w:type="dxa" w:w="100"/>
              <w:left w:type="dxa" w:w="160"/>
              <w:bottom w:type="dxa" w:w="100"/>
              <w:right w:type="dxa" w:w="120"/>
            </w:tcMar>
          </w:tcPr>
          <w:p>
            <w:r>
              <w:rPr>
                <w:rFonts w:ascii="Arial" w:cs="Arial" w:eastAsia="Arial" w:hAnsi="Arial"/>
                <w:i/>
                <w:iCs/>
                <w:sz w:val="20"/>
                <w:szCs w:val="20"/>
              </w:rPr>
              <w:t xml:space="preserve">The document is clear that labor advances apply to 'physical product producers.' But the boundary is not encoded. Could a software company claim a labor advance for developing an app? Could a marketing firm claim it for creating an ad campaign for a physical product? This must be precisely defined.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A7A6E"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 FIX</w:t>
            </w:r>
          </w:p>
        </w:tc>
        <w:tc>
          <w:tcPr>
            <w:tcW w:type="dxa" w:w="8360"/>
            <w:tcBorders>
              <w:top w:val="none" w:color="FFFFFF" w:sz="0"/>
              <w:left w:val="none" w:color="FFFFFF" w:sz="0"/>
              <w:bottom w:val="none" w:color="FFFFFF" w:sz="0"/>
              <w:right w:val="none" w:color="FFFFFF" w:sz="0"/>
            </w:tcBorders>
            <w:shd w:fill="D0EFEC" w:val="clear"/>
            <w:tcMar>
              <w:top w:type="dxa" w:w="100"/>
              <w:left w:type="dxa" w:w="160"/>
              <w:bottom w:type="dxa" w:w="100"/>
              <w:right w:type="dxa" w:w="120"/>
            </w:tcMar>
          </w:tcPr>
          <w:p>
            <w:r>
              <w:rPr>
                <w:rFonts w:ascii="Arial" w:cs="Arial" w:eastAsia="Arial" w:hAnsi="Arial"/>
                <w:i/>
                <w:iCs/>
                <w:sz w:val="20"/>
                <w:szCs w:val="20"/>
              </w:rPr>
              <w:t xml:space="preserve">Implement: Labor advances are ONLY available for verifiable physical goods manufacturing. Eligibility requires: (a) a registered product SKU in the TRMS Product Registry with certified material composition, (b) a corresponding material NFT, and (c) verified manufacturing facility registration. Services, digital goods, and intangibles are categorically excluded at the smart contract level.</w:t>
            </w:r>
          </w:p>
        </w:tc>
      </w:tr>
    </w:tbl>
    <w:p>
      <w:pPr>
        <w:spacing w:after="60" w:before="60"/>
      </w:pPr>
      <w:r>
        <w:t xml:space="preserve"/>
      </w:r>
    </w:p>
    <w:p>
      <w:pPr>
        <w:pStyle w:val="Heading3"/>
        <w:spacing w:after="120" w:before="280"/>
      </w:pPr>
      <w:r>
        <w:rPr>
          <w:rFonts w:ascii="Arial" w:cs="Arial" w:eastAsia="Arial" w:hAnsi="Arial"/>
          <w:b/>
          <w:bCs/>
          <w:color w:val="1A7A6E"/>
          <w:sz w:val="24"/>
          <w:szCs w:val="24"/>
        </w:rPr>
        <w:t xml:space="preserve">Gap M-4: Natural Resource Advance — Fraudulent Documentation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8B0000"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 GAP</w:t>
            </w:r>
          </w:p>
        </w:tc>
        <w:tc>
          <w:tcPr>
            <w:tcW w:type="dxa" w:w="8360"/>
            <w:tcBorders>
              <w:top w:val="none" w:color="FFFFFF" w:sz="0"/>
              <w:left w:val="none" w:color="FFFFFF" w:sz="0"/>
              <w:bottom w:val="none" w:color="FFFFFF" w:sz="0"/>
              <w:right w:val="none" w:color="FFFFFF" w:sz="0"/>
            </w:tcBorders>
            <w:shd w:fill="FDECEA" w:val="clear"/>
            <w:tcMar>
              <w:top w:type="dxa" w:w="100"/>
              <w:left w:type="dxa" w:w="160"/>
              <w:bottom w:type="dxa" w:w="100"/>
              <w:right w:type="dxa" w:w="120"/>
            </w:tcMar>
          </w:tcPr>
          <w:p>
            <w:r>
              <w:rPr>
                <w:rFonts w:ascii="Arial" w:cs="Arial" w:eastAsia="Arial" w:hAnsi="Arial"/>
                <w:i/>
                <w:iCs/>
                <w:sz w:val="20"/>
                <w:szCs w:val="20"/>
              </w:rPr>
              <w:t xml:space="preserve">Extractors must submit 'proper documentation of Resource Value, Cost of Extraction, Cost of Reclamation and Labor Costs.' In an on-chain system, who verifies these documents? A fraudulent extractor could submit inflated resource valuations to receive excessive MRT advances.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A7A6E"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 FIX</w:t>
            </w:r>
          </w:p>
        </w:tc>
        <w:tc>
          <w:tcPr>
            <w:tcW w:type="dxa" w:w="8360"/>
            <w:tcBorders>
              <w:top w:val="none" w:color="FFFFFF" w:sz="0"/>
              <w:left w:val="none" w:color="FFFFFF" w:sz="0"/>
              <w:bottom w:val="none" w:color="FFFFFF" w:sz="0"/>
              <w:right w:val="none" w:color="FFFFFF" w:sz="0"/>
            </w:tcBorders>
            <w:shd w:fill="D0EFEC" w:val="clear"/>
            <w:tcMar>
              <w:top w:type="dxa" w:w="100"/>
              <w:left w:type="dxa" w:w="160"/>
              <w:bottom w:type="dxa" w:w="100"/>
              <w:right w:type="dxa" w:w="120"/>
            </w:tcMar>
          </w:tcPr>
          <w:p>
            <w:r>
              <w:rPr>
                <w:rFonts w:ascii="Arial" w:cs="Arial" w:eastAsia="Arial" w:hAnsi="Arial"/>
                <w:i/>
                <w:iCs/>
                <w:sz w:val="20"/>
                <w:szCs w:val="20"/>
              </w:rPr>
              <w:t xml:space="preserve">Implement: A three-layer verification system: (1) Automated: Extractors submit satellite/GIS data and standardized extraction cost models to a smart contract oracle. (2) DAO Validator Stake: Registered Resource Validators stake TRMS tokens; they review documentation and approve/reject. False approvals slash their stake. (3) Time-lock: Advances are released in tranches (25% at approval, 25% at 3 months, 50% at sale/repayment). This limits exposure from any single fraudulent claim.</w:t>
            </w:r>
          </w:p>
        </w:tc>
      </w:tr>
    </w:tbl>
    <w:p>
      <w:pPr>
        <w:spacing w:after="60" w:before="60"/>
      </w:pPr>
      <w:r>
        <w:t xml:space="preserve"/>
      </w:r>
    </w:p>
    <w:p>
      <w:pPr>
        <w:pStyle w:val="Heading3"/>
        <w:spacing w:after="120" w:before="280"/>
      </w:pPr>
      <w:r>
        <w:rPr>
          <w:rFonts w:ascii="Arial" w:cs="Arial" w:eastAsia="Arial" w:hAnsi="Arial"/>
          <w:b/>
          <w:bCs/>
          <w:color w:val="1A7A6E"/>
          <w:sz w:val="24"/>
          <w:szCs w:val="24"/>
        </w:rPr>
        <w:t xml:space="preserve">Gap M-5: Runaway MRT Inflation — No Total Supply Safety Valve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8B0000"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 GAP</w:t>
            </w:r>
          </w:p>
        </w:tc>
        <w:tc>
          <w:tcPr>
            <w:tcW w:type="dxa" w:w="8360"/>
            <w:tcBorders>
              <w:top w:val="none" w:color="FFFFFF" w:sz="0"/>
              <w:left w:val="none" w:color="FFFFFF" w:sz="0"/>
              <w:bottom w:val="none" w:color="FFFFFF" w:sz="0"/>
              <w:right w:val="none" w:color="FFFFFF" w:sz="0"/>
            </w:tcBorders>
            <w:shd w:fill="FDECEA" w:val="clear"/>
            <w:tcMar>
              <w:top w:type="dxa" w:w="100"/>
              <w:left w:type="dxa" w:w="160"/>
              <w:bottom w:type="dxa" w:w="100"/>
              <w:right w:type="dxa" w:w="120"/>
            </w:tcMar>
          </w:tcPr>
          <w:p>
            <w:r>
              <w:rPr>
                <w:rFonts w:ascii="Arial" w:cs="Arial" w:eastAsia="Arial" w:hAnsi="Arial"/>
                <w:i/>
                <w:iCs/>
                <w:sz w:val="20"/>
                <w:szCs w:val="20"/>
              </w:rPr>
              <w:t xml:space="preserve">If labor advances are issued faster than they are repaid, or if recyclable material NFTs are issued without corresponding burns, the MRT supply could expand faster than the commodity basket, breaking the peg. No circuit breaker is described.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A7A6E"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 FIX</w:t>
            </w:r>
          </w:p>
        </w:tc>
        <w:tc>
          <w:tcPr>
            <w:tcW w:type="dxa" w:w="8360"/>
            <w:tcBorders>
              <w:top w:val="none" w:color="FFFFFF" w:sz="0"/>
              <w:left w:val="none" w:color="FFFFFF" w:sz="0"/>
              <w:bottom w:val="none" w:color="FFFFFF" w:sz="0"/>
              <w:right w:val="none" w:color="FFFFFF" w:sz="0"/>
            </w:tcBorders>
            <w:shd w:fill="D0EFEC" w:val="clear"/>
            <w:tcMar>
              <w:top w:type="dxa" w:w="100"/>
              <w:left w:type="dxa" w:w="160"/>
              <w:bottom w:type="dxa" w:w="100"/>
              <w:right w:type="dxa" w:w="120"/>
            </w:tcMar>
          </w:tcPr>
          <w:p>
            <w:r>
              <w:rPr>
                <w:rFonts w:ascii="Arial" w:cs="Arial" w:eastAsia="Arial" w:hAnsi="Arial"/>
                <w:i/>
                <w:iCs/>
                <w:sz w:val="20"/>
                <w:szCs w:val="20"/>
              </w:rPr>
              <w:t xml:space="preserve">Implement: A global Advance Utilization Ratio (AUR): total outstanding advances / total MRT supply. If AUR exceeds 60%, new labor and resource advances are paused until the ratio drops below 50%. The DAO can vote to raise this ceiling (up to 75%) with a 67% supermajority. This prevents inflationary runaway while keeping the system dynamic.</w:t>
            </w:r>
          </w:p>
        </w:tc>
      </w:tr>
    </w:tbl>
    <w:p>
      <w:pPr>
        <w:spacing w:after="60" w:before="60"/>
      </w:pPr>
      <w:r>
        <w:t xml:space="preserve"/>
      </w:r>
    </w:p>
    <w:p>
      <w:pPr>
        <w:pStyle w:val="Heading3"/>
        <w:spacing w:after="120" w:before="280"/>
      </w:pPr>
      <w:r>
        <w:rPr>
          <w:rFonts w:ascii="Arial" w:cs="Arial" w:eastAsia="Arial" w:hAnsi="Arial"/>
          <w:b/>
          <w:bCs/>
          <w:color w:val="1A7A6E"/>
          <w:sz w:val="24"/>
          <w:szCs w:val="24"/>
        </w:rPr>
        <w:t xml:space="preserve">Gap M-6: Material NFT Lifecycle — Double-Spend and Forgery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8B0000"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 GAP</w:t>
            </w:r>
          </w:p>
        </w:tc>
        <w:tc>
          <w:tcPr>
            <w:tcW w:type="dxa" w:w="8360"/>
            <w:tcBorders>
              <w:top w:val="none" w:color="FFFFFF" w:sz="0"/>
              <w:left w:val="none" w:color="FFFFFF" w:sz="0"/>
              <w:bottom w:val="none" w:color="FFFFFF" w:sz="0"/>
              <w:right w:val="none" w:color="FFFFFF" w:sz="0"/>
            </w:tcBorders>
            <w:shd w:fill="FDECEA" w:val="clear"/>
            <w:tcMar>
              <w:top w:type="dxa" w:w="100"/>
              <w:left w:type="dxa" w:w="160"/>
              <w:bottom w:type="dxa" w:w="100"/>
              <w:right w:type="dxa" w:w="120"/>
            </w:tcMar>
          </w:tcPr>
          <w:p>
            <w:r>
              <w:rPr>
                <w:rFonts w:ascii="Arial" w:cs="Arial" w:eastAsia="Arial" w:hAnsi="Arial"/>
                <w:i/>
                <w:iCs/>
                <w:sz w:val="20"/>
                <w:szCs w:val="20"/>
              </w:rPr>
              <w:t xml:space="preserve">Nothing prevents the same physical material from being certified at multiple recycle centers simultaneously (double NFT minting), or a Recycle Center from certifying non-existent or non-recyclable material.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A7A6E"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 FIX</w:t>
            </w:r>
          </w:p>
        </w:tc>
        <w:tc>
          <w:tcPr>
            <w:tcW w:type="dxa" w:w="8360"/>
            <w:tcBorders>
              <w:top w:val="none" w:color="FFFFFF" w:sz="0"/>
              <w:left w:val="none" w:color="FFFFFF" w:sz="0"/>
              <w:bottom w:val="none" w:color="FFFFFF" w:sz="0"/>
              <w:right w:val="none" w:color="FFFFFF" w:sz="0"/>
            </w:tcBorders>
            <w:shd w:fill="D0EFEC" w:val="clear"/>
            <w:tcMar>
              <w:top w:type="dxa" w:w="100"/>
              <w:left w:type="dxa" w:w="160"/>
              <w:bottom w:type="dxa" w:w="100"/>
              <w:right w:type="dxa" w:w="120"/>
            </w:tcMar>
          </w:tcPr>
          <w:p>
            <w:r>
              <w:rPr>
                <w:rFonts w:ascii="Arial" w:cs="Arial" w:eastAsia="Arial" w:hAnsi="Arial"/>
                <w:i/>
                <w:iCs/>
                <w:sz w:val="20"/>
                <w:szCs w:val="20"/>
              </w:rPr>
              <w:t xml:space="preserve">Implement: All Recycle Centers must be DAO-registered and must stake TRMS tokens as a performance bond. Materials are assigned a unique Material Tracking ID (MTID) using IoT/RFID tags or cryptographic batch proofs. The MTID is checked against a global registry before NFT minting. Recycle Centers are subject to random DAO audits; confirmed fraud results in full stake slashing and de-registration. The MRT minted from fraudulent NFTs is seized and burned.</w:t>
            </w:r>
          </w:p>
        </w:tc>
      </w:tr>
    </w:tbl>
    <w:p>
      <w:pPr>
        <w:spacing w:after="60" w:before="60"/>
      </w:pPr>
      <w:r>
        <w:t xml:space="preserve"/>
      </w:r>
    </w:p>
    <w:p>
      <w:pPr>
        <w:pStyle w:val="Heading3"/>
        <w:spacing w:after="120" w:before="280"/>
      </w:pPr>
      <w:r>
        <w:rPr>
          <w:rFonts w:ascii="Arial" w:cs="Arial" w:eastAsia="Arial" w:hAnsi="Arial"/>
          <w:b/>
          <w:bCs/>
          <w:color w:val="1A7A6E"/>
          <w:sz w:val="24"/>
          <w:szCs w:val="24"/>
        </w:rPr>
        <w:t xml:space="preserve">Gap M-7: The 'Free Material' Benefit — Who Bears the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8B0000"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 GAP</w:t>
            </w:r>
          </w:p>
        </w:tc>
        <w:tc>
          <w:tcPr>
            <w:tcW w:type="dxa" w:w="8360"/>
            <w:tcBorders>
              <w:top w:val="none" w:color="FFFFFF" w:sz="0"/>
              <w:left w:val="none" w:color="FFFFFF" w:sz="0"/>
              <w:bottom w:val="none" w:color="FFFFFF" w:sz="0"/>
              <w:right w:val="none" w:color="FFFFFF" w:sz="0"/>
            </w:tcBorders>
            <w:shd w:fill="FDECEA" w:val="clear"/>
            <w:tcMar>
              <w:top w:type="dxa" w:w="100"/>
              <w:left w:type="dxa" w:w="160"/>
              <w:bottom w:type="dxa" w:w="100"/>
              <w:right w:type="dxa" w:w="120"/>
            </w:tcMar>
          </w:tcPr>
          <w:p>
            <w:r>
              <w:rPr>
                <w:rFonts w:ascii="Arial" w:cs="Arial" w:eastAsia="Arial" w:hAnsi="Arial"/>
                <w:i/>
                <w:iCs/>
                <w:sz w:val="20"/>
                <w:szCs w:val="20"/>
              </w:rPr>
              <w:t xml:space="preserve">Producers with certified recyclable content designs get that material 'FREE of charge at the Recycle Center.' But recycling has real costs (energy, labor, transport). If the material is provided free, who pays for the recycling process? The document says 'less recycling costs' in the NFT valuation, but the mechanism for compensating Recycle Centers is not specified.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A7A6E"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 FIX</w:t>
            </w:r>
          </w:p>
        </w:tc>
        <w:tc>
          <w:tcPr>
            <w:tcW w:type="dxa" w:w="8360"/>
            <w:tcBorders>
              <w:top w:val="none" w:color="FFFFFF" w:sz="0"/>
              <w:left w:val="none" w:color="FFFFFF" w:sz="0"/>
              <w:bottom w:val="none" w:color="FFFFFF" w:sz="0"/>
              <w:right w:val="none" w:color="FFFFFF" w:sz="0"/>
            </w:tcBorders>
            <w:shd w:fill="D0EFEC" w:val="clear"/>
            <w:tcMar>
              <w:top w:type="dxa" w:w="100"/>
              <w:left w:type="dxa" w:w="160"/>
              <w:bottom w:type="dxa" w:w="100"/>
              <w:right w:type="dxa" w:w="120"/>
            </w:tcMar>
          </w:tcPr>
          <w:p>
            <w:r>
              <w:rPr>
                <w:rFonts w:ascii="Arial" w:cs="Arial" w:eastAsia="Arial" w:hAnsi="Arial"/>
                <w:i/>
                <w:iCs/>
                <w:sz w:val="20"/>
                <w:szCs w:val="20"/>
              </w:rPr>
              <w:t xml:space="preserve">Implement: Recycle Centers are compensated from a DAO Recycling Operations Fund. This fund is built from: (a) a 1% protocol fee on all MRT transactions, (b) a 2% fee on all natural resource advances. The DAO sets recycling cost reimbursement rates per material category. Centers that exceed certified quality thresholds receive bonus MRT from the fund. This creates a sustainable funding loop without burdening producers.</w:t>
            </w:r>
          </w:p>
        </w:tc>
      </w:tr>
    </w:tbl>
    <w:p>
      <w:pPr>
        <w:spacing w:after="60" w:before="60"/>
      </w:pPr>
      <w:r>
        <w:t xml:space="preserve"/>
      </w:r>
    </w:p>
    <w:p>
      <w:pPr>
        <w:pStyle w:val="Heading3"/>
        <w:spacing w:after="120" w:before="280"/>
      </w:pPr>
      <w:r>
        <w:rPr>
          <w:rFonts w:ascii="Arial" w:cs="Arial" w:eastAsia="Arial" w:hAnsi="Arial"/>
          <w:b/>
          <w:bCs/>
          <w:color w:val="1A7A6E"/>
          <w:sz w:val="24"/>
          <w:szCs w:val="24"/>
        </w:rPr>
        <w:t xml:space="preserve">Gap M-8: Product Valuation Disputes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8B0000"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 GAP</w:t>
            </w:r>
          </w:p>
        </w:tc>
        <w:tc>
          <w:tcPr>
            <w:tcW w:type="dxa" w:w="8360"/>
            <w:tcBorders>
              <w:top w:val="none" w:color="FFFFFF" w:sz="0"/>
              <w:left w:val="none" w:color="FFFFFF" w:sz="0"/>
              <w:bottom w:val="none" w:color="FFFFFF" w:sz="0"/>
              <w:right w:val="none" w:color="FFFFFF" w:sz="0"/>
            </w:tcBorders>
            <w:shd w:fill="FDECEA" w:val="clear"/>
            <w:tcMar>
              <w:top w:type="dxa" w:w="100"/>
              <w:left w:type="dxa" w:w="160"/>
              <w:bottom w:type="dxa" w:w="100"/>
              <w:right w:type="dxa" w:w="120"/>
            </w:tcMar>
          </w:tcPr>
          <w:p>
            <w:r>
              <w:rPr>
                <w:rFonts w:ascii="Arial" w:cs="Arial" w:eastAsia="Arial" w:hAnsi="Arial"/>
                <w:i/>
                <w:iCs/>
                <w:sz w:val="20"/>
                <w:szCs w:val="20"/>
              </w:rPr>
              <w:t xml:space="preserve">If a producer claims their widget is 80% recyclable to maximize benefits, but a buyer or third party believes it is only 40% recyclable, there is no dispute resolution mechanism described.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A7A6E"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 FIX</w:t>
            </w:r>
          </w:p>
        </w:tc>
        <w:tc>
          <w:tcPr>
            <w:tcW w:type="dxa" w:w="8360"/>
            <w:tcBorders>
              <w:top w:val="none" w:color="FFFFFF" w:sz="0"/>
              <w:left w:val="none" w:color="FFFFFF" w:sz="0"/>
              <w:bottom w:val="none" w:color="FFFFFF" w:sz="0"/>
              <w:right w:val="none" w:color="FFFFFF" w:sz="0"/>
            </w:tcBorders>
            <w:shd w:fill="D0EFEC" w:val="clear"/>
            <w:tcMar>
              <w:top w:type="dxa" w:w="100"/>
              <w:left w:type="dxa" w:w="160"/>
              <w:bottom w:type="dxa" w:w="100"/>
              <w:right w:type="dxa" w:w="120"/>
            </w:tcMar>
          </w:tcPr>
          <w:p>
            <w:r>
              <w:rPr>
                <w:rFonts w:ascii="Arial" w:cs="Arial" w:eastAsia="Arial" w:hAnsi="Arial"/>
                <w:i/>
                <w:iCs/>
                <w:sz w:val="20"/>
                <w:szCs w:val="20"/>
              </w:rPr>
              <w:t xml:space="preserve">Implement: All product recyclability certifications require dual verification: (a) the manufacturer submits a Bill of Materials (BoM) with material composition data, (b) a DAO-registered independent Certification Inspector validates the BoM and signs the NFT. Disputes trigger a decentralized arbitration panel (3 randomly selected certified inspectors from a staking registry) with a 14-day resolution window. Fraudulent certifications result in NFT invalidation, MRT clawback, and inspector stake slashing.</w:t>
            </w:r>
          </w:p>
        </w:tc>
      </w:tr>
    </w:tbl>
    <w:p>
      <w:pPr>
        <w:spacing w:after="60" w:before="60"/>
      </w:pPr>
      <w:r>
        <w:t xml:space="preserve"/>
      </w:r>
    </w:p>
    <w:p>
      <w:pPr>
        <w:pStyle w:val="Heading1"/>
        <w:pBdr>
          <w:bottom w:val="single" w:color="2E6DA4" w:sz="8" w:space="6"/>
        </w:pBdr>
        <w:spacing w:after="200" w:before="480"/>
      </w:pPr>
      <w:r>
        <w:rPr>
          <w:rFonts w:ascii="Arial" w:cs="Arial" w:eastAsia="Arial" w:hAnsi="Arial"/>
          <w:b/>
          <w:bCs/>
          <w:color w:val="1A3A5C"/>
          <w:sz w:val="34"/>
          <w:szCs w:val="34"/>
        </w:rPr>
        <w:t xml:space="preserve">GAP ANALYSIS: GOVERNANCE &amp; OPERATIONS</w:t>
      </w:r>
    </w:p>
    <w:p>
      <w:pPr>
        <w:pStyle w:val="Heading3"/>
        <w:spacing w:after="120" w:before="280"/>
      </w:pPr>
      <w:r>
        <w:rPr>
          <w:rFonts w:ascii="Arial" w:cs="Arial" w:eastAsia="Arial" w:hAnsi="Arial"/>
          <w:b/>
          <w:bCs/>
          <w:color w:val="1A7A6E"/>
          <w:sz w:val="24"/>
          <w:szCs w:val="24"/>
        </w:rPr>
        <w:t xml:space="preserve">Gap O-1: Founder Control Concentration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8B0000"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 GAP</w:t>
            </w:r>
          </w:p>
        </w:tc>
        <w:tc>
          <w:tcPr>
            <w:tcW w:type="dxa" w:w="8360"/>
            <w:tcBorders>
              <w:top w:val="none" w:color="FFFFFF" w:sz="0"/>
              <w:left w:val="none" w:color="FFFFFF" w:sz="0"/>
              <w:bottom w:val="none" w:color="FFFFFF" w:sz="0"/>
              <w:right w:val="none" w:color="FFFFFF" w:sz="0"/>
            </w:tcBorders>
            <w:shd w:fill="FDECEA" w:val="clear"/>
            <w:tcMar>
              <w:top w:type="dxa" w:w="100"/>
              <w:left w:type="dxa" w:w="160"/>
              <w:bottom w:type="dxa" w:w="100"/>
              <w:right w:type="dxa" w:w="120"/>
            </w:tcMar>
          </w:tcPr>
          <w:p>
            <w:r>
              <w:rPr>
                <w:rFonts w:ascii="Arial" w:cs="Arial" w:eastAsia="Arial" w:hAnsi="Arial"/>
                <w:i/>
                <w:iCs/>
                <w:sz w:val="20"/>
                <w:szCs w:val="20"/>
              </w:rPr>
              <w:t xml:space="preserve">The document states TRMS governance tokens 'shall stay with the original designer (M. Traver) until he feels confident in ongoing performance of the DAE.' This is an undefined, subjective, and centralized control condition. An on-chain system cannot depend on a single person's subjective confidence.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A7A6E"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 FIX</w:t>
            </w:r>
          </w:p>
        </w:tc>
        <w:tc>
          <w:tcPr>
            <w:tcW w:type="dxa" w:w="8360"/>
            <w:tcBorders>
              <w:top w:val="none" w:color="FFFFFF" w:sz="0"/>
              <w:left w:val="none" w:color="FFFFFF" w:sz="0"/>
              <w:bottom w:val="none" w:color="FFFFFF" w:sz="0"/>
              <w:right w:val="none" w:color="FFFFFF" w:sz="0"/>
            </w:tcBorders>
            <w:shd w:fill="D0EFEC" w:val="clear"/>
            <w:tcMar>
              <w:top w:type="dxa" w:w="100"/>
              <w:left w:type="dxa" w:w="160"/>
              <w:bottom w:type="dxa" w:w="100"/>
              <w:right w:type="dxa" w:w="120"/>
            </w:tcMar>
          </w:tcPr>
          <w:p>
            <w:r>
              <w:rPr>
                <w:rFonts w:ascii="Arial" w:cs="Arial" w:eastAsia="Arial" w:hAnsi="Arial"/>
                <w:i/>
                <w:iCs/>
                <w:sz w:val="20"/>
                <w:szCs w:val="20"/>
              </w:rPr>
              <w:t xml:space="preserve">Implement: Replace with a time-based and milestone-based trustless transition. The founder's governance influence transitions to the DAO according to a predefined vesting schedule (see G-1). Specific protocol milestones (e.g., first 1,000 registered Recycle Centers; first 10,000 product NFTs minted; $10M MRT in circulation) trigger automatic additional vest tranches. This is enforced by smart contract, not personal discretion.</w:t>
            </w:r>
          </w:p>
        </w:tc>
      </w:tr>
    </w:tbl>
    <w:p>
      <w:pPr>
        <w:spacing w:after="60" w:before="60"/>
      </w:pPr>
      <w:r>
        <w:t xml:space="preserve"/>
      </w:r>
    </w:p>
    <w:p>
      <w:pPr>
        <w:pStyle w:val="Heading3"/>
        <w:spacing w:after="120" w:before="280"/>
      </w:pPr>
      <w:r>
        <w:rPr>
          <w:rFonts w:ascii="Arial" w:cs="Arial" w:eastAsia="Arial" w:hAnsi="Arial"/>
          <w:b/>
          <w:bCs/>
          <w:color w:val="1A7A6E"/>
          <w:sz w:val="24"/>
          <w:szCs w:val="24"/>
        </w:rPr>
        <w:t xml:space="preserve">Gap O-2: Off-Chain Real-World Interface — The Weakest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8B0000"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 GAP</w:t>
            </w:r>
          </w:p>
        </w:tc>
        <w:tc>
          <w:tcPr>
            <w:tcW w:type="dxa" w:w="8360"/>
            <w:tcBorders>
              <w:top w:val="none" w:color="FFFFFF" w:sz="0"/>
              <w:left w:val="none" w:color="FFFFFF" w:sz="0"/>
              <w:bottom w:val="none" w:color="FFFFFF" w:sz="0"/>
              <w:right w:val="none" w:color="FFFFFF" w:sz="0"/>
            </w:tcBorders>
            <w:shd w:fill="FDECEA" w:val="clear"/>
            <w:tcMar>
              <w:top w:type="dxa" w:w="100"/>
              <w:left w:type="dxa" w:w="160"/>
              <w:bottom w:type="dxa" w:w="100"/>
              <w:right w:type="dxa" w:w="120"/>
            </w:tcMar>
          </w:tcPr>
          <w:p>
            <w:r>
              <w:rPr>
                <w:rFonts w:ascii="Arial" w:cs="Arial" w:eastAsia="Arial" w:hAnsi="Arial"/>
                <w:i/>
                <w:iCs/>
                <w:sz w:val="20"/>
                <w:szCs w:val="20"/>
              </w:rPr>
              <w:t xml:space="preserve">TRMS requires verified real-world actions: material deposits at Recycle Centers, manufacturing facility registration, resource extraction documentation, and product recyclability certification. None of these can be trustlessly verified purely on-chain. This is the single most complex implementation challenge.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A7A6E"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 FIX</w:t>
            </w:r>
          </w:p>
        </w:tc>
        <w:tc>
          <w:tcPr>
            <w:tcW w:type="dxa" w:w="8360"/>
            <w:tcBorders>
              <w:top w:val="none" w:color="FFFFFF" w:sz="0"/>
              <w:left w:val="none" w:color="FFFFFF" w:sz="0"/>
              <w:bottom w:val="none" w:color="FFFFFF" w:sz="0"/>
              <w:right w:val="none" w:color="FFFFFF" w:sz="0"/>
            </w:tcBorders>
            <w:shd w:fill="D0EFEC" w:val="clear"/>
            <w:tcMar>
              <w:top w:type="dxa" w:w="100"/>
              <w:left w:type="dxa" w:w="160"/>
              <w:bottom w:type="dxa" w:w="100"/>
              <w:right w:type="dxa" w:w="120"/>
            </w:tcMar>
          </w:tcPr>
          <w:p>
            <w:r>
              <w:rPr>
                <w:rFonts w:ascii="Arial" w:cs="Arial" w:eastAsia="Arial" w:hAnsi="Arial"/>
                <w:i/>
                <w:iCs/>
                <w:sz w:val="20"/>
                <w:szCs w:val="20"/>
              </w:rPr>
              <w:t xml:space="preserve">Implement: A layered oracle and staking trust model. (1) Physical Recycle Centers register on-chain with a hardware IoT interface (edge device with Trusted Execution Environment) that signs material intake records and transmits them to the contract. (2) All physical verifiers (inspectors, validators, center operators) stake TRMS as a performance bond — their economic interest is aligned with honest reporting. (3) Periodic third-party audits are incentivized from the DAO Recycling Operations Fund. (4) A reputation score for every registered actor is maintained on-chain; score degrades with disputes, improves with successful verifications.</w:t>
            </w:r>
          </w:p>
        </w:tc>
      </w:tr>
    </w:tbl>
    <w:p>
      <w:pPr>
        <w:spacing w:after="60" w:before="60"/>
      </w:pPr>
      <w:r>
        <w:t xml:space="preserve"/>
      </w:r>
    </w:p>
    <w:p>
      <w:pPr>
        <w:pStyle w:val="Heading3"/>
        <w:spacing w:after="120" w:before="280"/>
      </w:pPr>
      <w:r>
        <w:rPr>
          <w:rFonts w:ascii="Arial" w:cs="Arial" w:eastAsia="Arial" w:hAnsi="Arial"/>
          <w:b/>
          <w:bCs/>
          <w:color w:val="1A7A6E"/>
          <w:sz w:val="24"/>
          <w:szCs w:val="24"/>
        </w:rPr>
        <w:t xml:space="preserve">Gap O-3: Legal Entity and Regulatory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8B0000"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 GAP</w:t>
            </w:r>
          </w:p>
        </w:tc>
        <w:tc>
          <w:tcPr>
            <w:tcW w:type="dxa" w:w="8360"/>
            <w:tcBorders>
              <w:top w:val="none" w:color="FFFFFF" w:sz="0"/>
              <w:left w:val="none" w:color="FFFFFF" w:sz="0"/>
              <w:bottom w:val="none" w:color="FFFFFF" w:sz="0"/>
              <w:right w:val="none" w:color="FFFFFF" w:sz="0"/>
            </w:tcBorders>
            <w:shd w:fill="FDECEA" w:val="clear"/>
            <w:tcMar>
              <w:top w:type="dxa" w:w="100"/>
              <w:left w:type="dxa" w:w="160"/>
              <w:bottom w:type="dxa" w:w="100"/>
              <w:right w:type="dxa" w:w="120"/>
            </w:tcMar>
          </w:tcPr>
          <w:p>
            <w:r>
              <w:rPr>
                <w:rFonts w:ascii="Arial" w:cs="Arial" w:eastAsia="Arial" w:hAnsi="Arial"/>
                <w:i/>
                <w:iCs/>
                <w:sz w:val="20"/>
                <w:szCs w:val="20"/>
              </w:rPr>
              <w:t xml:space="preserve">The document does not address regulatory jurisdiction. MRT token issuance constitutes currency creation. Labor advances are effectively uncollateralized micro-loans. Material-backed NFTs may constitute securities in some jurisdictions. Operating globally without a legal framework is a practical impossibility.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A7A6E"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 FIX</w:t>
            </w:r>
          </w:p>
        </w:tc>
        <w:tc>
          <w:tcPr>
            <w:tcW w:type="dxa" w:w="8360"/>
            <w:tcBorders>
              <w:top w:val="none" w:color="FFFFFF" w:sz="0"/>
              <w:left w:val="none" w:color="FFFFFF" w:sz="0"/>
              <w:bottom w:val="none" w:color="FFFFFF" w:sz="0"/>
              <w:right w:val="none" w:color="FFFFFF" w:sz="0"/>
            </w:tcBorders>
            <w:shd w:fill="D0EFEC" w:val="clear"/>
            <w:tcMar>
              <w:top w:type="dxa" w:w="100"/>
              <w:left w:type="dxa" w:w="160"/>
              <w:bottom w:type="dxa" w:w="100"/>
              <w:right w:type="dxa" w:w="120"/>
            </w:tcMar>
          </w:tcPr>
          <w:p>
            <w:r>
              <w:rPr>
                <w:rFonts w:ascii="Arial" w:cs="Arial" w:eastAsia="Arial" w:hAnsi="Arial"/>
                <w:i/>
                <w:iCs/>
                <w:sz w:val="20"/>
                <w:szCs w:val="20"/>
              </w:rPr>
              <w:t xml:space="preserve">Implement: Structure the protocol as a Marshall Islands DAO LLC or Wyoming DAO LLC (both legally recognized). The DAO LLC contracts with legal counsel in jurisdictions of active operation. MRT is structured to mirror a utility token with commodity backing (not a security) — no profit-sharing, no dividends. Labor advances are framed as protocol grants against collateral, not loans. A compliance module flags wallet addresses associated with OFAC-sanctioned entities and excludes them from advances.</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160"/>
              <w:left w:type="dxa" w:w="300"/>
              <w:bottom w:type="dxa" w:w="160"/>
              <w:right w:type="dxa" w:w="300"/>
            </w:tcMar>
          </w:tcPr>
          <w:p>
            <w:pPr>
              <w:jc w:val="center"/>
            </w:pPr>
            <w:r>
              <w:rPr>
                <w:rFonts w:ascii="Arial" w:cs="Arial" w:eastAsia="Arial" w:hAnsi="Arial"/>
                <w:b/>
                <w:bCs/>
                <w:color w:val="FFFFFF"/>
                <w:sz w:val="28"/>
                <w:szCs w:val="28"/>
              </w:rPr>
              <w:t xml:space="preserve">PART 3 — BLOCKCHAIN PLATFORM SELECTION</w:t>
            </w:r>
          </w:p>
        </w:tc>
      </w:tr>
    </w:tbl>
    <w:p>
      <w:pPr>
        <w:spacing w:after="60" w:before="60"/>
      </w:pPr>
      <w:r>
        <w:t xml:space="preserve"/>
      </w:r>
    </w:p>
    <w:p>
      <w:pPr>
        <w:pStyle w:val="Heading1"/>
        <w:pBdr>
          <w:bottom w:val="single" w:color="2E6DA4" w:sz="8" w:space="6"/>
        </w:pBdr>
        <w:spacing w:after="200" w:before="480"/>
      </w:pPr>
      <w:r>
        <w:rPr>
          <w:rFonts w:ascii="Arial" w:cs="Arial" w:eastAsia="Arial" w:hAnsi="Arial"/>
          <w:b/>
          <w:bCs/>
          <w:color w:val="1A3A5C"/>
          <w:sz w:val="34"/>
          <w:szCs w:val="34"/>
        </w:rPr>
        <w:t xml:space="preserve">Selection Criteria</w:t>
      </w:r>
    </w:p>
    <w:p>
      <w:pPr>
        <w:spacing w:after="120" w:before="80"/>
      </w:pPr>
      <w:r>
        <w:rPr>
          <w:rFonts w:ascii="Arial" w:cs="Arial" w:eastAsia="Arial" w:hAnsi="Arial"/>
          <w:sz w:val="22"/>
          <w:szCs w:val="22"/>
        </w:rPr>
        <w:t xml:space="preserve">The TRMS requires a blockchain that satisfies four ranked properties:</w:t>
      </w:r>
    </w:p>
    <w:p>
      <w:pPr>
        <w:pStyle w:val="ListParagraph"/>
        <w:numPr>
          <w:ilvl w:val="0"/>
          <w:numId w:val="2"/>
        </w:numPr>
        <w:spacing w:after="60" w:before="60"/>
      </w:pPr>
      <w:r>
        <w:rPr>
          <w:rFonts w:ascii="Arial" w:cs="Arial" w:eastAsia="Arial" w:hAnsi="Arial"/>
          <w:sz w:val="22"/>
          <w:szCs w:val="22"/>
        </w:rPr>
        <w:t xml:space="preserve">STABILITY — protocol immutability, long track record, no history of chain rollbacks</w:t>
      </w:r>
    </w:p>
    <w:p>
      <w:pPr>
        <w:pStyle w:val="ListParagraph"/>
        <w:numPr>
          <w:ilvl w:val="0"/>
          <w:numId w:val="2"/>
        </w:numPr>
        <w:spacing w:after="60" w:before="60"/>
      </w:pPr>
      <w:r>
        <w:rPr>
          <w:rFonts w:ascii="Arial" w:cs="Arial" w:eastAsia="Arial" w:hAnsi="Arial"/>
          <w:sz w:val="22"/>
          <w:szCs w:val="22"/>
        </w:rPr>
        <w:t xml:space="preserve">DECENTRALIZATION — resistance to single-entity capture or forced protocol changes</w:t>
      </w:r>
    </w:p>
    <w:p>
      <w:pPr>
        <w:pStyle w:val="ListParagraph"/>
        <w:numPr>
          <w:ilvl w:val="0"/>
          <w:numId w:val="2"/>
        </w:numPr>
        <w:spacing w:after="60" w:before="60"/>
      </w:pPr>
      <w:r>
        <w:rPr>
          <w:rFonts w:ascii="Arial" w:cs="Arial" w:eastAsia="Arial" w:hAnsi="Arial"/>
          <w:sz w:val="22"/>
          <w:szCs w:val="22"/>
        </w:rPr>
        <w:t xml:space="preserve">PROGRAMMABILITY — full smart contract capability (EVM or equivalent) for complex token logic</w:t>
      </w:r>
    </w:p>
    <w:p>
      <w:pPr>
        <w:pStyle w:val="ListParagraph"/>
        <w:numPr>
          <w:ilvl w:val="0"/>
          <w:numId w:val="2"/>
        </w:numPr>
        <w:spacing w:after="60" w:before="60"/>
      </w:pPr>
      <w:r>
        <w:rPr>
          <w:rFonts w:ascii="Arial" w:cs="Arial" w:eastAsia="Arial" w:hAnsi="Arial"/>
          <w:sz w:val="22"/>
          <w:szCs w:val="22"/>
        </w:rPr>
        <w:t xml:space="preserve">COST — transaction fees must be low enough for micro-transactions (material deposits, small labor advances)</w:t>
      </w:r>
    </w:p>
    <w:p>
      <w:pPr>
        <w:spacing w:after="60" w:before="60"/>
      </w:pPr>
      <w:r>
        <w:t xml:space="preserve"/>
      </w:r>
    </w:p>
    <w:p>
      <w:pPr>
        <w:pStyle w:val="Heading2"/>
        <w:spacing w:after="160" w:before="360"/>
      </w:pPr>
      <w:r>
        <w:rPr>
          <w:rFonts w:ascii="Arial" w:cs="Arial" w:eastAsia="Arial" w:hAnsi="Arial"/>
          <w:b/>
          <w:bCs/>
          <w:color w:val="2E6DA4"/>
          <w:sz w:val="28"/>
          <w:szCs w:val="28"/>
        </w:rPr>
        <w:t xml:space="preserve">Candidate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80"/>
        <w:gridCol w:w="1680"/>
        <w:gridCol w:w="1680"/>
        <w:gridCol w:w="1680"/>
        <w:gridCol w:w="64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Platform</w:t>
            </w:r>
          </w:p>
        </w:tc>
        <w:tc>
          <w:tcPr>
            <w:tcW w:type="dxa" w:w="168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Stability</w:t>
            </w:r>
          </w:p>
        </w:tc>
        <w:tc>
          <w:tcPr>
            <w:tcW w:type="dxa" w:w="168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Decentral.</w:t>
            </w:r>
          </w:p>
        </w:tc>
        <w:tc>
          <w:tcPr>
            <w:tcW w:type="dxa" w:w="168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Program.</w:t>
            </w:r>
          </w:p>
        </w:tc>
        <w:tc>
          <w:tcPr>
            <w:tcW w:type="dxa" w:w="168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Cost</w:t>
            </w:r>
          </w:p>
        </w:tc>
        <w:tc>
          <w:tcPr>
            <w:tcW w:type="dxa" w:w="64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Score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Ethereum L1</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w:t>
            </w:r>
          </w:p>
        </w:tc>
        <w:tc>
          <w:tcPr>
            <w:tcW w:type="dxa" w:w="640"/>
            <w:tcBorders>
              <w:top w:val="single" w:color="CCCCCC" w:sz="1"/>
              <w:left w:val="single" w:color="CCCCCC" w:sz="1"/>
              <w:bottom w:val="single" w:color="CCCCCC" w:sz="1"/>
              <w:right w:val="single" w:color="CCCCCC" w:sz="1"/>
            </w:tcBorders>
            <w:shd w:fill="FFF8DC" w:val="clear"/>
            <w:tcMar>
              <w:top w:type="dxa" w:w="80"/>
              <w:left w:type="dxa" w:w="100"/>
              <w:bottom w:type="dxa" w:w="80"/>
              <w:right w:type="dxa" w:w="100"/>
            </w:tcMar>
          </w:tcPr>
          <w:p>
            <w:pPr>
              <w:jc w:val="center"/>
            </w:pPr>
            <w:r>
              <w:rPr>
                <w:rFonts w:ascii="Arial" w:cs="Arial" w:eastAsia="Arial" w:hAnsi="Arial"/>
                <w:sz w:val="20"/>
                <w:szCs w:val="20"/>
              </w:rPr>
              <w:t xml:space="preserve">14/20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Polygon PoS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w:t>
            </w:r>
          </w:p>
        </w:tc>
        <w:tc>
          <w:tcPr>
            <w:tcW w:type="dxa" w:w="640"/>
            <w:tcBorders>
              <w:top w:val="single" w:color="CCCCCC" w:sz="1"/>
              <w:left w:val="single" w:color="CCCCCC" w:sz="1"/>
              <w:bottom w:val="single" w:color="CCCCCC" w:sz="1"/>
              <w:right w:val="single" w:color="CCCCCC" w:sz="1"/>
            </w:tcBorders>
            <w:shd w:fill="FFF8DC" w:val="clear"/>
            <w:tcMar>
              <w:top w:type="dxa" w:w="80"/>
              <w:left w:type="dxa" w:w="100"/>
              <w:bottom w:type="dxa" w:w="80"/>
              <w:right w:type="dxa" w:w="100"/>
            </w:tcMar>
          </w:tcPr>
          <w:p>
            <w:pPr>
              <w:jc w:val="center"/>
            </w:pPr>
            <w:r>
              <w:rPr>
                <w:rFonts w:ascii="Arial" w:cs="Arial" w:eastAsia="Arial" w:hAnsi="Arial"/>
                <w:sz w:val="20"/>
                <w:szCs w:val="20"/>
              </w:rPr>
              <w:t xml:space="preserve">16/20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Gnosis Chain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w:t>
            </w:r>
          </w:p>
        </w:tc>
        <w:tc>
          <w:tcPr>
            <w:tcW w:type="dxa" w:w="640"/>
            <w:tcBorders>
              <w:top w:val="single" w:color="CCCCCC" w:sz="1"/>
              <w:left w:val="single" w:color="CCCCCC" w:sz="1"/>
              <w:bottom w:val="single" w:color="CCCCCC" w:sz="1"/>
              <w:right w:val="single" w:color="CCCCCC" w:sz="1"/>
            </w:tcBorders>
            <w:shd w:fill="90EE90" w:val="clear"/>
            <w:tcMar>
              <w:top w:type="dxa" w:w="80"/>
              <w:left w:type="dxa" w:w="100"/>
              <w:bottom w:type="dxa" w:w="80"/>
              <w:right w:type="dxa" w:w="100"/>
            </w:tcMar>
          </w:tcPr>
          <w:p>
            <w:pPr>
              <w:jc w:val="center"/>
            </w:pPr>
            <w:r>
              <w:rPr>
                <w:rFonts w:ascii="Arial" w:cs="Arial" w:eastAsia="Arial" w:hAnsi="Arial"/>
                <w:b/>
                <w:bCs/>
                <w:sz w:val="20"/>
                <w:szCs w:val="20"/>
              </w:rPr>
              <w:t xml:space="preserve">18/20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Arbitrum One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w:t>
            </w:r>
          </w:p>
        </w:tc>
        <w:tc>
          <w:tcPr>
            <w:tcW w:type="dxa" w:w="640"/>
            <w:tcBorders>
              <w:top w:val="single" w:color="CCCCCC" w:sz="1"/>
              <w:left w:val="single" w:color="CCCCCC" w:sz="1"/>
              <w:bottom w:val="single" w:color="CCCCCC" w:sz="1"/>
              <w:right w:val="single" w:color="CCCCCC" w:sz="1"/>
            </w:tcBorders>
            <w:shd w:fill="FFF8DC" w:val="clear"/>
            <w:tcMar>
              <w:top w:type="dxa" w:w="80"/>
              <w:left w:type="dxa" w:w="100"/>
              <w:bottom w:type="dxa" w:w="80"/>
              <w:right w:type="dxa" w:w="100"/>
            </w:tcMar>
          </w:tcPr>
          <w:p>
            <w:pPr>
              <w:jc w:val="center"/>
            </w:pPr>
            <w:r>
              <w:rPr>
                <w:rFonts w:ascii="Arial" w:cs="Arial" w:eastAsia="Arial" w:hAnsi="Arial"/>
                <w:sz w:val="20"/>
                <w:szCs w:val="20"/>
              </w:rPr>
              <w:t xml:space="preserve">17/20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Base (Coinbase)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w:t>
            </w:r>
          </w:p>
        </w:tc>
        <w:tc>
          <w:tcPr>
            <w:tcW w:type="dxa" w:w="640"/>
            <w:tcBorders>
              <w:top w:val="single" w:color="CCCCCC" w:sz="1"/>
              <w:left w:val="single" w:color="CCCCCC" w:sz="1"/>
              <w:bottom w:val="single" w:color="CCCCCC" w:sz="1"/>
              <w:right w:val="single" w:color="CCCCCC" w:sz="1"/>
            </w:tcBorders>
            <w:shd w:fill="FFF8DC" w:val="clear"/>
            <w:tcMar>
              <w:top w:type="dxa" w:w="80"/>
              <w:left w:type="dxa" w:w="100"/>
              <w:bottom w:type="dxa" w:w="80"/>
              <w:right w:type="dxa" w:w="100"/>
            </w:tcMar>
          </w:tcPr>
          <w:p>
            <w:pPr>
              <w:jc w:val="center"/>
            </w:pPr>
            <w:r>
              <w:rPr>
                <w:rFonts w:ascii="Arial" w:cs="Arial" w:eastAsia="Arial" w:hAnsi="Arial"/>
                <w:sz w:val="20"/>
                <w:szCs w:val="20"/>
              </w:rPr>
              <w:t xml:space="preserve">15/20</w:t>
            </w:r>
          </w:p>
        </w:tc>
      </w:tr>
    </w:tbl>
    <w:p>
      <w:pPr>
        <w:spacing w:after="60" w:before="60"/>
      </w:pPr>
      <w:r>
        <w:t xml:space="preserve"/>
      </w:r>
    </w:p>
    <w:p>
      <w:pPr>
        <w:pStyle w:val="Heading2"/>
        <w:spacing w:after="160" w:before="360"/>
      </w:pPr>
      <w:r>
        <w:rPr>
          <w:rFonts w:ascii="Arial" w:cs="Arial" w:eastAsia="Arial" w:hAnsi="Arial"/>
          <w:b/>
          <w:bCs/>
          <w:color w:val="2E6DA4"/>
          <w:sz w:val="28"/>
          <w:szCs w:val="28"/>
        </w:rPr>
        <w:t xml:space="preserve">RECOMMENDATION: Gnosis Chain (Primary) + Ethereum L1 (Anchor)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A7A6E"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DECISION</w:t>
            </w:r>
          </w:p>
        </w:tc>
        <w:tc>
          <w:tcPr>
            <w:tcW w:type="dxa" w:w="8360"/>
            <w:tcBorders>
              <w:top w:val="none" w:color="FFFFFF" w:sz="0"/>
              <w:left w:val="none" w:color="FFFFFF" w:sz="0"/>
              <w:bottom w:val="none" w:color="FFFFFF" w:sz="0"/>
              <w:right w:val="none" w:color="FFFFFF" w:sz="0"/>
            </w:tcBorders>
            <w:shd w:fill="D0EFEC" w:val="clear"/>
            <w:tcMar>
              <w:top w:type="dxa" w:w="100"/>
              <w:left w:type="dxa" w:w="160"/>
              <w:bottom w:type="dxa" w:w="100"/>
              <w:right w:type="dxa" w:w="120"/>
            </w:tcMar>
          </w:tcPr>
          <w:p>
            <w:r>
              <w:rPr>
                <w:rFonts w:ascii="Arial" w:cs="Arial" w:eastAsia="Arial" w:hAnsi="Arial"/>
                <w:i/>
                <w:iCs/>
                <w:sz w:val="20"/>
                <w:szCs w:val="20"/>
              </w:rPr>
              <w:t xml:space="preserve">Deploy TRMS on Gnosis Chain as the primary execution environment, with TRMS governance token and key state roots anchored to Ethereum L1 via a bridge contract. This gives TRMS maximum decentralization and near-zero transaction fees for the high-frequency operations (material deposits, labor advances, NFT minting) while inheriting Ethereum's immutability and validator diversity for governance security.</w:t>
            </w:r>
          </w:p>
        </w:tc>
      </w:tr>
    </w:tbl>
    <w:p>
      <w:pPr>
        <w:spacing w:after="60" w:before="60"/>
      </w:pPr>
      <w:r>
        <w:t xml:space="preserve"/>
      </w:r>
    </w:p>
    <w:p>
      <w:pPr>
        <w:pStyle w:val="Heading3"/>
        <w:spacing w:after="120" w:before="280"/>
      </w:pPr>
      <w:r>
        <w:rPr>
          <w:rFonts w:ascii="Arial" w:cs="Arial" w:eastAsia="Arial" w:hAnsi="Arial"/>
          <w:b/>
          <w:bCs/>
          <w:color w:val="1A7A6E"/>
          <w:sz w:val="24"/>
          <w:szCs w:val="24"/>
        </w:rPr>
        <w:t xml:space="preserve">Why Gnosis Chain</w:t>
      </w:r>
    </w:p>
    <w:p>
      <w:pPr>
        <w:pStyle w:val="ListParagraph"/>
        <w:numPr>
          <w:ilvl w:val="0"/>
          <w:numId w:val="3"/>
        </w:numPr>
        <w:spacing w:after="60" w:before="60"/>
      </w:pPr>
      <w:r>
        <w:rPr>
          <w:rFonts w:ascii="Arial" w:cs="Arial" w:eastAsia="Arial" w:hAnsi="Arial"/>
          <w:sz w:val="22"/>
          <w:szCs w:val="22"/>
        </w:rPr>
        <w:t xml:space="preserve">EVM-compatible: All Ethereum tooling (Hardhat, Foundry, OpenZeppelin, Chainlink) works identically</w:t>
      </w:r>
    </w:p>
    <w:p>
      <w:pPr>
        <w:pStyle w:val="ListParagraph"/>
        <w:numPr>
          <w:ilvl w:val="0"/>
          <w:numId w:val="3"/>
        </w:numPr>
        <w:spacing w:after="60" w:before="60"/>
      </w:pPr>
      <w:r>
        <w:rPr>
          <w:rFonts w:ascii="Arial" w:cs="Arial" w:eastAsia="Arial" w:hAnsi="Arial"/>
          <w:sz w:val="22"/>
          <w:szCs w:val="22"/>
        </w:rPr>
        <w:t xml:space="preserve">Fees average $0.001-$0.01 per transaction — critical for micro-scale labor advances and material deposits</w:t>
      </w:r>
    </w:p>
    <w:p>
      <w:pPr>
        <w:pStyle w:val="ListParagraph"/>
        <w:numPr>
          <w:ilvl w:val="0"/>
          <w:numId w:val="3"/>
        </w:numPr>
        <w:spacing w:after="60" w:before="60"/>
      </w:pPr>
      <w:r>
        <w:rPr>
          <w:rFonts w:ascii="Arial" w:cs="Arial" w:eastAsia="Arial" w:hAnsi="Arial"/>
          <w:sz w:val="22"/>
          <w:szCs w:val="22"/>
        </w:rPr>
        <w:t xml:space="preserve">100+ validators globally; no single entity controls consensus</w:t>
      </w:r>
    </w:p>
    <w:p>
      <w:pPr>
        <w:pStyle w:val="ListParagraph"/>
        <w:numPr>
          <w:ilvl w:val="0"/>
          <w:numId w:val="3"/>
        </w:numPr>
        <w:spacing w:after="60" w:before="60"/>
      </w:pPr>
      <w:r>
        <w:rPr>
          <w:rFonts w:ascii="Arial" w:cs="Arial" w:eastAsia="Arial" w:hAnsi="Arial"/>
          <w:sz w:val="22"/>
          <w:szCs w:val="22"/>
        </w:rPr>
        <w:t xml:space="preserve">Proven 5+ year track record; no contentious forks or rollbacks</w:t>
      </w:r>
    </w:p>
    <w:p>
      <w:pPr>
        <w:pStyle w:val="ListParagraph"/>
        <w:numPr>
          <w:ilvl w:val="0"/>
          <w:numId w:val="3"/>
        </w:numPr>
        <w:spacing w:after="60" w:before="60"/>
      </w:pPr>
      <w:r>
        <w:rPr>
          <w:rFonts w:ascii="Arial" w:cs="Arial" w:eastAsia="Arial" w:hAnsi="Arial"/>
          <w:sz w:val="22"/>
          <w:szCs w:val="22"/>
        </w:rPr>
        <w:t xml:space="preserve">xDAI (Gnosis native token) is itself a stablecoin — the fee environment is predictable</w:t>
      </w:r>
    </w:p>
    <w:p>
      <w:pPr>
        <w:pStyle w:val="ListParagraph"/>
        <w:numPr>
          <w:ilvl w:val="0"/>
          <w:numId w:val="3"/>
        </w:numPr>
        <w:spacing w:after="60" w:before="60"/>
      </w:pPr>
      <w:r>
        <w:rPr>
          <w:rFonts w:ascii="Arial" w:cs="Arial" w:eastAsia="Arial" w:hAnsi="Arial"/>
          <w:sz w:val="22"/>
          <w:szCs w:val="22"/>
        </w:rPr>
        <w:t xml:space="preserve">Gnosis Safe (multisig treasury standard) is natively integrated</w:t>
      </w:r>
    </w:p>
    <w:p>
      <w:pPr>
        <w:spacing w:after="60" w:before="60"/>
      </w:pPr>
      <w:r>
        <w:t xml:space="preserve"/>
      </w:r>
    </w:p>
    <w:p>
      <w:pPr>
        <w:pStyle w:val="Heading3"/>
        <w:spacing w:after="120" w:before="280"/>
      </w:pPr>
      <w:r>
        <w:rPr>
          <w:rFonts w:ascii="Arial" w:cs="Arial" w:eastAsia="Arial" w:hAnsi="Arial"/>
          <w:b/>
          <w:bCs/>
          <w:color w:val="1A7A6E"/>
          <w:sz w:val="24"/>
          <w:szCs w:val="24"/>
        </w:rPr>
        <w:t xml:space="preserve">Why Ethereum L1 Anchoring</w:t>
      </w:r>
    </w:p>
    <w:p>
      <w:pPr>
        <w:pStyle w:val="ListParagraph"/>
        <w:numPr>
          <w:ilvl w:val="0"/>
          <w:numId w:val="3"/>
        </w:numPr>
        <w:spacing w:after="60" w:before="60"/>
      </w:pPr>
      <w:r>
        <w:rPr>
          <w:rFonts w:ascii="Arial" w:cs="Arial" w:eastAsia="Arial" w:hAnsi="Arial"/>
          <w:sz w:val="22"/>
          <w:szCs w:val="22"/>
        </w:rPr>
        <w:t xml:space="preserve">TRMS governance token minted and managed on Ethereum for maximum security and liquidity</w:t>
      </w:r>
    </w:p>
    <w:p>
      <w:pPr>
        <w:pStyle w:val="ListParagraph"/>
        <w:numPr>
          <w:ilvl w:val="0"/>
          <w:numId w:val="3"/>
        </w:numPr>
        <w:spacing w:after="60" w:before="60"/>
      </w:pPr>
      <w:r>
        <w:rPr>
          <w:rFonts w:ascii="Arial" w:cs="Arial" w:eastAsia="Arial" w:hAnsi="Arial"/>
          <w:sz w:val="22"/>
          <w:szCs w:val="22"/>
        </w:rPr>
        <w:t xml:space="preserve">Bi-weekly state root checkpoints from Gnosis Chain stored on Ethereum — provides immutable audit trail</w:t>
      </w:r>
    </w:p>
    <w:p>
      <w:pPr>
        <w:pStyle w:val="ListParagraph"/>
        <w:numPr>
          <w:ilvl w:val="0"/>
          <w:numId w:val="3"/>
        </w:numPr>
        <w:spacing w:after="60" w:before="60"/>
      </w:pPr>
      <w:r>
        <w:rPr>
          <w:rFonts w:ascii="Arial" w:cs="Arial" w:eastAsia="Arial" w:hAnsi="Arial"/>
          <w:sz w:val="22"/>
          <w:szCs w:val="22"/>
        </w:rPr>
        <w:t xml:space="preserve">Governance votes execute on Ethereum first, then propagate parameter changes to Gnosis Chain contracts via bridge</w:t>
      </w:r>
    </w:p>
    <w:p>
      <w:pPr>
        <w:pStyle w:val="ListParagraph"/>
        <w:numPr>
          <w:ilvl w:val="0"/>
          <w:numId w:val="3"/>
        </w:numPr>
        <w:spacing w:after="60" w:before="60"/>
      </w:pPr>
      <w:r>
        <w:rPr>
          <w:rFonts w:ascii="Arial" w:cs="Arial" w:eastAsia="Arial" w:hAnsi="Arial"/>
          <w:sz w:val="22"/>
          <w:szCs w:val="22"/>
        </w:rPr>
        <w:t xml:space="preserve">If Gnosis Chain ever becomes compromised, Ethereum-anchored state allows recovery</w:t>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160"/>
              <w:left w:type="dxa" w:w="300"/>
              <w:bottom w:type="dxa" w:w="160"/>
              <w:right w:type="dxa" w:w="300"/>
            </w:tcMar>
          </w:tcPr>
          <w:p>
            <w:pPr>
              <w:jc w:val="center"/>
            </w:pPr>
            <w:r>
              <w:rPr>
                <w:rFonts w:ascii="Arial" w:cs="Arial" w:eastAsia="Arial" w:hAnsi="Arial"/>
                <w:b/>
                <w:bCs/>
                <w:color w:val="FFFFFF"/>
                <w:sz w:val="28"/>
                <w:szCs w:val="28"/>
              </w:rPr>
              <w:t xml:space="preserve">PART 4 — SMART CONTRACT ARCHITECTURE</w:t>
            </w:r>
          </w:p>
        </w:tc>
      </w:tr>
    </w:tbl>
    <w:p>
      <w:pPr>
        <w:spacing w:after="60" w:before="60"/>
      </w:pPr>
      <w:r>
        <w:t xml:space="preserve"/>
      </w:r>
    </w:p>
    <w:p>
      <w:pPr>
        <w:spacing w:after="120" w:before="80"/>
      </w:pPr>
      <w:r>
        <w:rPr>
          <w:rFonts w:ascii="Arial" w:cs="Arial" w:eastAsia="Arial" w:hAnsi="Arial"/>
          <w:sz w:val="22"/>
          <w:szCs w:val="22"/>
        </w:rPr>
        <w:t xml:space="preserve">All contracts should be implemented in Solidity 0.8.x, using OpenZeppelin libraries where applicable. All contracts are upgradeable via UUPS proxy pattern with DAO-controlled upgrade authorization. Every contract emits comprehensive events for off-chain indexing (The Graph subgraph).</w:t>
      </w:r>
    </w:p>
    <w:p>
      <w:pPr>
        <w:spacing w:after="60" w:before="60"/>
      </w:pPr>
      <w:r>
        <w:t xml:space="preserve"/>
      </w:r>
    </w:p>
    <w:p>
      <w:pPr>
        <w:pStyle w:val="Heading1"/>
        <w:pBdr>
          <w:bottom w:val="single" w:color="2E6DA4" w:sz="8" w:space="6"/>
        </w:pBdr>
        <w:spacing w:after="200" w:before="480"/>
      </w:pPr>
      <w:r>
        <w:rPr>
          <w:rFonts w:ascii="Arial" w:cs="Arial" w:eastAsia="Arial" w:hAnsi="Arial"/>
          <w:b/>
          <w:bCs/>
          <w:color w:val="1A3A5C"/>
          <w:sz w:val="34"/>
          <w:szCs w:val="34"/>
        </w:rPr>
        <w:t xml:space="preserve">Module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Contract Name</w:t>
            </w:r>
          </w:p>
        </w:tc>
        <w:tc>
          <w:tcPr>
            <w:tcW w:type="dxa" w:w="3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Module</w:t>
            </w:r>
          </w:p>
        </w:tc>
        <w:tc>
          <w:tcPr>
            <w:tcW w:type="dxa" w:w="35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Responsibility</w:t>
            </w:r>
          </w:p>
        </w:tc>
      </w:tr>
      <w:t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TRMSToken.sol</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Governance (L1)</w:t>
            </w:r>
          </w:p>
        </w:tc>
        <w:tc>
          <w:tcPr>
            <w:tcW w:type="dxa" w:w="3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ERC-20 governance token, vesting, quadratic vote weight</w:t>
            </w:r>
          </w:p>
        </w:tc>
      </w:tr>
      <w:t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TRMSDao.sol</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Governance (L1)</w:t>
            </w:r>
          </w:p>
        </w:tc>
        <w:tc>
          <w:tcPr>
            <w:tcW w:type="dxa" w:w="3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Proposal creation, voting, timelock, execution</w:t>
            </w:r>
          </w:p>
        </w:tc>
      </w:tr>
      <w:t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MRTToken.sol</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Currency (Gnosis)</w:t>
            </w:r>
          </w:p>
        </w:tc>
        <w:tc>
          <w:tcPr>
            <w:tcW w:type="dxa" w:w="3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ERC-20 elastic supply, mint/burn access control</w:t>
            </w:r>
          </w:p>
        </w:tc>
      </w:tr>
      <w:t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MaterialNFT.sol</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NFT Layer (Gnosis)</w:t>
            </w:r>
          </w:p>
        </w:tc>
        <w:tc>
          <w:tcPr>
            <w:tcW w:type="dxa" w:w="3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ERC-721 recyclable content certificate, lifecycle mgmt</w:t>
            </w:r>
          </w:p>
        </w:tc>
      </w:tr>
      <w:t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RecycleCenterRegistry.sol</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Registry (Gnosis)</w:t>
            </w:r>
          </w:p>
        </w:tc>
        <w:tc>
          <w:tcPr>
            <w:tcW w:type="dxa" w:w="3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Center registration, staking, reputation, audit</w:t>
            </w:r>
          </w:p>
        </w:tc>
      </w:tr>
      <w:t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ProductRegistry.sol</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Registry (Gnosis)</w:t>
            </w:r>
          </w:p>
        </w:tc>
        <w:tc>
          <w:tcPr>
            <w:tcW w:type="dxa" w:w="3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SKU registration, BoM submission, inspector sign-off</w:t>
            </w:r>
          </w:p>
        </w:tc>
      </w:tr>
      <w:t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LaborAdvanceVault.sol</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Advances (Gnosis)</w:t>
            </w:r>
          </w:p>
        </w:tc>
        <w:tc>
          <w:tcPr>
            <w:tcW w:type="dxa" w:w="3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Issue, track, repay, and collateralize labor advances</w:t>
            </w:r>
          </w:p>
        </w:tc>
      </w:tr>
      <w:t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ResourceAdvanceVault.sol</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Advances (Gnosis)</w:t>
            </w:r>
          </w:p>
        </w:tc>
        <w:tc>
          <w:tcPr>
            <w:tcW w:type="dxa" w:w="3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Issue, tranche, track, repay resource advances</w:t>
            </w:r>
          </w:p>
        </w:tc>
      </w:tr>
      <w:t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CommodityOracle.sol</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Oracle (Gnosis)</w:t>
            </w:r>
          </w:p>
        </w:tc>
        <w:tc>
          <w:tcPr>
            <w:tcW w:type="dxa" w:w="3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Aggregate Chainlink feeds into basket price</w:t>
            </w:r>
          </w:p>
        </w:tc>
      </w:tr>
      <w:t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StabilityModule.sol</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Peg (Gnosis)</w:t>
            </w:r>
          </w:p>
        </w:tc>
        <w:tc>
          <w:tcPr>
            <w:tcW w:type="dxa" w:w="3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Maintain MRT/basket peg, fee/discount mechanism</w:t>
            </w:r>
          </w:p>
        </w:tc>
      </w:tr>
      <w:t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ProtocolTreasury.sol</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Treasury (Gnosis)</w:t>
            </w:r>
          </w:p>
        </w:tc>
        <w:tc>
          <w:tcPr>
            <w:tcW w:type="dxa" w:w="3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Collect protocol fees, fund RecycleOps, manage AUR</w:t>
            </w:r>
          </w:p>
        </w:tc>
      </w:tr>
      <w:t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ArbitrationPanel.sol</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Dispute (Gnosis)</w:t>
            </w:r>
          </w:p>
        </w:tc>
        <w:tc>
          <w:tcPr>
            <w:tcW w:type="dxa" w:w="3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Certifier dispute resolution, inspector selection</w:t>
            </w:r>
          </w:p>
        </w:tc>
      </w:tr>
      <w:t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BridgeRelay.sol</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Bridge (Both)</w:t>
            </w:r>
          </w:p>
        </w:tc>
        <w:tc>
          <w:tcPr>
            <w:tcW w:type="dxa" w:w="3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L1&lt;-&gt;Gnosis state sync, parameter propagation</w:t>
            </w:r>
          </w:p>
        </w:tc>
      </w:tr>
      <w:t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ComplianceModule.sol</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Compliance (Gnosis)</w:t>
            </w:r>
          </w:p>
        </w:tc>
        <w:tc>
          <w:tcPr>
            <w:tcW w:type="dxa" w:w="3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OFAC screening hook, jurisdiction flags</w:t>
            </w:r>
          </w:p>
        </w:tc>
      </w:tr>
    </w:tbl>
    <w:p>
      <w:pPr>
        <w:spacing w:after="60" w:before="60"/>
      </w:pPr>
      <w:r>
        <w:t xml:space="preserve"/>
      </w:r>
    </w:p>
    <w:p>
      <w:r>
        <w:br w:type="page"/>
      </w:r>
    </w:p>
    <w:p>
      <w:pPr>
        <w:pStyle w:val="Heading1"/>
        <w:pBdr>
          <w:bottom w:val="single" w:color="2E6DA4" w:sz="8" w:space="6"/>
        </w:pBdr>
        <w:spacing w:after="200" w:before="480"/>
      </w:pPr>
      <w:r>
        <w:rPr>
          <w:rFonts w:ascii="Arial" w:cs="Arial" w:eastAsia="Arial" w:hAnsi="Arial"/>
          <w:b/>
          <w:bCs/>
          <w:color w:val="1A3A5C"/>
          <w:sz w:val="34"/>
          <w:szCs w:val="34"/>
        </w:rPr>
        <w:t xml:space="preserve">Contract Specifications</w:t>
      </w:r>
    </w:p>
    <w:p>
      <w:pPr>
        <w:pStyle w:val="Heading2"/>
        <w:spacing w:after="160" w:before="360"/>
      </w:pPr>
      <w:r>
        <w:rPr>
          <w:rFonts w:ascii="Arial" w:cs="Arial" w:eastAsia="Arial" w:hAnsi="Arial"/>
          <w:b/>
          <w:bCs/>
          <w:color w:val="2E6DA4"/>
          <w:sz w:val="28"/>
          <w:szCs w:val="28"/>
        </w:rPr>
        <w:t xml:space="preserve">CONTRACT 1: TRMSToken.sol (Ethereum L1)</w:t>
      </w:r>
    </w:p>
    <w:p>
      <w:pPr>
        <w:spacing w:after="120" w:before="80"/>
      </w:pPr>
      <w:r>
        <w:rPr>
          <w:rFonts w:ascii="Arial" w:cs="Arial" w:eastAsia="Arial" w:hAnsi="Arial"/>
          <w:sz w:val="22"/>
          <w:szCs w:val="22"/>
        </w:rPr>
        <w:t xml:space="preserve">Standard ERC-20 with governance extensions.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43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0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Supply</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100,000,000 TRMS (fixed, no mint after deploy)</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Founder Allocation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20,000,000 — 4yr linear vest, 1yr cliff, held in VestingVault.sol</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DAO Treasury</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30,000,000 — held in TieredDAO multisig</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Dev/Builder Alloc</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30,000,000 — distributed via governance grants over 3 years</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Public Sale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20,000,000 — initial DEX offering on Ethereum (Uniswap V3)</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Vote Weight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Quadratic: votes = floor(sqrt(balance * 1e18))</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Delegation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ERC-20Votes delegation supported</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Interfaces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IERC20, IVotes, IAccessControl, IUUPS</w:t>
            </w:r>
          </w:p>
        </w:tc>
      </w:tr>
    </w:tbl>
    <w:p>
      <w:pPr>
        <w:spacing w:after="60" w:before="60"/>
      </w:pPr>
      <w:r>
        <w:t xml:space="preserve"/>
      </w:r>
    </w:p>
    <w:p>
      <w:pPr>
        <w:spacing w:after="80" w:before="200"/>
      </w:pPr>
      <w:r>
        <w:rPr>
          <w:rFonts w:ascii="Arial" w:cs="Arial" w:eastAsia="Arial" w:hAnsi="Arial"/>
          <w:b/>
          <w:bCs/>
          <w:color w:val="B8860B"/>
          <w:sz w:val="22"/>
          <w:szCs w:val="22"/>
        </w:rPr>
        <w:t xml:space="preserve">Key Functions</w:t>
      </w:r>
    </w:p>
    <w:p>
      <w:pPr>
        <w:pStyle w:val="ListParagraph"/>
        <w:numPr>
          <w:ilvl w:val="0"/>
          <w:numId w:val="3"/>
        </w:numPr>
        <w:spacing w:after="60" w:before="60"/>
      </w:pPr>
      <w:r>
        <w:rPr>
          <w:rFonts w:ascii="Arial" w:cs="Arial" w:eastAsia="Arial" w:hAnsi="Arial"/>
          <w:sz w:val="22"/>
          <w:szCs w:val="22"/>
        </w:rPr>
        <w:t xml:space="preserve">constructor(address founder, address treasury, address devPool, address publicSale)</w:t>
      </w:r>
    </w:p>
    <w:p>
      <w:pPr>
        <w:pStyle w:val="ListParagraph"/>
        <w:numPr>
          <w:ilvl w:val="0"/>
          <w:numId w:val="3"/>
        </w:numPr>
        <w:spacing w:after="60" w:before="60"/>
      </w:pPr>
      <w:r>
        <w:rPr>
          <w:rFonts w:ascii="Arial" w:cs="Arial" w:eastAsia="Arial" w:hAnsi="Arial"/>
          <w:sz w:val="22"/>
          <w:szCs w:val="22"/>
        </w:rPr>
        <w:t xml:space="preserve">mint() — disabled after deploy; reverts always</w:t>
      </w:r>
    </w:p>
    <w:p>
      <w:pPr>
        <w:pStyle w:val="ListParagraph"/>
        <w:numPr>
          <w:ilvl w:val="0"/>
          <w:numId w:val="3"/>
        </w:numPr>
        <w:spacing w:after="60" w:before="60"/>
      </w:pPr>
      <w:r>
        <w:rPr>
          <w:rFonts w:ascii="Arial" w:cs="Arial" w:eastAsia="Arial" w:hAnsi="Arial"/>
          <w:sz w:val="22"/>
          <w:szCs w:val="22"/>
        </w:rPr>
        <w:t xml:space="preserve">delegate(address delegatee) — standard ERC-20Votes</w:t>
      </w:r>
    </w:p>
    <w:p>
      <w:pPr>
        <w:pStyle w:val="ListParagraph"/>
        <w:numPr>
          <w:ilvl w:val="0"/>
          <w:numId w:val="3"/>
        </w:numPr>
        <w:spacing w:after="60" w:before="60"/>
      </w:pPr>
      <w:r>
        <w:rPr>
          <w:rFonts w:ascii="Arial" w:cs="Arial" w:eastAsia="Arial" w:hAnsi="Arial"/>
          <w:sz w:val="22"/>
          <w:szCs w:val="22"/>
        </w:rPr>
        <w:t xml:space="preserve">getVotes(address account) returns (uint256) — quadratic weight applied</w:t>
      </w:r>
    </w:p>
    <w:p>
      <w:pPr>
        <w:spacing w:after="60" w:before="60"/>
      </w:pPr>
      <w:r>
        <w:t xml:space="preserve"/>
      </w:r>
    </w:p>
    <w:p>
      <w:pPr>
        <w:pStyle w:val="Heading2"/>
        <w:spacing w:after="160" w:before="360"/>
      </w:pPr>
      <w:r>
        <w:rPr>
          <w:rFonts w:ascii="Arial" w:cs="Arial" w:eastAsia="Arial" w:hAnsi="Arial"/>
          <w:b/>
          <w:bCs/>
          <w:color w:val="2E6DA4"/>
          <w:sz w:val="28"/>
          <w:szCs w:val="28"/>
        </w:rPr>
        <w:t xml:space="preserve">CONTRACT 2: TRMSDao.sol (Ethereum L1)</w:t>
      </w:r>
    </w:p>
    <w:p>
      <w:pPr>
        <w:spacing w:after="120" w:before="80"/>
      </w:pPr>
      <w:r>
        <w:rPr>
          <w:rFonts w:ascii="Arial" w:cs="Arial" w:eastAsia="Arial" w:hAnsi="Arial"/>
          <w:sz w:val="22"/>
          <w:szCs w:val="22"/>
        </w:rPr>
        <w:t xml:space="preserve">Governor Bravo-compatible DAO contract with timelocked execution.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43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0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Proposal Threshold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10,000 TRMS to submit a proposal</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Quorum</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of total circulating supply</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Vote Period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 days</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Timelock Delay</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 hours (standard), 7 days (core economic params)</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Pass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Simple majority of votes cast</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 Param Change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67% supermajority required</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Emergency Pause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 supermajority OR 3/5 Guardian multisig</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Execution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Queued via TimelockController, then execute()</w:t>
            </w:r>
          </w:p>
        </w:tc>
      </w:tr>
    </w:tbl>
    <w:p>
      <w:pPr>
        <w:spacing w:after="60" w:before="60"/>
      </w:pPr>
      <w:r>
        <w:t xml:space="preserve"/>
      </w:r>
    </w:p>
    <w:p>
      <w:pPr>
        <w:spacing w:after="80" w:before="200"/>
      </w:pPr>
      <w:r>
        <w:rPr>
          <w:rFonts w:ascii="Arial" w:cs="Arial" w:eastAsia="Arial" w:hAnsi="Arial"/>
          <w:b/>
          <w:bCs/>
          <w:color w:val="B8860B"/>
          <w:sz w:val="22"/>
          <w:szCs w:val="22"/>
        </w:rPr>
        <w:t xml:space="preserve">Governance-Controlled Parameters (stored in ParameterStore.sol)</w:t>
      </w:r>
    </w:p>
    <w:p>
      <w:pPr>
        <w:pStyle w:val="ListParagraph"/>
        <w:numPr>
          <w:ilvl w:val="0"/>
          <w:numId w:val="3"/>
        </w:numPr>
        <w:spacing w:after="60" w:before="60"/>
      </w:pPr>
      <w:r>
        <w:rPr>
          <w:rFonts w:ascii="Arial" w:cs="Arial" w:eastAsia="Arial" w:hAnsi="Arial"/>
          <w:sz w:val="22"/>
          <w:szCs w:val="22"/>
        </w:rPr>
        <w:t xml:space="preserve">Commodity basket weights (per material, must sum to 100%)</w:t>
      </w:r>
    </w:p>
    <w:p>
      <w:pPr>
        <w:pStyle w:val="ListParagraph"/>
        <w:numPr>
          <w:ilvl w:val="0"/>
          <w:numId w:val="3"/>
        </w:numPr>
        <w:spacing w:after="60" w:before="60"/>
      </w:pPr>
      <w:r>
        <w:rPr>
          <w:rFonts w:ascii="Arial" w:cs="Arial" w:eastAsia="Arial" w:hAnsi="Arial"/>
          <w:sz w:val="22"/>
          <w:szCs w:val="22"/>
        </w:rPr>
        <w:t xml:space="preserve">Labor advance percentage (default 50%, range 25-75%)</w:t>
      </w:r>
    </w:p>
    <w:p>
      <w:pPr>
        <w:pStyle w:val="ListParagraph"/>
        <w:numPr>
          <w:ilvl w:val="0"/>
          <w:numId w:val="3"/>
        </w:numPr>
        <w:spacing w:after="60" w:before="60"/>
      </w:pPr>
      <w:r>
        <w:rPr>
          <w:rFonts w:ascii="Arial" w:cs="Arial" w:eastAsia="Arial" w:hAnsi="Arial"/>
          <w:sz w:val="22"/>
          <w:szCs w:val="22"/>
        </w:rPr>
        <w:t xml:space="preserve">Resource advance percentage (default 50%, range 25-75%)</w:t>
      </w:r>
    </w:p>
    <w:p>
      <w:pPr>
        <w:pStyle w:val="ListParagraph"/>
        <w:numPr>
          <w:ilvl w:val="0"/>
          <w:numId w:val="3"/>
        </w:numPr>
        <w:spacing w:after="60" w:before="60"/>
      </w:pPr>
      <w:r>
        <w:rPr>
          <w:rFonts w:ascii="Arial" w:cs="Arial" w:eastAsia="Arial" w:hAnsi="Arial"/>
          <w:sz w:val="22"/>
          <w:szCs w:val="22"/>
        </w:rPr>
        <w:t xml:space="preserve">Advance Utilization Ratio ceiling (default 60%)</w:t>
      </w:r>
    </w:p>
    <w:p>
      <w:pPr>
        <w:pStyle w:val="ListParagraph"/>
        <w:numPr>
          <w:ilvl w:val="0"/>
          <w:numId w:val="3"/>
        </w:numPr>
        <w:spacing w:after="60" w:before="60"/>
      </w:pPr>
      <w:r>
        <w:rPr>
          <w:rFonts w:ascii="Arial" w:cs="Arial" w:eastAsia="Arial" w:hAnsi="Arial"/>
          <w:sz w:val="22"/>
          <w:szCs w:val="22"/>
        </w:rPr>
        <w:t xml:space="preserve">Protocol fee rates (transaction fee, advance fee)</w:t>
      </w:r>
    </w:p>
    <w:p>
      <w:pPr>
        <w:pStyle w:val="ListParagraph"/>
        <w:numPr>
          <w:ilvl w:val="0"/>
          <w:numId w:val="3"/>
        </w:numPr>
        <w:spacing w:after="60" w:before="60"/>
      </w:pPr>
      <w:r>
        <w:rPr>
          <w:rFonts w:ascii="Arial" w:cs="Arial" w:eastAsia="Arial" w:hAnsi="Arial"/>
          <w:sz w:val="22"/>
          <w:szCs w:val="22"/>
        </w:rPr>
        <w:t xml:space="preserve">Recycling cost reimbursement rates per material category</w:t>
      </w:r>
    </w:p>
    <w:p>
      <w:pPr>
        <w:pStyle w:val="ListParagraph"/>
        <w:numPr>
          <w:ilvl w:val="0"/>
          <w:numId w:val="3"/>
        </w:numPr>
        <w:spacing w:after="60" w:before="60"/>
      </w:pPr>
      <w:r>
        <w:rPr>
          <w:rFonts w:ascii="Arial" w:cs="Arial" w:eastAsia="Arial" w:hAnsi="Arial"/>
          <w:sz w:val="22"/>
          <w:szCs w:val="22"/>
        </w:rPr>
        <w:t xml:space="preserve">Oracle source addresses</w:t>
      </w:r>
    </w:p>
    <w:p>
      <w:pPr>
        <w:pStyle w:val="ListParagraph"/>
        <w:numPr>
          <w:ilvl w:val="0"/>
          <w:numId w:val="3"/>
        </w:numPr>
        <w:spacing w:after="60" w:before="60"/>
      </w:pPr>
      <w:r>
        <w:rPr>
          <w:rFonts w:ascii="Arial" w:cs="Arial" w:eastAsia="Arial" w:hAnsi="Arial"/>
          <w:sz w:val="22"/>
          <w:szCs w:val="22"/>
        </w:rPr>
        <w:t xml:space="preserve">Recycle Center minimum stake requirement</w:t>
      </w:r>
    </w:p>
    <w:p>
      <w:pPr>
        <w:spacing w:after="60" w:before="60"/>
      </w:pPr>
      <w:r>
        <w:t xml:space="preserve"/>
      </w:r>
    </w:p>
    <w:p>
      <w:pPr>
        <w:pStyle w:val="Heading2"/>
        <w:spacing w:after="160" w:before="360"/>
      </w:pPr>
      <w:r>
        <w:rPr>
          <w:rFonts w:ascii="Arial" w:cs="Arial" w:eastAsia="Arial" w:hAnsi="Arial"/>
          <w:b/>
          <w:bCs/>
          <w:color w:val="2E6DA4"/>
          <w:sz w:val="28"/>
          <w:szCs w:val="28"/>
        </w:rPr>
        <w:t xml:space="preserve">CONTRACT 3: MRTToken.sol (Gnosis Chain)</w:t>
      </w:r>
    </w:p>
    <w:p>
      <w:pPr>
        <w:spacing w:after="120" w:before="80"/>
      </w:pPr>
      <w:r>
        <w:rPr>
          <w:rFonts w:ascii="Arial" w:cs="Arial" w:eastAsia="Arial" w:hAnsi="Arial"/>
          <w:sz w:val="22"/>
          <w:szCs w:val="22"/>
        </w:rPr>
        <w:t xml:space="preserve">Elastic supply ERC-20. Only authorized vaults (LaborAdvanceVault, ResourceAdvanceVault, RecycleCenterRegistry) can mint. Only those vaults and the StabilityModule can burn.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43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0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Initial Supply</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 (bootstrapped entirely by protocol activity)</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 Supply</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 — governed by AUR ceiling and peg stability</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Mint Authority</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MINTER_ROLE: RecycleCenterRegistry, LaborAdvanceVault, ResourceAdvanceVault</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Burn Authority</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BURNER_ROLE: Same vaults + StabilityModule</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Decimals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Transfer Fee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 to ProtocolTreasury on every transfer</w:t>
            </w:r>
          </w:p>
        </w:tc>
      </w:tr>
    </w:tbl>
    <w:p>
      <w:pPr>
        <w:spacing w:after="60" w:before="60"/>
      </w:pPr>
      <w:r>
        <w:t xml:space="preserve"/>
      </w:r>
    </w:p>
    <w:p>
      <w:pPr>
        <w:spacing w:after="80" w:before="200"/>
      </w:pPr>
      <w:r>
        <w:rPr>
          <w:rFonts w:ascii="Arial" w:cs="Arial" w:eastAsia="Arial" w:hAnsi="Arial"/>
          <w:b/>
          <w:bCs/>
          <w:color w:val="B8860B"/>
          <w:sz w:val="22"/>
          <w:szCs w:val="22"/>
        </w:rPr>
        <w:t xml:space="preserve">Key Functions</w:t>
      </w:r>
    </w:p>
    <w:p>
      <w:pPr>
        <w:pStyle w:val="ListParagraph"/>
        <w:numPr>
          <w:ilvl w:val="0"/>
          <w:numId w:val="3"/>
        </w:numPr>
        <w:spacing w:after="60" w:before="60"/>
      </w:pPr>
      <w:r>
        <w:rPr>
          <w:rFonts w:ascii="Arial" w:cs="Arial" w:eastAsia="Arial" w:hAnsi="Arial"/>
          <w:sz w:val="22"/>
          <w:szCs w:val="22"/>
        </w:rPr>
        <w:t xml:space="preserve">mint(address to, uint256 amount) — onlyRole(MINTER_ROLE), checks AUR before minting</w:t>
      </w:r>
    </w:p>
    <w:p>
      <w:pPr>
        <w:pStyle w:val="ListParagraph"/>
        <w:numPr>
          <w:ilvl w:val="0"/>
          <w:numId w:val="3"/>
        </w:numPr>
        <w:spacing w:after="60" w:before="60"/>
      </w:pPr>
      <w:r>
        <w:rPr>
          <w:rFonts w:ascii="Arial" w:cs="Arial" w:eastAsia="Arial" w:hAnsi="Arial"/>
          <w:sz w:val="22"/>
          <w:szCs w:val="22"/>
        </w:rPr>
        <w:t xml:space="preserve">burn(address from, uint256 amount) — onlyRole(BURNER_ROLE)</w:t>
      </w:r>
    </w:p>
    <w:p>
      <w:pPr>
        <w:pStyle w:val="ListParagraph"/>
        <w:numPr>
          <w:ilvl w:val="0"/>
          <w:numId w:val="3"/>
        </w:numPr>
        <w:spacing w:after="60" w:before="60"/>
      </w:pPr>
      <w:r>
        <w:rPr>
          <w:rFonts w:ascii="Arial" w:cs="Arial" w:eastAsia="Arial" w:hAnsi="Arial"/>
          <w:sz w:val="22"/>
          <w:szCs w:val="22"/>
        </w:rPr>
        <w:t xml:space="preserve">_beforeTokenTransfer() — deducts 0.1% fee to treasury, checks ComplianceModule</w:t>
      </w:r>
    </w:p>
    <w:p>
      <w:pPr>
        <w:spacing w:after="60" w:before="60"/>
      </w:pPr>
      <w:r>
        <w:t xml:space="preserve"/>
      </w:r>
    </w:p>
    <w:p>
      <w:pPr>
        <w:pStyle w:val="Heading2"/>
        <w:spacing w:after="160" w:before="360"/>
      </w:pPr>
      <w:r>
        <w:rPr>
          <w:rFonts w:ascii="Arial" w:cs="Arial" w:eastAsia="Arial" w:hAnsi="Arial"/>
          <w:b/>
          <w:bCs/>
          <w:color w:val="2E6DA4"/>
          <w:sz w:val="28"/>
          <w:szCs w:val="28"/>
        </w:rPr>
        <w:t xml:space="preserve">CONTRACT 4: MaterialNFT.sol (Gnosis Chain)</w:t>
      </w:r>
    </w:p>
    <w:p>
      <w:pPr>
        <w:spacing w:after="120" w:before="80"/>
      </w:pPr>
      <w:r>
        <w:rPr>
          <w:rFonts w:ascii="Arial" w:cs="Arial" w:eastAsia="Arial" w:hAnsi="Arial"/>
          <w:sz w:val="22"/>
          <w:szCs w:val="22"/>
        </w:rPr>
        <w:t xml:space="preserve">ERC-721 certificates of recyclable content. Each token represents one certified batch of material in a product or in storage.</w:t>
      </w:r>
    </w:p>
    <w:p>
      <w:pPr>
        <w:spacing w:after="60" w:before="60"/>
      </w:pPr>
      <w:r>
        <w:t xml:space="preserve"/>
      </w:r>
    </w:p>
    <w:p>
      <w:pPr>
        <w:spacing w:after="80" w:before="200"/>
      </w:pPr>
      <w:r>
        <w:rPr>
          <w:rFonts w:ascii="Arial" w:cs="Arial" w:eastAsia="Arial" w:hAnsi="Arial"/>
          <w:b/>
          <w:bCs/>
          <w:color w:val="B8860B"/>
          <w:sz w:val="22"/>
          <w:szCs w:val="22"/>
        </w:rPr>
        <w:t xml:space="preserve">NFT Metadata (on-chain struct)</w:t>
      </w:r>
    </w:p>
    <w:p>
      <w:pPr>
        <w:pStyle w:val="ListParagraph"/>
        <w:numPr>
          <w:ilvl w:val="0"/>
          <w:numId w:val="3"/>
        </w:numPr>
        <w:spacing w:after="60" w:before="60"/>
      </w:pPr>
      <w:r>
        <w:rPr>
          <w:rFonts w:ascii="Arial" w:cs="Arial" w:eastAsia="Arial" w:hAnsi="Arial"/>
          <w:sz w:val="22"/>
          <w:szCs w:val="22"/>
        </w:rPr>
        <w:t xml:space="preserve">materialType: bytes32 — e.g., keccak256('COPPER'), keccak256('ALUMINUM')</w:t>
      </w:r>
    </w:p>
    <w:p>
      <w:pPr>
        <w:pStyle w:val="ListParagraph"/>
        <w:numPr>
          <w:ilvl w:val="0"/>
          <w:numId w:val="3"/>
        </w:numPr>
        <w:spacing w:after="60" w:before="60"/>
      </w:pPr>
      <w:r>
        <w:rPr>
          <w:rFonts w:ascii="Arial" w:cs="Arial" w:eastAsia="Arial" w:hAnsi="Arial"/>
          <w:sz w:val="22"/>
          <w:szCs w:val="22"/>
        </w:rPr>
        <w:t xml:space="preserve">massKg: uint256 — mass of recyclable material in grams (no decimals)</w:t>
      </w:r>
    </w:p>
    <w:p>
      <w:pPr>
        <w:pStyle w:val="ListParagraph"/>
        <w:numPr>
          <w:ilvl w:val="0"/>
          <w:numId w:val="3"/>
        </w:numPr>
        <w:spacing w:after="60" w:before="60"/>
      </w:pPr>
      <w:r>
        <w:rPr>
          <w:rFonts w:ascii="Arial" w:cs="Arial" w:eastAsia="Arial" w:hAnsi="Arial"/>
          <w:sz w:val="22"/>
          <w:szCs w:val="22"/>
        </w:rPr>
        <w:t xml:space="preserve">recyclablePct: uint8 — 0-100 certified recyclable percentage</w:t>
      </w:r>
    </w:p>
    <w:p>
      <w:pPr>
        <w:pStyle w:val="ListParagraph"/>
        <w:numPr>
          <w:ilvl w:val="0"/>
          <w:numId w:val="3"/>
        </w:numPr>
        <w:spacing w:after="60" w:before="60"/>
      </w:pPr>
      <w:r>
        <w:rPr>
          <w:rFonts w:ascii="Arial" w:cs="Arial" w:eastAsia="Arial" w:hAnsi="Arial"/>
          <w:sz w:val="22"/>
          <w:szCs w:val="22"/>
        </w:rPr>
        <w:t xml:space="preserve">recyclingCostMRT: uint256 — estimated cost to recycle, in MRT (18 decimals)</w:t>
      </w:r>
    </w:p>
    <w:p>
      <w:pPr>
        <w:pStyle w:val="ListParagraph"/>
        <w:numPr>
          <w:ilvl w:val="0"/>
          <w:numId w:val="3"/>
        </w:numPr>
        <w:spacing w:after="60" w:before="60"/>
      </w:pPr>
      <w:r>
        <w:rPr>
          <w:rFonts w:ascii="Arial" w:cs="Arial" w:eastAsia="Arial" w:hAnsi="Arial"/>
          <w:sz w:val="22"/>
          <w:szCs w:val="22"/>
        </w:rPr>
        <w:t xml:space="preserve">certifiedValueMRT: uint256 — massKg * commodityPrice * recyclablePct/100 - recyclingCostMRT</w:t>
      </w:r>
    </w:p>
    <w:p>
      <w:pPr>
        <w:pStyle w:val="ListParagraph"/>
        <w:numPr>
          <w:ilvl w:val="0"/>
          <w:numId w:val="3"/>
        </w:numPr>
        <w:spacing w:after="60" w:before="60"/>
      </w:pPr>
      <w:r>
        <w:rPr>
          <w:rFonts w:ascii="Arial" w:cs="Arial" w:eastAsia="Arial" w:hAnsi="Arial"/>
          <w:sz w:val="22"/>
          <w:szCs w:val="22"/>
        </w:rPr>
        <w:t xml:space="preserve">recycleCenterId: address — issuing center</w:t>
      </w:r>
    </w:p>
    <w:p>
      <w:pPr>
        <w:pStyle w:val="ListParagraph"/>
        <w:numPr>
          <w:ilvl w:val="0"/>
          <w:numId w:val="3"/>
        </w:numPr>
        <w:spacing w:after="60" w:before="60"/>
      </w:pPr>
      <w:r>
        <w:rPr>
          <w:rFonts w:ascii="Arial" w:cs="Arial" w:eastAsia="Arial" w:hAnsi="Arial"/>
          <w:sz w:val="22"/>
          <w:szCs w:val="22"/>
        </w:rPr>
        <w:t xml:space="preserve">productSKU: bytes32 — associated product (zero if raw material storage)</w:t>
      </w:r>
    </w:p>
    <w:p>
      <w:pPr>
        <w:pStyle w:val="ListParagraph"/>
        <w:numPr>
          <w:ilvl w:val="0"/>
          <w:numId w:val="3"/>
        </w:numPr>
        <w:spacing w:after="60" w:before="60"/>
      </w:pPr>
      <w:r>
        <w:rPr>
          <w:rFonts w:ascii="Arial" w:cs="Arial" w:eastAsia="Arial" w:hAnsi="Arial"/>
          <w:sz w:val="22"/>
          <w:szCs w:val="22"/>
        </w:rPr>
        <w:t xml:space="preserve">minted: uint256 — timestamp</w:t>
      </w:r>
    </w:p>
    <w:p>
      <w:pPr>
        <w:pStyle w:val="ListParagraph"/>
        <w:numPr>
          <w:ilvl w:val="0"/>
          <w:numId w:val="3"/>
        </w:numPr>
        <w:spacing w:after="60" w:before="60"/>
      </w:pPr>
      <w:r>
        <w:rPr>
          <w:rFonts w:ascii="Arial" w:cs="Arial" w:eastAsia="Arial" w:hAnsi="Arial"/>
          <w:sz w:val="22"/>
          <w:szCs w:val="22"/>
        </w:rPr>
        <w:t xml:space="preserve">status: enum { ACTIVE, RECYCLED, DISPUTED, SLASHED }</w:t>
      </w:r>
    </w:p>
    <w:p>
      <w:pPr>
        <w:spacing w:after="60" w:before="60"/>
      </w:pPr>
      <w:r>
        <w:t xml:space="preserve"/>
      </w:r>
    </w:p>
    <w:p>
      <w:pPr>
        <w:spacing w:after="80" w:before="200"/>
      </w:pPr>
      <w:r>
        <w:rPr>
          <w:rFonts w:ascii="Arial" w:cs="Arial" w:eastAsia="Arial" w:hAnsi="Arial"/>
          <w:b/>
          <w:bCs/>
          <w:color w:val="B8860B"/>
          <w:sz w:val="22"/>
          <w:szCs w:val="22"/>
        </w:rPr>
        <w:t xml:space="preserve">Key Functions</w:t>
      </w:r>
    </w:p>
    <w:p>
      <w:pPr>
        <w:pStyle w:val="ListParagraph"/>
        <w:numPr>
          <w:ilvl w:val="0"/>
          <w:numId w:val="3"/>
        </w:numPr>
        <w:spacing w:after="60" w:before="60"/>
      </w:pPr>
      <w:r>
        <w:rPr>
          <w:rFonts w:ascii="Arial" w:cs="Arial" w:eastAsia="Arial" w:hAnsi="Arial"/>
          <w:sz w:val="22"/>
          <w:szCs w:val="22"/>
        </w:rPr>
        <w:t xml:space="preserve">mintMaterial(address owner, MaterialData calldata data) — onlyRole(CENTER_ROLE)</w:t>
      </w:r>
    </w:p>
    <w:p>
      <w:pPr>
        <w:pStyle w:val="ListParagraph"/>
        <w:numPr>
          <w:ilvl w:val="0"/>
          <w:numId w:val="3"/>
        </w:numPr>
        <w:spacing w:after="60" w:before="60"/>
      </w:pPr>
      <w:r>
        <w:rPr>
          <w:rFonts w:ascii="Arial" w:cs="Arial" w:eastAsia="Arial" w:hAnsi="Arial"/>
          <w:sz w:val="22"/>
          <w:szCs w:val="22"/>
        </w:rPr>
        <w:t xml:space="preserve">burnOnRecycle(uint256 tokenId) — sets status RECYCLED, triggers MRT burn</w:t>
      </w:r>
    </w:p>
    <w:p>
      <w:pPr>
        <w:pStyle w:val="ListParagraph"/>
        <w:numPr>
          <w:ilvl w:val="0"/>
          <w:numId w:val="3"/>
        </w:numPr>
        <w:spacing w:after="60" w:before="60"/>
      </w:pPr>
      <w:r>
        <w:rPr>
          <w:rFonts w:ascii="Arial" w:cs="Arial" w:eastAsia="Arial" w:hAnsi="Arial"/>
          <w:sz w:val="22"/>
          <w:szCs w:val="22"/>
        </w:rPr>
        <w:t xml:space="preserve">transferWithProduct(uint256 tokenId, address newOwner) — transfers NFT to new product owner</w:t>
      </w:r>
    </w:p>
    <w:p>
      <w:pPr>
        <w:pStyle w:val="ListParagraph"/>
        <w:numPr>
          <w:ilvl w:val="0"/>
          <w:numId w:val="3"/>
        </w:numPr>
        <w:spacing w:after="60" w:before="60"/>
      </w:pPr>
      <w:r>
        <w:rPr>
          <w:rFonts w:ascii="Arial" w:cs="Arial" w:eastAsia="Arial" w:hAnsi="Arial"/>
          <w:sz w:val="22"/>
          <w:szCs w:val="22"/>
        </w:rPr>
        <w:t xml:space="preserve">flagDispute(uint256 tokenId) — ArbitrationPanel only; sets DISPUTED</w:t>
      </w:r>
    </w:p>
    <w:p>
      <w:pPr>
        <w:pStyle w:val="ListParagraph"/>
        <w:numPr>
          <w:ilvl w:val="0"/>
          <w:numId w:val="3"/>
        </w:numPr>
        <w:spacing w:after="60" w:before="60"/>
      </w:pPr>
      <w:r>
        <w:rPr>
          <w:rFonts w:ascii="Arial" w:cs="Arial" w:eastAsia="Arial" w:hAnsi="Arial"/>
          <w:sz w:val="22"/>
          <w:szCs w:val="22"/>
        </w:rPr>
        <w:t xml:space="preserve">slashMaterial(uint256 tokenId) — ArbitrationPanel only after confirmed fraud</w:t>
      </w:r>
    </w:p>
    <w:p>
      <w:pPr>
        <w:spacing w:after="60" w:before="60"/>
      </w:pPr>
      <w:r>
        <w:t xml:space="preserve"/>
      </w:r>
    </w:p>
    <w:p>
      <w:pPr>
        <w:pStyle w:val="Heading2"/>
        <w:spacing w:after="160" w:before="360"/>
      </w:pPr>
      <w:r>
        <w:rPr>
          <w:rFonts w:ascii="Arial" w:cs="Arial" w:eastAsia="Arial" w:hAnsi="Arial"/>
          <w:b/>
          <w:bCs/>
          <w:color w:val="2E6DA4"/>
          <w:sz w:val="28"/>
          <w:szCs w:val="28"/>
        </w:rPr>
        <w:t xml:space="preserve">CONTRACT 5: LaborAdvanceVault.sol (Gnosis Chain)</w:t>
      </w:r>
    </w:p>
    <w:p>
      <w:pPr>
        <w:spacing w:after="120" w:before="80"/>
      </w:pPr>
      <w:r>
        <w:rPr>
          <w:rFonts w:ascii="Arial" w:cs="Arial" w:eastAsia="Arial" w:hAnsi="Arial"/>
          <w:sz w:val="22"/>
          <w:szCs w:val="22"/>
        </w:rPr>
        <w:t xml:space="preserve">Core mechanism for Channel 2 money creation. Issues MRT advances against product NFT collateral.</w:t>
      </w:r>
    </w:p>
    <w:p>
      <w:pPr>
        <w:spacing w:after="60" w:before="60"/>
      </w:pPr>
      <w:r>
        <w:t xml:space="preserve"/>
      </w:r>
    </w:p>
    <w:p>
      <w:pPr>
        <w:spacing w:after="80" w:before="200"/>
      </w:pPr>
      <w:r>
        <w:rPr>
          <w:rFonts w:ascii="Arial" w:cs="Arial" w:eastAsia="Arial" w:hAnsi="Arial"/>
          <w:b/>
          <w:bCs/>
          <w:color w:val="B8860B"/>
          <w:sz w:val="22"/>
          <w:szCs w:val="22"/>
        </w:rPr>
        <w:t xml:space="preserve">Advance Lifecycle</w:t>
      </w:r>
    </w:p>
    <w:p>
      <w:pPr>
        <w:pStyle w:val="ListParagraph"/>
        <w:numPr>
          <w:ilvl w:val="0"/>
          <w:numId w:val="2"/>
        </w:numPr>
        <w:spacing w:after="60" w:before="60"/>
      </w:pPr>
      <w:r>
        <w:rPr>
          <w:rFonts w:ascii="Arial" w:cs="Arial" w:eastAsia="Arial" w:hAnsi="Arial"/>
          <w:sz w:val="22"/>
          <w:szCs w:val="22"/>
        </w:rPr>
        <w:t xml:space="preserve">Producer calls requestAdvance(productSKU, laborCostMRT, materialNFTId)</w:t>
      </w:r>
    </w:p>
    <w:p>
      <w:pPr>
        <w:pStyle w:val="ListParagraph"/>
        <w:numPr>
          <w:ilvl w:val="0"/>
          <w:numId w:val="2"/>
        </w:numPr>
        <w:spacing w:after="60" w:before="60"/>
      </w:pPr>
      <w:r>
        <w:rPr>
          <w:rFonts w:ascii="Arial" w:cs="Arial" w:eastAsia="Arial" w:hAnsi="Arial"/>
          <w:sz w:val="22"/>
          <w:szCs w:val="22"/>
        </w:rPr>
        <w:t xml:space="preserve">Contract verifies: product registered, NFT valid and owned by producer, AUR below ceiling</w:t>
      </w:r>
    </w:p>
    <w:p>
      <w:pPr>
        <w:pStyle w:val="ListParagraph"/>
        <w:numPr>
          <w:ilvl w:val="0"/>
          <w:numId w:val="2"/>
        </w:numPr>
        <w:spacing w:after="60" w:before="60"/>
      </w:pPr>
      <w:r>
        <w:rPr>
          <w:rFonts w:ascii="Arial" w:cs="Arial" w:eastAsia="Arial" w:hAnsi="Arial"/>
          <w:sz w:val="22"/>
          <w:szCs w:val="22"/>
        </w:rPr>
        <w:t xml:space="preserve">Contract mints 50% of laborCostMRT to producer wallet</w:t>
      </w:r>
    </w:p>
    <w:p>
      <w:pPr>
        <w:pStyle w:val="ListParagraph"/>
        <w:numPr>
          <w:ilvl w:val="0"/>
          <w:numId w:val="2"/>
        </w:numPr>
        <w:spacing w:after="60" w:before="60"/>
      </w:pPr>
      <w:r>
        <w:rPr>
          <w:rFonts w:ascii="Arial" w:cs="Arial" w:eastAsia="Arial" w:hAnsi="Arial"/>
          <w:sz w:val="22"/>
          <w:szCs w:val="22"/>
        </w:rPr>
        <w:t xml:space="preserve">Contract locks materialNFT as collateral (transfers to vault custody)</w:t>
      </w:r>
    </w:p>
    <w:p>
      <w:pPr>
        <w:pStyle w:val="ListParagraph"/>
        <w:numPr>
          <w:ilvl w:val="0"/>
          <w:numId w:val="2"/>
        </w:numPr>
        <w:spacing w:after="60" w:before="60"/>
      </w:pPr>
      <w:r>
        <w:rPr>
          <w:rFonts w:ascii="Arial" w:cs="Arial" w:eastAsia="Arial" w:hAnsi="Arial"/>
          <w:sz w:val="22"/>
          <w:szCs w:val="22"/>
        </w:rPr>
        <w:t xml:space="preserve">Advance recorded: { producer, amount, dueDate = now + 365 days, productSKU, nftId }</w:t>
      </w:r>
    </w:p>
    <w:p>
      <w:pPr>
        <w:pStyle w:val="ListParagraph"/>
        <w:numPr>
          <w:ilvl w:val="0"/>
          <w:numId w:val="2"/>
        </w:numPr>
        <w:spacing w:after="60" w:before="60"/>
      </w:pPr>
      <w:r>
        <w:rPr>
          <w:rFonts w:ascii="Arial" w:cs="Arial" w:eastAsia="Arial" w:hAnsi="Arial"/>
          <w:sz w:val="22"/>
          <w:szCs w:val="22"/>
        </w:rPr>
        <w:t xml:space="preserve">Producer sells product; buyer triggers repayAdvance(advanceId) with MRT payment</w:t>
      </w:r>
    </w:p>
    <w:p>
      <w:pPr>
        <w:pStyle w:val="ListParagraph"/>
        <w:numPr>
          <w:ilvl w:val="0"/>
          <w:numId w:val="2"/>
        </w:numPr>
        <w:spacing w:after="60" w:before="60"/>
      </w:pPr>
      <w:r>
        <w:rPr>
          <w:rFonts w:ascii="Arial" w:cs="Arial" w:eastAsia="Arial" w:hAnsi="Arial"/>
          <w:sz w:val="22"/>
          <w:szCs w:val="22"/>
        </w:rPr>
        <w:t xml:space="preserve">Contract burns the repaid MRT; releases materialNFT to buyer</w:t>
      </w:r>
    </w:p>
    <w:p>
      <w:pPr>
        <w:pStyle w:val="ListParagraph"/>
        <w:numPr>
          <w:ilvl w:val="0"/>
          <w:numId w:val="2"/>
        </w:numPr>
        <w:spacing w:after="60" w:before="60"/>
      </w:pPr>
      <w:r>
        <w:rPr>
          <w:rFonts w:ascii="Arial" w:cs="Arial" w:eastAsia="Arial" w:hAnsi="Arial"/>
          <w:sz w:val="22"/>
          <w:szCs w:val="22"/>
        </w:rPr>
        <w:t xml:space="preserve">If due date passes: autoLiquidate(advanceId) — NFT transferred to DAO treasury, MRT burned</w:t>
      </w:r>
    </w:p>
    <w:p>
      <w:pPr>
        <w:spacing w:after="60" w:before="60"/>
      </w:pPr>
      <w:r>
        <w:t xml:space="preserve"/>
      </w:r>
    </w:p>
    <w:p>
      <w:pPr>
        <w:spacing w:after="80" w:before="200"/>
      </w:pPr>
      <w:r>
        <w:rPr>
          <w:rFonts w:ascii="Arial" w:cs="Arial" w:eastAsia="Arial" w:hAnsi="Arial"/>
          <w:b/>
          <w:bCs/>
          <w:color w:val="B8860B"/>
          <w:sz w:val="22"/>
          <w:szCs w:val="22"/>
        </w:rPr>
        <w:t xml:space="preserve">Key Functions</w:t>
      </w:r>
    </w:p>
    <w:p>
      <w:pPr>
        <w:pStyle w:val="ListParagraph"/>
        <w:numPr>
          <w:ilvl w:val="0"/>
          <w:numId w:val="3"/>
        </w:numPr>
        <w:spacing w:after="60" w:before="60"/>
      </w:pPr>
      <w:r>
        <w:rPr>
          <w:rFonts w:ascii="Arial" w:cs="Arial" w:eastAsia="Arial" w:hAnsi="Arial"/>
          <w:sz w:val="22"/>
          <w:szCs w:val="22"/>
        </w:rPr>
        <w:t xml:space="preserve">requestAdvance(bytes32 sku, uint256 laborCost, uint256 nftId) returns (uint256 advanceId)</w:t>
      </w:r>
    </w:p>
    <w:p>
      <w:pPr>
        <w:pStyle w:val="ListParagraph"/>
        <w:numPr>
          <w:ilvl w:val="0"/>
          <w:numId w:val="3"/>
        </w:numPr>
        <w:spacing w:after="60" w:before="60"/>
      </w:pPr>
      <w:r>
        <w:rPr>
          <w:rFonts w:ascii="Arial" w:cs="Arial" w:eastAsia="Arial" w:hAnsi="Arial"/>
          <w:sz w:val="22"/>
          <w:szCs w:val="22"/>
        </w:rPr>
        <w:t xml:space="preserve">repayAdvance(uint256 advanceId) — caller must approve MRT transfer to vault first</w:t>
      </w:r>
    </w:p>
    <w:p>
      <w:pPr>
        <w:pStyle w:val="ListParagraph"/>
        <w:numPr>
          <w:ilvl w:val="0"/>
          <w:numId w:val="3"/>
        </w:numPr>
        <w:spacing w:after="60" w:before="60"/>
      </w:pPr>
      <w:r>
        <w:rPr>
          <w:rFonts w:ascii="Arial" w:cs="Arial" w:eastAsia="Arial" w:hAnsi="Arial"/>
          <w:sz w:val="22"/>
          <w:szCs w:val="22"/>
        </w:rPr>
        <w:t xml:space="preserve">autoLiquidate(uint256 advanceId) — callable by anyone after due date (incentivized with 1% of seized NFT value)</w:t>
      </w:r>
    </w:p>
    <w:p>
      <w:pPr>
        <w:pStyle w:val="ListParagraph"/>
        <w:numPr>
          <w:ilvl w:val="0"/>
          <w:numId w:val="3"/>
        </w:numPr>
        <w:spacing w:after="60" w:before="60"/>
      </w:pPr>
      <w:r>
        <w:rPr>
          <w:rFonts w:ascii="Arial" w:cs="Arial" w:eastAsia="Arial" w:hAnsi="Arial"/>
          <w:sz w:val="22"/>
          <w:szCs w:val="22"/>
        </w:rPr>
        <w:t xml:space="preserve">getAdvance(uint256 advanceId) returns (AdvanceData memory)</w:t>
      </w:r>
    </w:p>
    <w:p>
      <w:pPr>
        <w:pStyle w:val="ListParagraph"/>
        <w:numPr>
          <w:ilvl w:val="0"/>
          <w:numId w:val="3"/>
        </w:numPr>
        <w:spacing w:after="60" w:before="60"/>
      </w:pPr>
      <w:r>
        <w:rPr>
          <w:rFonts w:ascii="Arial" w:cs="Arial" w:eastAsia="Arial" w:hAnsi="Arial"/>
          <w:sz w:val="22"/>
          <w:szCs w:val="22"/>
        </w:rPr>
        <w:t xml:space="preserve">getProducerAdvances(address producer) returns (uint256[] memory)</w:t>
      </w:r>
    </w:p>
    <w:p>
      <w:pPr>
        <w:spacing w:after="60" w:before="60"/>
      </w:pPr>
      <w:r>
        <w:t xml:space="preserve"/>
      </w:r>
    </w:p>
    <w:p>
      <w:pPr>
        <w:pStyle w:val="Heading2"/>
        <w:spacing w:after="160" w:before="360"/>
      </w:pPr>
      <w:r>
        <w:rPr>
          <w:rFonts w:ascii="Arial" w:cs="Arial" w:eastAsia="Arial" w:hAnsi="Arial"/>
          <w:b/>
          <w:bCs/>
          <w:color w:val="2E6DA4"/>
          <w:sz w:val="28"/>
          <w:szCs w:val="28"/>
        </w:rPr>
        <w:t xml:space="preserve">CONTRACT 6: ResourceAdvanceVault.sol (Gnosis Chain)</w:t>
      </w:r>
    </w:p>
    <w:p>
      <w:pPr>
        <w:spacing w:after="120" w:before="80"/>
      </w:pPr>
      <w:r>
        <w:rPr>
          <w:rFonts w:ascii="Arial" w:cs="Arial" w:eastAsia="Arial" w:hAnsi="Arial"/>
          <w:sz w:val="22"/>
          <w:szCs w:val="22"/>
        </w:rPr>
        <w:t xml:space="preserve">Channel 3 money creation. Handles tranched advances for resource extractors.</w:t>
      </w:r>
    </w:p>
    <w:p>
      <w:pPr>
        <w:spacing w:after="60" w:before="60"/>
      </w:pPr>
      <w:r>
        <w:t xml:space="preserve"/>
      </w:r>
    </w:p>
    <w:p>
      <w:pPr>
        <w:spacing w:after="80" w:before="200"/>
      </w:pPr>
      <w:r>
        <w:rPr>
          <w:rFonts w:ascii="Arial" w:cs="Arial" w:eastAsia="Arial" w:hAnsi="Arial"/>
          <w:b/>
          <w:bCs/>
          <w:color w:val="B8860B"/>
          <w:sz w:val="22"/>
          <w:szCs w:val="22"/>
        </w:rPr>
        <w:t xml:space="preserve">Advance Lifecycle</w:t>
      </w:r>
    </w:p>
    <w:p>
      <w:pPr>
        <w:pStyle w:val="ListParagraph"/>
        <w:numPr>
          <w:ilvl w:val="0"/>
          <w:numId w:val="2"/>
        </w:numPr>
        <w:spacing w:after="60" w:before="60"/>
      </w:pPr>
      <w:r>
        <w:rPr>
          <w:rFonts w:ascii="Arial" w:cs="Arial" w:eastAsia="Arial" w:hAnsi="Arial"/>
          <w:sz w:val="22"/>
          <w:szCs w:val="22"/>
        </w:rPr>
        <w:t xml:space="preserve">Extractor submits ResourceClaim: { resourceType, massKg, extractionCostMRT, reclamationCostMRT, laborCostMRT, gisDataHash, documentationIPFSHash }</w:t>
      </w:r>
    </w:p>
    <w:p>
      <w:pPr>
        <w:pStyle w:val="ListParagraph"/>
        <w:numPr>
          <w:ilvl w:val="0"/>
          <w:numId w:val="2"/>
        </w:numPr>
        <w:spacing w:after="60" w:before="60"/>
      </w:pPr>
      <w:r>
        <w:rPr>
          <w:rFonts w:ascii="Arial" w:cs="Arial" w:eastAsia="Arial" w:hAnsi="Arial"/>
          <w:sz w:val="22"/>
          <w:szCs w:val="22"/>
        </w:rPr>
        <w:t xml:space="preserve">DAO-staked Resource Validator reviews and signs (or rejects) the claim</w:t>
      </w:r>
    </w:p>
    <w:p>
      <w:pPr>
        <w:pStyle w:val="ListParagraph"/>
        <w:numPr>
          <w:ilvl w:val="0"/>
          <w:numId w:val="2"/>
        </w:numPr>
        <w:spacing w:after="60" w:before="60"/>
      </w:pPr>
      <w:r>
        <w:rPr>
          <w:rFonts w:ascii="Arial" w:cs="Arial" w:eastAsia="Arial" w:hAnsi="Arial"/>
          <w:sz w:val="22"/>
          <w:szCs w:val="22"/>
        </w:rPr>
        <w:t xml:space="preserve">First tranche: 25% of net advance value minted to extractor</w:t>
      </w:r>
    </w:p>
    <w:p>
      <w:pPr>
        <w:pStyle w:val="ListParagraph"/>
        <w:numPr>
          <w:ilvl w:val="0"/>
          <w:numId w:val="2"/>
        </w:numPr>
        <w:spacing w:after="60" w:before="60"/>
      </w:pPr>
      <w:r>
        <w:rPr>
          <w:rFonts w:ascii="Arial" w:cs="Arial" w:eastAsia="Arial" w:hAnsi="Arial"/>
          <w:sz w:val="22"/>
          <w:szCs w:val="22"/>
        </w:rPr>
        <w:t xml:space="preserve">Second tranche (3 months): 25% more, if validator confirms ongoing operations</w:t>
      </w:r>
    </w:p>
    <w:p>
      <w:pPr>
        <w:pStyle w:val="ListParagraph"/>
        <w:numPr>
          <w:ilvl w:val="0"/>
          <w:numId w:val="2"/>
        </w:numPr>
        <w:spacing w:after="60" w:before="60"/>
      </w:pPr>
      <w:r>
        <w:rPr>
          <w:rFonts w:ascii="Arial" w:cs="Arial" w:eastAsia="Arial" w:hAnsi="Arial"/>
          <w:sz w:val="22"/>
          <w:szCs w:val="22"/>
        </w:rPr>
        <w:t xml:space="preserve">Final 50%: released upon sale documentation submission and MRT repayment of prior tranches</w:t>
      </w:r>
    </w:p>
    <w:p>
      <w:pPr>
        <w:pStyle w:val="ListParagraph"/>
        <w:numPr>
          <w:ilvl w:val="0"/>
          <w:numId w:val="2"/>
        </w:numPr>
        <w:spacing w:after="60" w:before="60"/>
      </w:pPr>
      <w:r>
        <w:rPr>
          <w:rFonts w:ascii="Arial" w:cs="Arial" w:eastAsia="Arial" w:hAnsi="Arial"/>
          <w:sz w:val="22"/>
          <w:szCs w:val="22"/>
        </w:rPr>
        <w:t xml:space="preserve">On repayment: full advance amount burned; resource enters economy permanently</w:t>
      </w:r>
    </w:p>
    <w:p>
      <w:pPr>
        <w:spacing w:after="60" w:before="60"/>
      </w:pPr>
      <w:r>
        <w:t xml:space="preserve"/>
      </w:r>
    </w:p>
    <w:p>
      <w:pPr>
        <w:pStyle w:val="Heading2"/>
        <w:spacing w:after="160" w:before="360"/>
      </w:pPr>
      <w:r>
        <w:rPr>
          <w:rFonts w:ascii="Arial" w:cs="Arial" w:eastAsia="Arial" w:hAnsi="Arial"/>
          <w:b/>
          <w:bCs/>
          <w:color w:val="2E6DA4"/>
          <w:sz w:val="28"/>
          <w:szCs w:val="28"/>
        </w:rPr>
        <w:t xml:space="preserve">CONTRACT 7: RecycleCenterRegistry.sol (Gnosis Chain)</w:t>
      </w:r>
    </w:p>
    <w:p>
      <w:pPr>
        <w:spacing w:after="120" w:before="80"/>
      </w:pPr>
      <w:r>
        <w:rPr>
          <w:rFonts w:ascii="Arial" w:cs="Arial" w:eastAsia="Arial" w:hAnsi="Arial"/>
          <w:sz w:val="22"/>
          <w:szCs w:val="22"/>
        </w:rPr>
        <w:t xml:space="preserve">Registry and trust layer for physical Recycle Centers.</w:t>
      </w:r>
    </w:p>
    <w:p>
      <w:pPr>
        <w:spacing w:after="60" w:before="60"/>
      </w:pPr>
      <w:r>
        <w:t xml:space="preserve"/>
      </w:r>
    </w:p>
    <w:p>
      <w:pPr>
        <w:spacing w:after="80" w:before="200"/>
      </w:pPr>
      <w:r>
        <w:rPr>
          <w:rFonts w:ascii="Arial" w:cs="Arial" w:eastAsia="Arial" w:hAnsi="Arial"/>
          <w:b/>
          <w:bCs/>
          <w:color w:val="B8860B"/>
          <w:sz w:val="22"/>
          <w:szCs w:val="22"/>
        </w:rPr>
        <w:t xml:space="preserve">Registration Requirements</w:t>
      </w:r>
    </w:p>
    <w:p>
      <w:pPr>
        <w:pStyle w:val="ListParagraph"/>
        <w:numPr>
          <w:ilvl w:val="0"/>
          <w:numId w:val="3"/>
        </w:numPr>
        <w:spacing w:after="60" w:before="60"/>
      </w:pPr>
      <w:r>
        <w:rPr>
          <w:rFonts w:ascii="Arial" w:cs="Arial" w:eastAsia="Arial" w:hAnsi="Arial"/>
          <w:sz w:val="22"/>
          <w:szCs w:val="22"/>
        </w:rPr>
        <w:t xml:space="preserve">Stake minimum TRMS tokens (DAO-set parameter, initially 50,000 TRMS)</w:t>
      </w:r>
    </w:p>
    <w:p>
      <w:pPr>
        <w:pStyle w:val="ListParagraph"/>
        <w:numPr>
          <w:ilvl w:val="0"/>
          <w:numId w:val="3"/>
        </w:numPr>
        <w:spacing w:after="60" w:before="60"/>
      </w:pPr>
      <w:r>
        <w:rPr>
          <w:rFonts w:ascii="Arial" w:cs="Arial" w:eastAsia="Arial" w:hAnsi="Arial"/>
          <w:sz w:val="22"/>
          <w:szCs w:val="22"/>
        </w:rPr>
        <w:t xml:space="preserve">Submit jurisdiction, physical address, and IoT device public key</w:t>
      </w:r>
    </w:p>
    <w:p>
      <w:pPr>
        <w:pStyle w:val="ListParagraph"/>
        <w:numPr>
          <w:ilvl w:val="0"/>
          <w:numId w:val="3"/>
        </w:numPr>
        <w:spacing w:after="60" w:before="60"/>
      </w:pPr>
      <w:r>
        <w:rPr>
          <w:rFonts w:ascii="Arial" w:cs="Arial" w:eastAsia="Arial" w:hAnsi="Arial"/>
          <w:sz w:val="22"/>
          <w:szCs w:val="22"/>
        </w:rPr>
        <w:t xml:space="preserve">Undergo DAO governance approval vote (3 day fast-track for established recyclers)</w:t>
      </w:r>
    </w:p>
    <w:p>
      <w:pPr>
        <w:pStyle w:val="ListParagraph"/>
        <w:numPr>
          <w:ilvl w:val="0"/>
          <w:numId w:val="3"/>
        </w:numPr>
        <w:spacing w:after="60" w:before="60"/>
      </w:pPr>
      <w:r>
        <w:rPr>
          <w:rFonts w:ascii="Arial" w:cs="Arial" w:eastAsia="Arial" w:hAnsi="Arial"/>
          <w:sz w:val="22"/>
          <w:szCs w:val="22"/>
        </w:rPr>
        <w:t xml:space="preserve">Maintain reputation score above threshold (score decrements on disputes, increments on audits)</w:t>
      </w:r>
    </w:p>
    <w:p>
      <w:pPr>
        <w:spacing w:after="60" w:before="60"/>
      </w:pPr>
      <w:r>
        <w:t xml:space="preserve"/>
      </w:r>
    </w:p>
    <w:p>
      <w:pPr>
        <w:spacing w:after="80" w:before="200"/>
      </w:pPr>
      <w:r>
        <w:rPr>
          <w:rFonts w:ascii="Arial" w:cs="Arial" w:eastAsia="Arial" w:hAnsi="Arial"/>
          <w:b/>
          <w:bCs/>
          <w:color w:val="B8860B"/>
          <w:sz w:val="22"/>
          <w:szCs w:val="22"/>
        </w:rPr>
        <w:t xml:space="preserve">Slashing Conditions</w:t>
      </w:r>
    </w:p>
    <w:p>
      <w:pPr>
        <w:pStyle w:val="ListParagraph"/>
        <w:numPr>
          <w:ilvl w:val="0"/>
          <w:numId w:val="3"/>
        </w:numPr>
        <w:spacing w:after="60" w:before="60"/>
      </w:pPr>
      <w:r>
        <w:rPr>
          <w:rFonts w:ascii="Arial" w:cs="Arial" w:eastAsia="Arial" w:hAnsi="Arial"/>
          <w:sz w:val="22"/>
          <w:szCs w:val="22"/>
        </w:rPr>
        <w:t xml:space="preserve">Confirmed double-minting: 100% stake slash, permanent deregistration</w:t>
      </w:r>
    </w:p>
    <w:p>
      <w:pPr>
        <w:pStyle w:val="ListParagraph"/>
        <w:numPr>
          <w:ilvl w:val="0"/>
          <w:numId w:val="3"/>
        </w:numPr>
        <w:spacing w:after="60" w:before="60"/>
      </w:pPr>
      <w:r>
        <w:rPr>
          <w:rFonts w:ascii="Arial" w:cs="Arial" w:eastAsia="Arial" w:hAnsi="Arial"/>
          <w:sz w:val="22"/>
          <w:szCs w:val="22"/>
        </w:rPr>
        <w:t xml:space="preserve">Failed audit (material mismatch &gt;20%): 25% stake slash, 90-day probation</w:t>
      </w:r>
    </w:p>
    <w:p>
      <w:pPr>
        <w:pStyle w:val="ListParagraph"/>
        <w:numPr>
          <w:ilvl w:val="0"/>
          <w:numId w:val="3"/>
        </w:numPr>
        <w:spacing w:after="60" w:before="60"/>
      </w:pPr>
      <w:r>
        <w:rPr>
          <w:rFonts w:ascii="Arial" w:cs="Arial" w:eastAsia="Arial" w:hAnsi="Arial"/>
          <w:sz w:val="22"/>
          <w:szCs w:val="22"/>
        </w:rPr>
        <w:t xml:space="preserve">Arbitration loss (fraudulent certification): 50% stake slash</w:t>
      </w:r>
    </w:p>
    <w:p>
      <w:pPr>
        <w:spacing w:after="60" w:before="60"/>
      </w:pPr>
      <w:r>
        <w:t xml:space="preserve"/>
      </w:r>
    </w:p>
    <w:p>
      <w:pPr>
        <w:pStyle w:val="Heading2"/>
        <w:spacing w:after="160" w:before="360"/>
      </w:pPr>
      <w:r>
        <w:rPr>
          <w:rFonts w:ascii="Arial" w:cs="Arial" w:eastAsia="Arial" w:hAnsi="Arial"/>
          <w:b/>
          <w:bCs/>
          <w:color w:val="2E6DA4"/>
          <w:sz w:val="28"/>
          <w:szCs w:val="28"/>
        </w:rPr>
        <w:t xml:space="preserve">CONTRACT 8: CommodityOracle.sol (Gnosis Chain)</w:t>
      </w:r>
    </w:p>
    <w:p>
      <w:pPr>
        <w:spacing w:after="120" w:before="80"/>
      </w:pPr>
      <w:r>
        <w:rPr>
          <w:rFonts w:ascii="Arial" w:cs="Arial" w:eastAsia="Arial" w:hAnsi="Arial"/>
          <w:sz w:val="22"/>
          <w:szCs w:val="22"/>
        </w:rPr>
        <w:t xml:space="preserve">Aggregates Chainlink price feeds into the DAO-configured commodity basket price, expressed as MRT per gram of basket.</w:t>
      </w:r>
    </w:p>
    <w:p>
      <w:pPr>
        <w:spacing w:after="60" w:before="60"/>
      </w:pPr>
      <w:r>
        <w:t xml:space="preserve"/>
      </w:r>
    </w:p>
    <w:p>
      <w:pPr>
        <w:spacing w:after="80" w:before="200"/>
      </w:pPr>
      <w:r>
        <w:rPr>
          <w:rFonts w:ascii="Arial" w:cs="Arial" w:eastAsia="Arial" w:hAnsi="Arial"/>
          <w:b/>
          <w:bCs/>
          <w:color w:val="B8860B"/>
          <w:sz w:val="22"/>
          <w:szCs w:val="22"/>
        </w:rPr>
        <w:t xml:space="preserve">Basket Calculation</w:t>
      </w:r>
    </w:p>
    <w:p>
      <w:pPr>
        <w:spacing w:after="120" w:before="80"/>
      </w:pPr>
      <w:r>
        <w:rPr>
          <w:rFonts w:ascii="Arial" w:cs="Arial" w:eastAsia="Arial" w:hAnsi="Arial"/>
          <w:sz w:val="22"/>
          <w:szCs w:val="22"/>
        </w:rPr>
        <w:t xml:space="preserve">basketPriceUSD = Σ (weight[i] * commodityPricePerGram[i]) for i in {GOLD, SILVER, COPPER, ALUMINUM, STEEL}</w:t>
      </w:r>
    </w:p>
    <w:p>
      <w:pPr>
        <w:spacing w:after="120" w:before="80"/>
      </w:pPr>
      <w:r>
        <w:rPr>
          <w:rFonts w:ascii="Arial" w:cs="Arial" w:eastAsia="Arial" w:hAnsi="Arial"/>
          <w:sz w:val="22"/>
          <w:szCs w:val="22"/>
        </w:rPr>
        <w:t xml:space="preserve">1 MRT = basketPriceUSD at time of issuance (stored in each advance record for repayment calculation)</w:t>
      </w:r>
    </w:p>
    <w:p>
      <w:pPr>
        <w:spacing w:after="120" w:before="80"/>
      </w:pPr>
      <w:r>
        <w:rPr>
          <w:rFonts w:ascii="Arial" w:cs="Arial" w:eastAsia="Arial" w:hAnsi="Arial"/>
          <w:sz w:val="22"/>
          <w:szCs w:val="22"/>
        </w:rPr>
        <w:t xml:space="preserve">Price feeds update every 1 hour. If any feed is stale &gt;6 hours, new advances are paused.</w:t>
      </w:r>
    </w:p>
    <w:p>
      <w:pPr>
        <w:spacing w:after="60" w:before="60"/>
      </w:pPr>
      <w:r>
        <w:t xml:space="preserve"/>
      </w:r>
    </w:p>
    <w:p>
      <w:pPr>
        <w:pStyle w:val="Heading2"/>
        <w:spacing w:after="160" w:before="360"/>
      </w:pPr>
      <w:r>
        <w:rPr>
          <w:rFonts w:ascii="Arial" w:cs="Arial" w:eastAsia="Arial" w:hAnsi="Arial"/>
          <w:b/>
          <w:bCs/>
          <w:color w:val="2E6DA4"/>
          <w:sz w:val="28"/>
          <w:szCs w:val="28"/>
        </w:rPr>
        <w:t xml:space="preserve">CONTRACT 9: StabilityModule.sol (Gnosis Chain)</w:t>
      </w:r>
    </w:p>
    <w:p>
      <w:pPr>
        <w:spacing w:after="120" w:before="80"/>
      </w:pPr>
      <w:r>
        <w:rPr>
          <w:rFonts w:ascii="Arial" w:cs="Arial" w:eastAsia="Arial" w:hAnsi="Arial"/>
          <w:sz w:val="22"/>
          <w:szCs w:val="22"/>
        </w:rPr>
        <w:t xml:space="preserve">Maintains MRT's soft peg to the commodity basket. Inspired by MakerDAO's Peg Stability Module.</w:t>
      </w:r>
    </w:p>
    <w:p>
      <w:pPr>
        <w:spacing w:after="60" w:before="60"/>
      </w:pPr>
      <w:r>
        <w:t xml:space="preserve"/>
      </w:r>
    </w:p>
    <w:p>
      <w:pPr>
        <w:spacing w:after="80" w:before="200"/>
      </w:pPr>
      <w:r>
        <w:rPr>
          <w:rFonts w:ascii="Arial" w:cs="Arial" w:eastAsia="Arial" w:hAnsi="Arial"/>
          <w:b/>
          <w:bCs/>
          <w:color w:val="B8860B"/>
          <w:sz w:val="22"/>
          <w:szCs w:val="22"/>
        </w:rPr>
        <w:t xml:space="preserve">Stabilization Mechanisms</w:t>
      </w:r>
    </w:p>
    <w:p>
      <w:pPr>
        <w:pStyle w:val="ListParagraph"/>
        <w:numPr>
          <w:ilvl w:val="0"/>
          <w:numId w:val="3"/>
        </w:numPr>
        <w:spacing w:after="60" w:before="60"/>
      </w:pPr>
      <w:r>
        <w:rPr>
          <w:rFonts w:ascii="Arial" w:cs="Arial" w:eastAsia="Arial" w:hAnsi="Arial"/>
          <w:sz w:val="22"/>
          <w:szCs w:val="22"/>
        </w:rPr>
        <w:t xml:space="preserve">If MRT &gt; basket +2%: issuance fee applied to all new advances (dynamically scales up to 5% surcharge)</w:t>
      </w:r>
    </w:p>
    <w:p>
      <w:pPr>
        <w:pStyle w:val="ListParagraph"/>
        <w:numPr>
          <w:ilvl w:val="0"/>
          <w:numId w:val="3"/>
        </w:numPr>
        <w:spacing w:after="60" w:before="60"/>
      </w:pPr>
      <w:r>
        <w:rPr>
          <w:rFonts w:ascii="Arial" w:cs="Arial" w:eastAsia="Arial" w:hAnsi="Arial"/>
          <w:sz w:val="22"/>
          <w:szCs w:val="22"/>
        </w:rPr>
        <w:t xml:space="preserve">If MRT &lt; basket -2%: discount on material recycling costs to attract MRT burns (up to 5% discount)</w:t>
      </w:r>
    </w:p>
    <w:p>
      <w:pPr>
        <w:pStyle w:val="ListParagraph"/>
        <w:numPr>
          <w:ilvl w:val="0"/>
          <w:numId w:val="3"/>
        </w:numPr>
        <w:spacing w:after="60" w:before="60"/>
      </w:pPr>
      <w:r>
        <w:rPr>
          <w:rFonts w:ascii="Arial" w:cs="Arial" w:eastAsia="Arial" w:hAnsi="Arial"/>
          <w:sz w:val="22"/>
          <w:szCs w:val="22"/>
        </w:rPr>
        <w:t xml:space="preserve">If MRT &lt; basket -10%: emergency DAO vote triggered; StabilityModule can pause all new advances</w:t>
      </w:r>
    </w:p>
    <w:p>
      <w:pPr>
        <w:pStyle w:val="ListParagraph"/>
        <w:numPr>
          <w:ilvl w:val="0"/>
          <w:numId w:val="3"/>
        </w:numPr>
        <w:spacing w:after="60" w:before="60"/>
      </w:pPr>
      <w:r>
        <w:rPr>
          <w:rFonts w:ascii="Arial" w:cs="Arial" w:eastAsia="Arial" w:hAnsi="Arial"/>
          <w:sz w:val="22"/>
          <w:szCs w:val="22"/>
        </w:rPr>
        <w:t xml:space="preserve">Arbitrageurs can deposit commodity-backed assets to the module and receive MRT at par — the module holds the commodity NFTs as collateral and mints/burns MRT to absorb excess demand/supply</w:t>
      </w:r>
    </w:p>
    <w:p>
      <w:pPr>
        <w:spacing w:after="60" w:before="60"/>
      </w:pPr>
      <w:r>
        <w:t xml:space="preserve"/>
      </w:r>
    </w:p>
    <w:p>
      <w:pPr>
        <w:pStyle w:val="Heading2"/>
        <w:spacing w:after="160" w:before="360"/>
      </w:pPr>
      <w:r>
        <w:rPr>
          <w:rFonts w:ascii="Arial" w:cs="Arial" w:eastAsia="Arial" w:hAnsi="Arial"/>
          <w:b/>
          <w:bCs/>
          <w:color w:val="2E6DA4"/>
          <w:sz w:val="28"/>
          <w:szCs w:val="28"/>
        </w:rPr>
        <w:t xml:space="preserve">CONTRACT 10: ArbitrationPanel.sol (Gnosis Chain)</w:t>
      </w:r>
    </w:p>
    <w:p>
      <w:pPr>
        <w:spacing w:after="120" w:before="80"/>
      </w:pPr>
      <w:r>
        <w:rPr>
          <w:rFonts w:ascii="Arial" w:cs="Arial" w:eastAsia="Arial" w:hAnsi="Arial"/>
          <w:sz w:val="22"/>
          <w:szCs w:val="22"/>
        </w:rPr>
        <w:t xml:space="preserve">Decentralized dispute resolution for certification fraud and product recyclability disputes.</w:t>
      </w:r>
    </w:p>
    <w:p>
      <w:pPr>
        <w:spacing w:after="60" w:before="60"/>
      </w:pPr>
      <w:r>
        <w:t xml:space="preserve"/>
      </w:r>
    </w:p>
    <w:p>
      <w:pPr>
        <w:spacing w:after="80" w:before="200"/>
      </w:pPr>
      <w:r>
        <w:rPr>
          <w:rFonts w:ascii="Arial" w:cs="Arial" w:eastAsia="Arial" w:hAnsi="Arial"/>
          <w:b/>
          <w:bCs/>
          <w:color w:val="B8860B"/>
          <w:sz w:val="22"/>
          <w:szCs w:val="22"/>
        </w:rPr>
        <w:t xml:space="preserve">Process</w:t>
      </w:r>
    </w:p>
    <w:p>
      <w:pPr>
        <w:pStyle w:val="ListParagraph"/>
        <w:numPr>
          <w:ilvl w:val="0"/>
          <w:numId w:val="2"/>
        </w:numPr>
        <w:spacing w:after="60" w:before="60"/>
      </w:pPr>
      <w:r>
        <w:rPr>
          <w:rFonts w:ascii="Arial" w:cs="Arial" w:eastAsia="Arial" w:hAnsi="Arial"/>
          <w:sz w:val="22"/>
          <w:szCs w:val="22"/>
        </w:rPr>
        <w:t xml:space="preserve">Dispute filed by any participant; 500 MRT filing bond required (returned if dispute upheld)</w:t>
      </w:r>
    </w:p>
    <w:p>
      <w:pPr>
        <w:pStyle w:val="ListParagraph"/>
        <w:numPr>
          <w:ilvl w:val="0"/>
          <w:numId w:val="2"/>
        </w:numPr>
        <w:spacing w:after="60" w:before="60"/>
      </w:pPr>
      <w:r>
        <w:rPr>
          <w:rFonts w:ascii="Arial" w:cs="Arial" w:eastAsia="Arial" w:hAnsi="Arial"/>
          <w:sz w:val="22"/>
          <w:szCs w:val="22"/>
        </w:rPr>
        <w:t xml:space="preserve">3 certified inspectors randomly selected from staking registry (weighted by reputation score)</w:t>
      </w:r>
    </w:p>
    <w:p>
      <w:pPr>
        <w:pStyle w:val="ListParagraph"/>
        <w:numPr>
          <w:ilvl w:val="0"/>
          <w:numId w:val="2"/>
        </w:numPr>
        <w:spacing w:after="60" w:before="60"/>
      </w:pPr>
      <w:r>
        <w:rPr>
          <w:rFonts w:ascii="Arial" w:cs="Arial" w:eastAsia="Arial" w:hAnsi="Arial"/>
          <w:sz w:val="22"/>
          <w:szCs w:val="22"/>
        </w:rPr>
        <w:t xml:space="preserve">14-day evidence submission window via IPFS-linked documents</w:t>
      </w:r>
    </w:p>
    <w:p>
      <w:pPr>
        <w:pStyle w:val="ListParagraph"/>
        <w:numPr>
          <w:ilvl w:val="0"/>
          <w:numId w:val="2"/>
        </w:numPr>
        <w:spacing w:after="60" w:before="60"/>
      </w:pPr>
      <w:r>
        <w:rPr>
          <w:rFonts w:ascii="Arial" w:cs="Arial" w:eastAsia="Arial" w:hAnsi="Arial"/>
          <w:sz w:val="22"/>
          <w:szCs w:val="22"/>
        </w:rPr>
        <w:t xml:space="preserve">Panel votes; majority decision is final and automatically executed on-chain</w:t>
      </w:r>
    </w:p>
    <w:p>
      <w:pPr>
        <w:pStyle w:val="ListParagraph"/>
        <w:numPr>
          <w:ilvl w:val="0"/>
          <w:numId w:val="2"/>
        </w:numPr>
        <w:spacing w:after="60" w:before="60"/>
      </w:pPr>
      <w:r>
        <w:rPr>
          <w:rFonts w:ascii="Arial" w:cs="Arial" w:eastAsia="Arial" w:hAnsi="Arial"/>
          <w:sz w:val="22"/>
          <w:szCs w:val="22"/>
        </w:rPr>
        <w:t xml:space="preserve">Losing party's bond is split: 50% to winning party, 50% to ProtocolTreasury</w:t>
      </w:r>
    </w:p>
    <w:p>
      <w:pPr>
        <w:pStyle w:val="ListParagraph"/>
        <w:numPr>
          <w:ilvl w:val="0"/>
          <w:numId w:val="2"/>
        </w:numPr>
        <w:spacing w:after="60" w:before="60"/>
      </w:pPr>
      <w:r>
        <w:rPr>
          <w:rFonts w:ascii="Arial" w:cs="Arial" w:eastAsia="Arial" w:hAnsi="Arial"/>
          <w:sz w:val="22"/>
          <w:szCs w:val="22"/>
        </w:rPr>
        <w:t xml:space="preserve">Fraudulent certifications trigger MaterialNFT.slashMaterial() and LaborAdvanceVault repayment enforcement</w:t>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160"/>
              <w:left w:type="dxa" w:w="300"/>
              <w:bottom w:type="dxa" w:w="160"/>
              <w:right w:type="dxa" w:w="300"/>
            </w:tcMar>
          </w:tcPr>
          <w:p>
            <w:pPr>
              <w:jc w:val="center"/>
            </w:pPr>
            <w:r>
              <w:rPr>
                <w:rFonts w:ascii="Arial" w:cs="Arial" w:eastAsia="Arial" w:hAnsi="Arial"/>
                <w:b/>
                <w:bCs/>
                <w:color w:val="FFFFFF"/>
                <w:sz w:val="28"/>
                <w:szCs w:val="28"/>
              </w:rPr>
              <w:t xml:space="preserve">PART 5 — END-TO-END SYSTEM FLOWS</w:t>
            </w:r>
          </w:p>
        </w:tc>
      </w:tr>
    </w:tbl>
    <w:p>
      <w:pPr>
        <w:spacing w:after="60" w:before="60"/>
      </w:pPr>
      <w:r>
        <w:t xml:space="preserve"/>
      </w:r>
    </w:p>
    <w:p>
      <w:pPr>
        <w:pStyle w:val="Heading1"/>
        <w:pBdr>
          <w:bottom w:val="single" w:color="2E6DA4" w:sz="8" w:space="6"/>
        </w:pBdr>
        <w:spacing w:after="200" w:before="480"/>
      </w:pPr>
      <w:r>
        <w:rPr>
          <w:rFonts w:ascii="Arial" w:cs="Arial" w:eastAsia="Arial" w:hAnsi="Arial"/>
          <w:b/>
          <w:bCs/>
          <w:color w:val="1A3A5C"/>
          <w:sz w:val="34"/>
          <w:szCs w:val="34"/>
        </w:rPr>
        <w:t xml:space="preserve">Flow A: Producer Starts a New Business (100% Recyclable Widget)</w:t>
      </w:r>
    </w:p>
    <w:p>
      <w:pPr>
        <w:pStyle w:val="ListParagraph"/>
        <w:numPr>
          <w:ilvl w:val="0"/>
          <w:numId w:val="2"/>
        </w:numPr>
        <w:spacing w:after="60" w:before="60"/>
      </w:pPr>
      <w:r>
        <w:rPr>
          <w:rFonts w:ascii="Arial" w:cs="Arial" w:eastAsia="Arial" w:hAnsi="Arial"/>
          <w:sz w:val="22"/>
          <w:szCs w:val="22"/>
        </w:rPr>
        <w:t xml:space="preserve">Producer registers product SKU in ProductRegistry.sol with Bill of Materials</w:t>
      </w:r>
    </w:p>
    <w:p>
      <w:pPr>
        <w:pStyle w:val="ListParagraph"/>
        <w:numPr>
          <w:ilvl w:val="0"/>
          <w:numId w:val="2"/>
        </w:numPr>
        <w:spacing w:after="60" w:before="60"/>
      </w:pPr>
      <w:r>
        <w:rPr>
          <w:rFonts w:ascii="Arial" w:cs="Arial" w:eastAsia="Arial" w:hAnsi="Arial"/>
          <w:sz w:val="22"/>
          <w:szCs w:val="22"/>
        </w:rPr>
        <w:t xml:space="preserve">DAO-registered inspector certifies 100% recyclable content; signs NFT metadata</w:t>
      </w:r>
    </w:p>
    <w:p>
      <w:pPr>
        <w:pStyle w:val="ListParagraph"/>
        <w:numPr>
          <w:ilvl w:val="0"/>
          <w:numId w:val="2"/>
        </w:numPr>
        <w:spacing w:after="60" w:before="60"/>
      </w:pPr>
      <w:r>
        <w:rPr>
          <w:rFonts w:ascii="Arial" w:cs="Arial" w:eastAsia="Arial" w:hAnsi="Arial"/>
          <w:sz w:val="22"/>
          <w:szCs w:val="22"/>
        </w:rPr>
        <w:t xml:space="preserve">MaterialNFT minted: certifiedValueMRT = full material value - recycling cost</w:t>
      </w:r>
    </w:p>
    <w:p>
      <w:pPr>
        <w:pStyle w:val="ListParagraph"/>
        <w:numPr>
          <w:ilvl w:val="0"/>
          <w:numId w:val="2"/>
        </w:numPr>
        <w:spacing w:after="60" w:before="60"/>
      </w:pPr>
      <w:r>
        <w:rPr>
          <w:rFonts w:ascii="Arial" w:cs="Arial" w:eastAsia="Arial" w:hAnsi="Arial"/>
          <w:sz w:val="22"/>
          <w:szCs w:val="22"/>
        </w:rPr>
        <w:t xml:space="preserve">MRT equivalent minted to producer (Channel 1 — recyclable material benefit: free feedstock)</w:t>
      </w:r>
    </w:p>
    <w:p>
      <w:pPr>
        <w:pStyle w:val="ListParagraph"/>
        <w:numPr>
          <w:ilvl w:val="0"/>
          <w:numId w:val="2"/>
        </w:numPr>
        <w:spacing w:after="60" w:before="60"/>
      </w:pPr>
      <w:r>
        <w:rPr>
          <w:rFonts w:ascii="Arial" w:cs="Arial" w:eastAsia="Arial" w:hAnsi="Arial"/>
          <w:sz w:val="22"/>
          <w:szCs w:val="22"/>
        </w:rPr>
        <w:t xml:space="preserve">Producer claims 50% labor advance from LaborAdvanceVault; second MaterialNFT locked as collateral</w:t>
      </w:r>
    </w:p>
    <w:p>
      <w:pPr>
        <w:pStyle w:val="ListParagraph"/>
        <w:numPr>
          <w:ilvl w:val="0"/>
          <w:numId w:val="2"/>
        </w:numPr>
        <w:spacing w:after="60" w:before="60"/>
      </w:pPr>
      <w:r>
        <w:rPr>
          <w:rFonts w:ascii="Arial" w:cs="Arial" w:eastAsia="Arial" w:hAnsi="Arial"/>
          <w:sz w:val="22"/>
          <w:szCs w:val="22"/>
        </w:rPr>
        <w:t xml:space="preserve">Additional MRT minted to producer for labor advance</w:t>
      </w:r>
    </w:p>
    <w:p>
      <w:pPr>
        <w:pStyle w:val="ListParagraph"/>
        <w:numPr>
          <w:ilvl w:val="0"/>
          <w:numId w:val="2"/>
        </w:numPr>
        <w:spacing w:after="60" w:before="60"/>
      </w:pPr>
      <w:r>
        <w:rPr>
          <w:rFonts w:ascii="Arial" w:cs="Arial" w:eastAsia="Arial" w:hAnsi="Arial"/>
          <w:sz w:val="22"/>
          <w:szCs w:val="22"/>
        </w:rPr>
        <w:t xml:space="preserve">Producer manufactures and sells widget; buyer pays in MRT</w:t>
      </w:r>
    </w:p>
    <w:p>
      <w:pPr>
        <w:pStyle w:val="ListParagraph"/>
        <w:numPr>
          <w:ilvl w:val="0"/>
          <w:numId w:val="2"/>
        </w:numPr>
        <w:spacing w:after="60" w:before="60"/>
      </w:pPr>
      <w:r>
        <w:rPr>
          <w:rFonts w:ascii="Arial" w:cs="Arial" w:eastAsia="Arial" w:hAnsi="Arial"/>
          <w:sz w:val="22"/>
          <w:szCs w:val="22"/>
        </w:rPr>
        <w:t xml:space="preserve">On sale: producer calls repayAdvance(); labor advance MRT burned; collateral NFT released to buyer</w:t>
      </w:r>
    </w:p>
    <w:p>
      <w:pPr>
        <w:pStyle w:val="ListParagraph"/>
        <w:numPr>
          <w:ilvl w:val="0"/>
          <w:numId w:val="2"/>
        </w:numPr>
        <w:spacing w:after="60" w:before="60"/>
      </w:pPr>
      <w:r>
        <w:rPr>
          <w:rFonts w:ascii="Arial" w:cs="Arial" w:eastAsia="Arial" w:hAnsi="Arial"/>
          <w:sz w:val="22"/>
          <w:szCs w:val="22"/>
        </w:rPr>
        <w:t xml:space="preserve">Net result: producer received materials free + 50% labor upfront; full profit on sale; MRT supply contracted after repayment</w:t>
      </w:r>
    </w:p>
    <w:p>
      <w:pPr>
        <w:spacing w:after="60" w:before="60"/>
      </w:pPr>
      <w:r>
        <w:t xml:space="preserve"/>
      </w:r>
    </w:p>
    <w:p>
      <w:pPr>
        <w:pStyle w:val="Heading1"/>
        <w:pBdr>
          <w:bottom w:val="single" w:color="2E6DA4" w:sz="8" w:space="6"/>
        </w:pBdr>
        <w:spacing w:after="200" w:before="480"/>
      </w:pPr>
      <w:r>
        <w:rPr>
          <w:rFonts w:ascii="Arial" w:cs="Arial" w:eastAsia="Arial" w:hAnsi="Arial"/>
          <w:b/>
          <w:bCs/>
          <w:color w:val="1A3A5C"/>
          <w:sz w:val="34"/>
          <w:szCs w:val="34"/>
        </w:rPr>
        <w:t xml:space="preserve">Flow B: Material Recycling Closes the Loop</w:t>
      </w:r>
    </w:p>
    <w:p>
      <w:pPr>
        <w:pStyle w:val="ListParagraph"/>
        <w:numPr>
          <w:ilvl w:val="0"/>
          <w:numId w:val="2"/>
        </w:numPr>
        <w:spacing w:after="60" w:before="60"/>
      </w:pPr>
      <w:r>
        <w:rPr>
          <w:rFonts w:ascii="Arial" w:cs="Arial" w:eastAsia="Arial" w:hAnsi="Arial"/>
          <w:sz w:val="22"/>
          <w:szCs w:val="22"/>
        </w:rPr>
        <w:t xml:space="preserve">Product reaches end of life; owner brings it to a registered Recycle Center</w:t>
      </w:r>
    </w:p>
    <w:p>
      <w:pPr>
        <w:pStyle w:val="ListParagraph"/>
        <w:numPr>
          <w:ilvl w:val="0"/>
          <w:numId w:val="2"/>
        </w:numPr>
        <w:spacing w:after="60" w:before="60"/>
      </w:pPr>
      <w:r>
        <w:rPr>
          <w:rFonts w:ascii="Arial" w:cs="Arial" w:eastAsia="Arial" w:hAnsi="Arial"/>
          <w:sz w:val="22"/>
          <w:szCs w:val="22"/>
        </w:rPr>
        <w:t xml:space="preserve">Center verifies product against MaterialNFT metadata</w:t>
      </w:r>
    </w:p>
    <w:p>
      <w:pPr>
        <w:pStyle w:val="ListParagraph"/>
        <w:numPr>
          <w:ilvl w:val="0"/>
          <w:numId w:val="2"/>
        </w:numPr>
        <w:spacing w:after="60" w:before="60"/>
      </w:pPr>
      <w:r>
        <w:rPr>
          <w:rFonts w:ascii="Arial" w:cs="Arial" w:eastAsia="Arial" w:hAnsi="Arial"/>
          <w:sz w:val="22"/>
          <w:szCs w:val="22"/>
        </w:rPr>
        <w:t xml:space="preserve">Center processes material (IoT device signs the operation)</w:t>
      </w:r>
    </w:p>
    <w:p>
      <w:pPr>
        <w:pStyle w:val="ListParagraph"/>
        <w:numPr>
          <w:ilvl w:val="0"/>
          <w:numId w:val="2"/>
        </w:numPr>
        <w:spacing w:after="60" w:before="60"/>
      </w:pPr>
      <w:r>
        <w:rPr>
          <w:rFonts w:ascii="Arial" w:cs="Arial" w:eastAsia="Arial" w:hAnsi="Arial"/>
          <w:sz w:val="22"/>
          <w:szCs w:val="22"/>
        </w:rPr>
        <w:t xml:space="preserve">MaterialNFT.burnOnRecycle() called; corresponding MRT burned from total supply</w:t>
      </w:r>
    </w:p>
    <w:p>
      <w:pPr>
        <w:pStyle w:val="ListParagraph"/>
        <w:numPr>
          <w:ilvl w:val="0"/>
          <w:numId w:val="2"/>
        </w:numPr>
        <w:spacing w:after="60" w:before="60"/>
      </w:pPr>
      <w:r>
        <w:rPr>
          <w:rFonts w:ascii="Arial" w:cs="Arial" w:eastAsia="Arial" w:hAnsi="Arial"/>
          <w:sz w:val="22"/>
          <w:szCs w:val="22"/>
        </w:rPr>
        <w:t xml:space="preserve">New MRT can be minted against the now-recycled raw material (restart of Flow A)</w:t>
      </w:r>
    </w:p>
    <w:p>
      <w:pPr>
        <w:pStyle w:val="ListParagraph"/>
        <w:numPr>
          <w:ilvl w:val="0"/>
          <w:numId w:val="2"/>
        </w:numPr>
        <w:spacing w:after="60" w:before="60"/>
      </w:pPr>
      <w:r>
        <w:rPr>
          <w:rFonts w:ascii="Arial" w:cs="Arial" w:eastAsia="Arial" w:hAnsi="Arial"/>
          <w:sz w:val="22"/>
          <w:szCs w:val="22"/>
        </w:rPr>
        <w:t xml:space="preserve">Recycle Center receives operational cost reimbursement from ProtocolTreasury</w:t>
      </w:r>
    </w:p>
    <w:p>
      <w:pPr>
        <w:spacing w:after="60" w:before="60"/>
      </w:pPr>
      <w:r>
        <w:t xml:space="preserve"/>
      </w:r>
    </w:p>
    <w:p>
      <w:pPr>
        <w:pStyle w:val="Heading1"/>
        <w:pBdr>
          <w:bottom w:val="single" w:color="2E6DA4" w:sz="8" w:space="6"/>
        </w:pBdr>
        <w:spacing w:after="200" w:before="480"/>
      </w:pPr>
      <w:r>
        <w:rPr>
          <w:rFonts w:ascii="Arial" w:cs="Arial" w:eastAsia="Arial" w:hAnsi="Arial"/>
          <w:b/>
          <w:bCs/>
          <w:color w:val="1A3A5C"/>
          <w:sz w:val="34"/>
          <w:szCs w:val="34"/>
        </w:rPr>
        <w:t xml:space="preserve">Flow C: Natural Resource Extractor Onboards</w:t>
      </w:r>
    </w:p>
    <w:p>
      <w:pPr>
        <w:pStyle w:val="ListParagraph"/>
        <w:numPr>
          <w:ilvl w:val="0"/>
          <w:numId w:val="2"/>
        </w:numPr>
        <w:spacing w:after="60" w:before="60"/>
      </w:pPr>
      <w:r>
        <w:rPr>
          <w:rFonts w:ascii="Arial" w:cs="Arial" w:eastAsia="Arial" w:hAnsi="Arial"/>
          <w:sz w:val="22"/>
          <w:szCs w:val="22"/>
        </w:rPr>
        <w:t xml:space="preserve">Extractor submits ResourceClaim with GIS data and cost documentation to ResourceAdvanceVault</w:t>
      </w:r>
    </w:p>
    <w:p>
      <w:pPr>
        <w:pStyle w:val="ListParagraph"/>
        <w:numPr>
          <w:ilvl w:val="0"/>
          <w:numId w:val="2"/>
        </w:numPr>
        <w:spacing w:after="60" w:before="60"/>
      </w:pPr>
      <w:r>
        <w:rPr>
          <w:rFonts w:ascii="Arial" w:cs="Arial" w:eastAsia="Arial" w:hAnsi="Arial"/>
          <w:sz w:val="22"/>
          <w:szCs w:val="22"/>
        </w:rPr>
        <w:t xml:space="preserve">Staked Resource Validator reviews; approves claim on-chain with signature</w:t>
      </w:r>
    </w:p>
    <w:p>
      <w:pPr>
        <w:pStyle w:val="ListParagraph"/>
        <w:numPr>
          <w:ilvl w:val="0"/>
          <w:numId w:val="2"/>
        </w:numPr>
        <w:spacing w:after="60" w:before="60"/>
      </w:pPr>
      <w:r>
        <w:rPr>
          <w:rFonts w:ascii="Arial" w:cs="Arial" w:eastAsia="Arial" w:hAnsi="Arial"/>
          <w:sz w:val="22"/>
          <w:szCs w:val="22"/>
        </w:rPr>
        <w:t xml:space="preserve">First 25% tranche of MRT advance minted to extractor</w:t>
      </w:r>
    </w:p>
    <w:p>
      <w:pPr>
        <w:pStyle w:val="ListParagraph"/>
        <w:numPr>
          <w:ilvl w:val="0"/>
          <w:numId w:val="2"/>
        </w:numPr>
        <w:spacing w:after="60" w:before="60"/>
      </w:pPr>
      <w:r>
        <w:rPr>
          <w:rFonts w:ascii="Arial" w:cs="Arial" w:eastAsia="Arial" w:hAnsi="Arial"/>
          <w:sz w:val="22"/>
          <w:szCs w:val="22"/>
        </w:rPr>
        <w:t xml:space="preserve">Extractor uses MRT to pay labor and equipment costs within TRMS economy</w:t>
      </w:r>
    </w:p>
    <w:p>
      <w:pPr>
        <w:pStyle w:val="ListParagraph"/>
        <w:numPr>
          <w:ilvl w:val="0"/>
          <w:numId w:val="2"/>
        </w:numPr>
        <w:spacing w:after="60" w:before="60"/>
      </w:pPr>
      <w:r>
        <w:rPr>
          <w:rFonts w:ascii="Arial" w:cs="Arial" w:eastAsia="Arial" w:hAnsi="Arial"/>
          <w:sz w:val="22"/>
          <w:szCs w:val="22"/>
        </w:rPr>
        <w:t xml:space="preserve">At 3 months, validator reconfirms; second 25% tranche released</w:t>
      </w:r>
    </w:p>
    <w:p>
      <w:pPr>
        <w:pStyle w:val="ListParagraph"/>
        <w:numPr>
          <w:ilvl w:val="0"/>
          <w:numId w:val="2"/>
        </w:numPr>
        <w:spacing w:after="60" w:before="60"/>
      </w:pPr>
      <w:r>
        <w:rPr>
          <w:rFonts w:ascii="Arial" w:cs="Arial" w:eastAsia="Arial" w:hAnsi="Arial"/>
          <w:sz w:val="22"/>
          <w:szCs w:val="22"/>
        </w:rPr>
        <w:t xml:space="preserve">Resource sold; extractor repays advance in MRT; remaining 50% tranche released simultaneously</w:t>
      </w:r>
    </w:p>
    <w:p>
      <w:pPr>
        <w:pStyle w:val="ListParagraph"/>
        <w:numPr>
          <w:ilvl w:val="0"/>
          <w:numId w:val="2"/>
        </w:numPr>
        <w:spacing w:after="60" w:before="60"/>
      </w:pPr>
      <w:r>
        <w:rPr>
          <w:rFonts w:ascii="Arial" w:cs="Arial" w:eastAsia="Arial" w:hAnsi="Arial"/>
          <w:sz w:val="22"/>
          <w:szCs w:val="22"/>
        </w:rPr>
        <w:t xml:space="preserve">MRT burned on repayment; resource permanently in economy</w:t>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160"/>
              <w:left w:type="dxa" w:w="300"/>
              <w:bottom w:type="dxa" w:w="160"/>
              <w:right w:type="dxa" w:w="300"/>
            </w:tcMar>
          </w:tcPr>
          <w:p>
            <w:pPr>
              <w:jc w:val="center"/>
            </w:pPr>
            <w:r>
              <w:rPr>
                <w:rFonts w:ascii="Arial" w:cs="Arial" w:eastAsia="Arial" w:hAnsi="Arial"/>
                <w:b/>
                <w:bCs/>
                <w:color w:val="FFFFFF"/>
                <w:sz w:val="28"/>
                <w:szCs w:val="28"/>
              </w:rPr>
              <w:t xml:space="preserve">PART 6 — FRONTEND DAPP SPECIFICATIONS</w:t>
            </w:r>
          </w:p>
        </w:tc>
      </w:tr>
    </w:tbl>
    <w:p>
      <w:pPr>
        <w:spacing w:after="60" w:before="60"/>
      </w:pPr>
      <w:r>
        <w:t xml:space="preserve"/>
      </w:r>
    </w:p>
    <w:p>
      <w:pPr>
        <w:pStyle w:val="Heading1"/>
        <w:pBdr>
          <w:bottom w:val="single" w:color="2E6DA4" w:sz="8" w:space="6"/>
        </w:pBdr>
        <w:spacing w:after="200" w:before="480"/>
      </w:pPr>
      <w:r>
        <w:rPr>
          <w:rFonts w:ascii="Arial" w:cs="Arial" w:eastAsia="Arial" w:hAnsi="Arial"/>
          <w:b/>
          <w:bCs/>
          <w:color w:val="1A3A5C"/>
          <w:sz w:val="34"/>
          <w:szCs w:val="34"/>
        </w:rPr>
        <w:t xml:space="preserve">Required DApps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DApp</w:t>
            </w:r>
          </w:p>
        </w:tc>
        <w:tc>
          <w:tcPr>
            <w:tcW w:type="dxa" w:w="29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Primary User</w:t>
            </w:r>
          </w:p>
        </w:tc>
        <w:tc>
          <w:tcPr>
            <w:tcW w:type="dxa" w:w="40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Core Functions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TRMS Governance Portal</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TRMS Token Holders</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Proposal creation, voting, delegation, vesting dashboard</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Producer Dashboard</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Manufacturers</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Product registration, NFT management, advance requests, repayment</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Recycle Center Portal</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Center Operators</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Material intake logging, NFT minting, audit logs, reputation</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Resource Extractor Portal</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Miners/Extractors</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Claim submission, tranche tracking, repayment</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Open Marketplace</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All Users</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Buy/sell goods in MRT, browse product NFT provenance</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Inspector Panel</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Certified Inspectors</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Certification review, dispute voting, staking management</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Analytics Dashboard</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Public</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MRT supply, AUR ratio, commodity basket, economic health</w:t>
            </w:r>
          </w:p>
        </w:tc>
      </w:tr>
    </w:tbl>
    <w:p>
      <w:pPr>
        <w:spacing w:after="60" w:before="60"/>
      </w:pPr>
      <w:r>
        <w:t xml:space="preserve"/>
      </w:r>
    </w:p>
    <w:p>
      <w:pPr>
        <w:spacing w:after="120" w:before="80"/>
      </w:pPr>
      <w:r>
        <w:rPr>
          <w:rFonts w:ascii="Arial" w:cs="Arial" w:eastAsia="Arial" w:hAnsi="Arial"/>
          <w:sz w:val="22"/>
          <w:szCs w:val="22"/>
        </w:rPr>
        <w:t xml:space="preserve">All DApps: React/Next.js frontend, wagmi + viem for wallet interaction, The Graph for indexed on-chain data, IPFS/Filecoin for document storage (BoM, GIS data, dispute evidence). Mobile-first design. Support MetaMask, WalletConnect, and Gnosis Safe.</w:t>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160"/>
              <w:left w:type="dxa" w:w="300"/>
              <w:bottom w:type="dxa" w:w="160"/>
              <w:right w:type="dxa" w:w="300"/>
            </w:tcMar>
          </w:tcPr>
          <w:p>
            <w:pPr>
              <w:jc w:val="center"/>
            </w:pPr>
            <w:r>
              <w:rPr>
                <w:rFonts w:ascii="Arial" w:cs="Arial" w:eastAsia="Arial" w:hAnsi="Arial"/>
                <w:b/>
                <w:bCs/>
                <w:color w:val="FFFFFF"/>
                <w:sz w:val="28"/>
                <w:szCs w:val="28"/>
              </w:rPr>
              <w:t xml:space="preserve">PART 7 — IMPLEMENTATION ROADMAP</w:t>
            </w:r>
          </w:p>
        </w:tc>
      </w:tr>
    </w:tbl>
    <w:p>
      <w:pPr>
        <w:spacing w:after="60" w:before="60"/>
      </w:pPr>
      <w:r>
        <w:t xml:space="preserve"/>
      </w:r>
    </w:p>
    <w:p>
      <w:pPr>
        <w:pStyle w:val="Heading1"/>
        <w:pBdr>
          <w:bottom w:val="single" w:color="2E6DA4" w:sz="8" w:space="6"/>
        </w:pBdr>
        <w:spacing w:after="200" w:before="480"/>
      </w:pPr>
      <w:r>
        <w:rPr>
          <w:rFonts w:ascii="Arial" w:cs="Arial" w:eastAsia="Arial" w:hAnsi="Arial"/>
          <w:b/>
          <w:bCs/>
          <w:color w:val="1A3A5C"/>
          <w:sz w:val="34"/>
          <w:szCs w:val="34"/>
        </w:rPr>
        <w:t xml:space="preserve">Phase 1 — Foundation (Months 1-3)</w:t>
      </w:r>
    </w:p>
    <w:p>
      <w:pPr>
        <w:pStyle w:val="ListParagraph"/>
        <w:numPr>
          <w:ilvl w:val="0"/>
          <w:numId w:val="3"/>
        </w:numPr>
        <w:spacing w:after="60" w:before="60"/>
      </w:pPr>
      <w:r>
        <w:rPr>
          <w:rFonts w:ascii="Arial" w:cs="Arial" w:eastAsia="Arial" w:hAnsi="Arial"/>
          <w:sz w:val="22"/>
          <w:szCs w:val="22"/>
        </w:rPr>
        <w:t xml:space="preserve">Deploy TRMSToken.sol and TRMSDao.sol on Ethereum Mainnet</w:t>
      </w:r>
    </w:p>
    <w:p>
      <w:pPr>
        <w:pStyle w:val="ListParagraph"/>
        <w:numPr>
          <w:ilvl w:val="0"/>
          <w:numId w:val="3"/>
        </w:numPr>
        <w:spacing w:after="60" w:before="60"/>
      </w:pPr>
      <w:r>
        <w:rPr>
          <w:rFonts w:ascii="Arial" w:cs="Arial" w:eastAsia="Arial" w:hAnsi="Arial"/>
          <w:sz w:val="22"/>
          <w:szCs w:val="22"/>
        </w:rPr>
        <w:t xml:space="preserve">Deploy MRTToken.sol and MaterialNFT.sol on Gnosis Chain (testnet first)</w:t>
      </w:r>
    </w:p>
    <w:p>
      <w:pPr>
        <w:pStyle w:val="ListParagraph"/>
        <w:numPr>
          <w:ilvl w:val="0"/>
          <w:numId w:val="3"/>
        </w:numPr>
        <w:spacing w:after="60" w:before="60"/>
      </w:pPr>
      <w:r>
        <w:rPr>
          <w:rFonts w:ascii="Arial" w:cs="Arial" w:eastAsia="Arial" w:hAnsi="Arial"/>
          <w:sz w:val="22"/>
          <w:szCs w:val="22"/>
        </w:rPr>
        <w:t xml:space="preserve">Deploy BridgeRelay.sol and ParameterStore.sol</w:t>
      </w:r>
    </w:p>
    <w:p>
      <w:pPr>
        <w:pStyle w:val="ListParagraph"/>
        <w:numPr>
          <w:ilvl w:val="0"/>
          <w:numId w:val="3"/>
        </w:numPr>
        <w:spacing w:after="60" w:before="60"/>
      </w:pPr>
      <w:r>
        <w:rPr>
          <w:rFonts w:ascii="Arial" w:cs="Arial" w:eastAsia="Arial" w:hAnsi="Arial"/>
          <w:sz w:val="22"/>
          <w:szCs w:val="22"/>
        </w:rPr>
        <w:t xml:space="preserve">Internal security audit; fix all findings</w:t>
      </w:r>
    </w:p>
    <w:p>
      <w:pPr>
        <w:pStyle w:val="ListParagraph"/>
        <w:numPr>
          <w:ilvl w:val="0"/>
          <w:numId w:val="3"/>
        </w:numPr>
        <w:spacing w:after="60" w:before="60"/>
      </w:pPr>
      <w:r>
        <w:rPr>
          <w:rFonts w:ascii="Arial" w:cs="Arial" w:eastAsia="Arial" w:hAnsi="Arial"/>
          <w:sz w:val="22"/>
          <w:szCs w:val="22"/>
        </w:rPr>
        <w:t xml:space="preserve">Governance Portal DApp launched for TRMS holders</w:t>
      </w:r>
    </w:p>
    <w:p>
      <w:pPr>
        <w:pStyle w:val="ListParagraph"/>
        <w:numPr>
          <w:ilvl w:val="0"/>
          <w:numId w:val="3"/>
        </w:numPr>
        <w:spacing w:after="60" w:before="60"/>
      </w:pPr>
      <w:r>
        <w:rPr>
          <w:rFonts w:ascii="Arial" w:cs="Arial" w:eastAsia="Arial" w:hAnsi="Arial"/>
          <w:sz w:val="22"/>
          <w:szCs w:val="22"/>
        </w:rPr>
        <w:t xml:space="preserve">Recruit 10 founding Recycle Center operators for pilot</w:t>
      </w:r>
    </w:p>
    <w:p>
      <w:pPr>
        <w:spacing w:after="60" w:before="60"/>
      </w:pPr>
      <w:r>
        <w:t xml:space="preserve"/>
      </w:r>
    </w:p>
    <w:p>
      <w:pPr>
        <w:pStyle w:val="Heading1"/>
        <w:pBdr>
          <w:bottom w:val="single" w:color="2E6DA4" w:sz="8" w:space="6"/>
        </w:pBdr>
        <w:spacing w:after="200" w:before="480"/>
      </w:pPr>
      <w:r>
        <w:rPr>
          <w:rFonts w:ascii="Arial" w:cs="Arial" w:eastAsia="Arial" w:hAnsi="Arial"/>
          <w:b/>
          <w:bCs/>
          <w:color w:val="1A3A5C"/>
          <w:sz w:val="34"/>
          <w:szCs w:val="34"/>
        </w:rPr>
        <w:t xml:space="preserve">Phase 2 — Pilot Economy (Months 4-6)</w:t>
      </w:r>
    </w:p>
    <w:p>
      <w:pPr>
        <w:pStyle w:val="ListParagraph"/>
        <w:numPr>
          <w:ilvl w:val="0"/>
          <w:numId w:val="3"/>
        </w:numPr>
        <w:spacing w:after="60" w:before="60"/>
      </w:pPr>
      <w:r>
        <w:rPr>
          <w:rFonts w:ascii="Arial" w:cs="Arial" w:eastAsia="Arial" w:hAnsi="Arial"/>
          <w:sz w:val="22"/>
          <w:szCs w:val="22"/>
        </w:rPr>
        <w:t xml:space="preserve">Deploy RecycleCenterRegistry, ProductRegistry, LaborAdvanceVault on Gnosis Mainnet</w:t>
      </w:r>
    </w:p>
    <w:p>
      <w:pPr>
        <w:pStyle w:val="ListParagraph"/>
        <w:numPr>
          <w:ilvl w:val="0"/>
          <w:numId w:val="3"/>
        </w:numPr>
        <w:spacing w:after="60" w:before="60"/>
      </w:pPr>
      <w:r>
        <w:rPr>
          <w:rFonts w:ascii="Arial" w:cs="Arial" w:eastAsia="Arial" w:hAnsi="Arial"/>
          <w:sz w:val="22"/>
          <w:szCs w:val="22"/>
        </w:rPr>
        <w:t xml:space="preserve">10 pilot Recycle Centers onboarded with IoT devices</w:t>
      </w:r>
    </w:p>
    <w:p>
      <w:pPr>
        <w:pStyle w:val="ListParagraph"/>
        <w:numPr>
          <w:ilvl w:val="0"/>
          <w:numId w:val="3"/>
        </w:numPr>
        <w:spacing w:after="60" w:before="60"/>
      </w:pPr>
      <w:r>
        <w:rPr>
          <w:rFonts w:ascii="Arial" w:cs="Arial" w:eastAsia="Arial" w:hAnsi="Arial"/>
          <w:sz w:val="22"/>
          <w:szCs w:val="22"/>
        </w:rPr>
        <w:t xml:space="preserve">First 100 product NFTs minted</w:t>
      </w:r>
    </w:p>
    <w:p>
      <w:pPr>
        <w:pStyle w:val="ListParagraph"/>
        <w:numPr>
          <w:ilvl w:val="0"/>
          <w:numId w:val="3"/>
        </w:numPr>
        <w:spacing w:after="60" w:before="60"/>
      </w:pPr>
      <w:r>
        <w:rPr>
          <w:rFonts w:ascii="Arial" w:cs="Arial" w:eastAsia="Arial" w:hAnsi="Arial"/>
          <w:sz w:val="22"/>
          <w:szCs w:val="22"/>
        </w:rPr>
        <w:t xml:space="preserve">Producer Dashboard and Recycle Center Portal launched</w:t>
      </w:r>
    </w:p>
    <w:p>
      <w:pPr>
        <w:pStyle w:val="ListParagraph"/>
        <w:numPr>
          <w:ilvl w:val="0"/>
          <w:numId w:val="3"/>
        </w:numPr>
        <w:spacing w:after="60" w:before="60"/>
      </w:pPr>
      <w:r>
        <w:rPr>
          <w:rFonts w:ascii="Arial" w:cs="Arial" w:eastAsia="Arial" w:hAnsi="Arial"/>
          <w:sz w:val="22"/>
          <w:szCs w:val="22"/>
        </w:rPr>
        <w:t xml:space="preserve">CommodityOracle deployed with Chainlink feeds</w:t>
      </w:r>
    </w:p>
    <w:p>
      <w:pPr>
        <w:pStyle w:val="ListParagraph"/>
        <w:numPr>
          <w:ilvl w:val="0"/>
          <w:numId w:val="3"/>
        </w:numPr>
        <w:spacing w:after="60" w:before="60"/>
      </w:pPr>
      <w:r>
        <w:rPr>
          <w:rFonts w:ascii="Arial" w:cs="Arial" w:eastAsia="Arial" w:hAnsi="Arial"/>
          <w:sz w:val="22"/>
          <w:szCs w:val="22"/>
        </w:rPr>
        <w:t xml:space="preserve">First labor advances issued; first repayments processed</w:t>
      </w:r>
    </w:p>
    <w:p>
      <w:pPr>
        <w:pStyle w:val="ListParagraph"/>
        <w:numPr>
          <w:ilvl w:val="0"/>
          <w:numId w:val="3"/>
        </w:numPr>
        <w:spacing w:after="60" w:before="60"/>
      </w:pPr>
      <w:r>
        <w:rPr>
          <w:rFonts w:ascii="Arial" w:cs="Arial" w:eastAsia="Arial" w:hAnsi="Arial"/>
          <w:sz w:val="22"/>
          <w:szCs w:val="22"/>
        </w:rPr>
        <w:t xml:space="preserve">External smart contract audit (Certik or Trail of Bits)</w:t>
      </w:r>
    </w:p>
    <w:p>
      <w:pPr>
        <w:spacing w:after="60" w:before="60"/>
      </w:pPr>
      <w:r>
        <w:t xml:space="preserve"/>
      </w:r>
    </w:p>
    <w:p>
      <w:pPr>
        <w:pStyle w:val="Heading1"/>
        <w:pBdr>
          <w:bottom w:val="single" w:color="2E6DA4" w:sz="8" w:space="6"/>
        </w:pBdr>
        <w:spacing w:after="200" w:before="480"/>
      </w:pPr>
      <w:r>
        <w:rPr>
          <w:rFonts w:ascii="Arial" w:cs="Arial" w:eastAsia="Arial" w:hAnsi="Arial"/>
          <w:b/>
          <w:bCs/>
          <w:color w:val="1A3A5C"/>
          <w:sz w:val="34"/>
          <w:szCs w:val="34"/>
        </w:rPr>
        <w:t xml:space="preserve">Phase 3 — Full Protocol (Months 7-12)</w:t>
      </w:r>
    </w:p>
    <w:p>
      <w:pPr>
        <w:pStyle w:val="ListParagraph"/>
        <w:numPr>
          <w:ilvl w:val="0"/>
          <w:numId w:val="3"/>
        </w:numPr>
        <w:spacing w:after="60" w:before="60"/>
      </w:pPr>
      <w:r>
        <w:rPr>
          <w:rFonts w:ascii="Arial" w:cs="Arial" w:eastAsia="Arial" w:hAnsi="Arial"/>
          <w:sz w:val="22"/>
          <w:szCs w:val="22"/>
        </w:rPr>
        <w:t xml:space="preserve">Deploy ResourceAdvanceVault; first resource extractor claims</w:t>
      </w:r>
    </w:p>
    <w:p>
      <w:pPr>
        <w:pStyle w:val="ListParagraph"/>
        <w:numPr>
          <w:ilvl w:val="0"/>
          <w:numId w:val="3"/>
        </w:numPr>
        <w:spacing w:after="60" w:before="60"/>
      </w:pPr>
      <w:r>
        <w:rPr>
          <w:rFonts w:ascii="Arial" w:cs="Arial" w:eastAsia="Arial" w:hAnsi="Arial"/>
          <w:sz w:val="22"/>
          <w:szCs w:val="22"/>
        </w:rPr>
        <w:t xml:space="preserve">StabilityModule activated</w:t>
      </w:r>
    </w:p>
    <w:p>
      <w:pPr>
        <w:pStyle w:val="ListParagraph"/>
        <w:numPr>
          <w:ilvl w:val="0"/>
          <w:numId w:val="3"/>
        </w:numPr>
        <w:spacing w:after="60" w:before="60"/>
      </w:pPr>
      <w:r>
        <w:rPr>
          <w:rFonts w:ascii="Arial" w:cs="Arial" w:eastAsia="Arial" w:hAnsi="Arial"/>
          <w:sz w:val="22"/>
          <w:szCs w:val="22"/>
        </w:rPr>
        <w:t xml:space="preserve">ArbitrationPanel deployed; first inspectors staked</w:t>
      </w:r>
    </w:p>
    <w:p>
      <w:pPr>
        <w:pStyle w:val="ListParagraph"/>
        <w:numPr>
          <w:ilvl w:val="0"/>
          <w:numId w:val="3"/>
        </w:numPr>
        <w:spacing w:after="60" w:before="60"/>
      </w:pPr>
      <w:r>
        <w:rPr>
          <w:rFonts w:ascii="Arial" w:cs="Arial" w:eastAsia="Arial" w:hAnsi="Arial"/>
          <w:sz w:val="22"/>
          <w:szCs w:val="22"/>
        </w:rPr>
        <w:t xml:space="preserve">Open Marketplace launched</w:t>
      </w:r>
    </w:p>
    <w:p>
      <w:pPr>
        <w:pStyle w:val="ListParagraph"/>
        <w:numPr>
          <w:ilvl w:val="0"/>
          <w:numId w:val="3"/>
        </w:numPr>
        <w:spacing w:after="60" w:before="60"/>
      </w:pPr>
      <w:r>
        <w:rPr>
          <w:rFonts w:ascii="Arial" w:cs="Arial" w:eastAsia="Arial" w:hAnsi="Arial"/>
          <w:sz w:val="22"/>
          <w:szCs w:val="22"/>
        </w:rPr>
        <w:t xml:space="preserve">ComplianceModule integrated</w:t>
      </w:r>
    </w:p>
    <w:p>
      <w:pPr>
        <w:pStyle w:val="ListParagraph"/>
        <w:numPr>
          <w:ilvl w:val="0"/>
          <w:numId w:val="3"/>
        </w:numPr>
        <w:spacing w:after="60" w:before="60"/>
      </w:pPr>
      <w:r>
        <w:rPr>
          <w:rFonts w:ascii="Arial" w:cs="Arial" w:eastAsia="Arial" w:hAnsi="Arial"/>
          <w:sz w:val="22"/>
          <w:szCs w:val="22"/>
        </w:rPr>
        <w:t xml:space="preserve">Analytics Dashboard public</w:t>
      </w:r>
    </w:p>
    <w:p>
      <w:pPr>
        <w:pStyle w:val="ListParagraph"/>
        <w:numPr>
          <w:ilvl w:val="0"/>
          <w:numId w:val="3"/>
        </w:numPr>
        <w:spacing w:after="60" w:before="60"/>
      </w:pPr>
      <w:r>
        <w:rPr>
          <w:rFonts w:ascii="Arial" w:cs="Arial" w:eastAsia="Arial" w:hAnsi="Arial"/>
          <w:sz w:val="22"/>
          <w:szCs w:val="22"/>
        </w:rPr>
        <w:t xml:space="preserve">Milestone governance vesting triggers evaluated</w:t>
      </w:r>
    </w:p>
    <w:p>
      <w:pPr>
        <w:spacing w:after="60" w:before="60"/>
      </w:pPr>
      <w:r>
        <w:t xml:space="preserve"/>
      </w:r>
    </w:p>
    <w:p>
      <w:pPr>
        <w:pStyle w:val="Heading1"/>
        <w:pBdr>
          <w:bottom w:val="single" w:color="2E6DA4" w:sz="8" w:space="6"/>
        </w:pBdr>
        <w:spacing w:after="200" w:before="480"/>
      </w:pPr>
      <w:r>
        <w:rPr>
          <w:rFonts w:ascii="Arial" w:cs="Arial" w:eastAsia="Arial" w:hAnsi="Arial"/>
          <w:b/>
          <w:bCs/>
          <w:color w:val="1A3A5C"/>
          <w:sz w:val="34"/>
          <w:szCs w:val="34"/>
        </w:rPr>
        <w:t xml:space="preserve">Phase 4 — Scale (Year 2+)</w:t>
      </w:r>
    </w:p>
    <w:p>
      <w:pPr>
        <w:pStyle w:val="ListParagraph"/>
        <w:numPr>
          <w:ilvl w:val="0"/>
          <w:numId w:val="3"/>
        </w:numPr>
        <w:spacing w:after="60" w:before="60"/>
      </w:pPr>
      <w:r>
        <w:rPr>
          <w:rFonts w:ascii="Arial" w:cs="Arial" w:eastAsia="Arial" w:hAnsi="Arial"/>
          <w:sz w:val="22"/>
          <w:szCs w:val="22"/>
        </w:rPr>
        <w:t xml:space="preserve">Multi-language localization for Latin America, Africa, Southeast Asia focus regions</w:t>
      </w:r>
    </w:p>
    <w:p>
      <w:pPr>
        <w:pStyle w:val="ListParagraph"/>
        <w:numPr>
          <w:ilvl w:val="0"/>
          <w:numId w:val="3"/>
        </w:numPr>
        <w:spacing w:after="60" w:before="60"/>
      </w:pPr>
      <w:r>
        <w:rPr>
          <w:rFonts w:ascii="Arial" w:cs="Arial" w:eastAsia="Arial" w:hAnsi="Arial"/>
          <w:sz w:val="22"/>
          <w:szCs w:val="22"/>
        </w:rPr>
        <w:t xml:space="preserve">Mobile native apps (React Native)</w:t>
      </w:r>
    </w:p>
    <w:p>
      <w:pPr>
        <w:pStyle w:val="ListParagraph"/>
        <w:numPr>
          <w:ilvl w:val="0"/>
          <w:numId w:val="3"/>
        </w:numPr>
        <w:spacing w:after="60" w:before="60"/>
      </w:pPr>
      <w:r>
        <w:rPr>
          <w:rFonts w:ascii="Arial" w:cs="Arial" w:eastAsia="Arial" w:hAnsi="Arial"/>
          <w:sz w:val="22"/>
          <w:szCs w:val="22"/>
        </w:rPr>
        <w:t xml:space="preserve">Integration with physical supply chain standards (GS1, ISO 14040 LCA)</w:t>
      </w:r>
    </w:p>
    <w:p>
      <w:pPr>
        <w:pStyle w:val="ListParagraph"/>
        <w:numPr>
          <w:ilvl w:val="0"/>
          <w:numId w:val="3"/>
        </w:numPr>
        <w:spacing w:after="60" w:before="60"/>
      </w:pPr>
      <w:r>
        <w:rPr>
          <w:rFonts w:ascii="Arial" w:cs="Arial" w:eastAsia="Arial" w:hAnsi="Arial"/>
          <w:sz w:val="22"/>
          <w:szCs w:val="22"/>
        </w:rPr>
        <w:t xml:space="preserve">DAO Treasury begins grant program for aligned DApp developers</w:t>
      </w:r>
    </w:p>
    <w:p>
      <w:pPr>
        <w:pStyle w:val="ListParagraph"/>
        <w:numPr>
          <w:ilvl w:val="0"/>
          <w:numId w:val="3"/>
        </w:numPr>
        <w:spacing w:after="60" w:before="60"/>
      </w:pPr>
      <w:r>
        <w:rPr>
          <w:rFonts w:ascii="Arial" w:cs="Arial" w:eastAsia="Arial" w:hAnsi="Arial"/>
          <w:sz w:val="22"/>
          <w:szCs w:val="22"/>
        </w:rPr>
        <w:t xml:space="preserve">Evaluate migration of Gnosis Chain state to a dedicated TRMS L2 rollup if volume warrants</w:t>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160"/>
              <w:left w:type="dxa" w:w="300"/>
              <w:bottom w:type="dxa" w:w="160"/>
              <w:right w:type="dxa" w:w="300"/>
            </w:tcMar>
          </w:tcPr>
          <w:p>
            <w:pPr>
              <w:jc w:val="center"/>
            </w:pPr>
            <w:r>
              <w:rPr>
                <w:rFonts w:ascii="Arial" w:cs="Arial" w:eastAsia="Arial" w:hAnsi="Arial"/>
                <w:b/>
                <w:bCs/>
                <w:color w:val="FFFFFF"/>
                <w:sz w:val="28"/>
                <w:szCs w:val="28"/>
              </w:rPr>
              <w:t xml:space="preserve">PART 8 — SECURITY REQUIREMENTS</w:t>
            </w:r>
          </w:p>
        </w:tc>
      </w:tr>
    </w:tbl>
    <w:p>
      <w:pPr>
        <w:spacing w:after="60" w:before="60"/>
      </w:pPr>
      <w:r>
        <w:t xml:space="preserve"/>
      </w:r>
    </w:p>
    <w:p>
      <w:pPr>
        <w:pStyle w:val="Heading1"/>
        <w:pBdr>
          <w:bottom w:val="single" w:color="2E6DA4" w:sz="8" w:space="6"/>
        </w:pBdr>
        <w:spacing w:after="200" w:before="480"/>
      </w:pPr>
      <w:r>
        <w:rPr>
          <w:rFonts w:ascii="Arial" w:cs="Arial" w:eastAsia="Arial" w:hAnsi="Arial"/>
          <w:b/>
          <w:bCs/>
          <w:color w:val="1A3A5C"/>
          <w:sz w:val="34"/>
          <w:szCs w:val="34"/>
        </w:rPr>
        <w:t xml:space="preserve">Smart Contract Security</w:t>
      </w:r>
    </w:p>
    <w:p>
      <w:pPr>
        <w:pStyle w:val="ListParagraph"/>
        <w:numPr>
          <w:ilvl w:val="0"/>
          <w:numId w:val="3"/>
        </w:numPr>
        <w:spacing w:after="60" w:before="60"/>
      </w:pPr>
      <w:r>
        <w:rPr>
          <w:rFonts w:ascii="Arial" w:cs="Arial" w:eastAsia="Arial" w:hAnsi="Arial"/>
          <w:sz w:val="22"/>
          <w:szCs w:val="22"/>
        </w:rPr>
        <w:t xml:space="preserve">All contracts use OpenZeppelin audited base implementations</w:t>
      </w:r>
    </w:p>
    <w:p>
      <w:pPr>
        <w:pStyle w:val="ListParagraph"/>
        <w:numPr>
          <w:ilvl w:val="0"/>
          <w:numId w:val="3"/>
        </w:numPr>
        <w:spacing w:after="60" w:before="60"/>
      </w:pPr>
      <w:r>
        <w:rPr>
          <w:rFonts w:ascii="Arial" w:cs="Arial" w:eastAsia="Arial" w:hAnsi="Arial"/>
          <w:sz w:val="22"/>
          <w:szCs w:val="22"/>
        </w:rPr>
        <w:t xml:space="preserve">ReentrancyGuard on all vault functions (advance request, repay, liquidate)</w:t>
      </w:r>
    </w:p>
    <w:p>
      <w:pPr>
        <w:pStyle w:val="ListParagraph"/>
        <w:numPr>
          <w:ilvl w:val="0"/>
          <w:numId w:val="3"/>
        </w:numPr>
        <w:spacing w:after="60" w:before="60"/>
      </w:pPr>
      <w:r>
        <w:rPr>
          <w:rFonts w:ascii="Arial" w:cs="Arial" w:eastAsia="Arial" w:hAnsi="Arial"/>
          <w:sz w:val="22"/>
          <w:szCs w:val="22"/>
        </w:rPr>
        <w:t xml:space="preserve">Checks-Effects-Interactions pattern strictly enforced</w:t>
      </w:r>
    </w:p>
    <w:p>
      <w:pPr>
        <w:pStyle w:val="ListParagraph"/>
        <w:numPr>
          <w:ilvl w:val="0"/>
          <w:numId w:val="3"/>
        </w:numPr>
        <w:spacing w:after="60" w:before="60"/>
      </w:pPr>
      <w:r>
        <w:rPr>
          <w:rFonts w:ascii="Arial" w:cs="Arial" w:eastAsia="Arial" w:hAnsi="Arial"/>
          <w:sz w:val="22"/>
          <w:szCs w:val="22"/>
        </w:rPr>
        <w:t xml:space="preserve">No unchecked external calls; all return values checked</w:t>
      </w:r>
    </w:p>
    <w:p>
      <w:pPr>
        <w:pStyle w:val="ListParagraph"/>
        <w:numPr>
          <w:ilvl w:val="0"/>
          <w:numId w:val="3"/>
        </w:numPr>
        <w:spacing w:after="60" w:before="60"/>
      </w:pPr>
      <w:r>
        <w:rPr>
          <w:rFonts w:ascii="Arial" w:cs="Arial" w:eastAsia="Arial" w:hAnsi="Arial"/>
          <w:sz w:val="22"/>
          <w:szCs w:val="22"/>
        </w:rPr>
        <w:t xml:space="preserve">Access control via OpenZeppelin AccessControl (no Ownable — too centralized)</w:t>
      </w:r>
    </w:p>
    <w:p>
      <w:pPr>
        <w:pStyle w:val="ListParagraph"/>
        <w:numPr>
          <w:ilvl w:val="0"/>
          <w:numId w:val="3"/>
        </w:numPr>
        <w:spacing w:after="60" w:before="60"/>
      </w:pPr>
      <w:r>
        <w:rPr>
          <w:rFonts w:ascii="Arial" w:cs="Arial" w:eastAsia="Arial" w:hAnsi="Arial"/>
          <w:sz w:val="22"/>
          <w:szCs w:val="22"/>
        </w:rPr>
        <w:t xml:space="preserve">UUPS proxy: upgradeAuthorization() requires DAO timelock execution</w:t>
      </w:r>
    </w:p>
    <w:p>
      <w:pPr>
        <w:pStyle w:val="ListParagraph"/>
        <w:numPr>
          <w:ilvl w:val="0"/>
          <w:numId w:val="3"/>
        </w:numPr>
        <w:spacing w:after="60" w:before="60"/>
      </w:pPr>
      <w:r>
        <w:rPr>
          <w:rFonts w:ascii="Arial" w:cs="Arial" w:eastAsia="Arial" w:hAnsi="Arial"/>
          <w:sz w:val="22"/>
          <w:szCs w:val="22"/>
        </w:rPr>
        <w:t xml:space="preserve">Emergency pause via PausableUpgradeable; Guardian multisig can pause without DAO vote</w:t>
      </w:r>
    </w:p>
    <w:p>
      <w:pPr>
        <w:pStyle w:val="ListParagraph"/>
        <w:numPr>
          <w:ilvl w:val="0"/>
          <w:numId w:val="3"/>
        </w:numPr>
        <w:spacing w:after="60" w:before="60"/>
      </w:pPr>
      <w:r>
        <w:rPr>
          <w:rFonts w:ascii="Arial" w:cs="Arial" w:eastAsia="Arial" w:hAnsi="Arial"/>
          <w:sz w:val="22"/>
          <w:szCs w:val="22"/>
        </w:rPr>
        <w:t xml:space="preserve">Formal verification of MRTToken mint/burn arithmetic using Certora or Halmos</w:t>
      </w:r>
    </w:p>
    <w:p>
      <w:pPr>
        <w:spacing w:after="60" w:before="60"/>
      </w:pPr>
      <w:r>
        <w:t xml:space="preserve"/>
      </w:r>
    </w:p>
    <w:p>
      <w:pPr>
        <w:pStyle w:val="Heading1"/>
        <w:pBdr>
          <w:bottom w:val="single" w:color="2E6DA4" w:sz="8" w:space="6"/>
        </w:pBdr>
        <w:spacing w:after="200" w:before="480"/>
      </w:pPr>
      <w:r>
        <w:rPr>
          <w:rFonts w:ascii="Arial" w:cs="Arial" w:eastAsia="Arial" w:hAnsi="Arial"/>
          <w:b/>
          <w:bCs/>
          <w:color w:val="1A3A5C"/>
          <w:sz w:val="34"/>
          <w:szCs w:val="34"/>
        </w:rPr>
        <w:t xml:space="preserve">Oracle Security</w:t>
      </w:r>
    </w:p>
    <w:p>
      <w:pPr>
        <w:pStyle w:val="ListParagraph"/>
        <w:numPr>
          <w:ilvl w:val="0"/>
          <w:numId w:val="3"/>
        </w:numPr>
        <w:spacing w:after="60" w:before="60"/>
      </w:pPr>
      <w:r>
        <w:rPr>
          <w:rFonts w:ascii="Arial" w:cs="Arial" w:eastAsia="Arial" w:hAnsi="Arial"/>
          <w:sz w:val="22"/>
          <w:szCs w:val="22"/>
        </w:rPr>
        <w:t xml:space="preserve">Minimum 3 independent Chainlink price feeds per commodity; median aggregation</w:t>
      </w:r>
    </w:p>
    <w:p>
      <w:pPr>
        <w:pStyle w:val="ListParagraph"/>
        <w:numPr>
          <w:ilvl w:val="0"/>
          <w:numId w:val="3"/>
        </w:numPr>
        <w:spacing w:after="60" w:before="60"/>
      </w:pPr>
      <w:r>
        <w:rPr>
          <w:rFonts w:ascii="Arial" w:cs="Arial" w:eastAsia="Arial" w:hAnsi="Arial"/>
          <w:sz w:val="22"/>
          <w:szCs w:val="22"/>
        </w:rPr>
        <w:t xml:space="preserve">Stale data threshold: 6 hours; advances paused if any feed stale</w:t>
      </w:r>
    </w:p>
    <w:p>
      <w:pPr>
        <w:pStyle w:val="ListParagraph"/>
        <w:numPr>
          <w:ilvl w:val="0"/>
          <w:numId w:val="3"/>
        </w:numPr>
        <w:spacing w:after="60" w:before="60"/>
      </w:pPr>
      <w:r>
        <w:rPr>
          <w:rFonts w:ascii="Arial" w:cs="Arial" w:eastAsia="Arial" w:hAnsi="Arial"/>
          <w:sz w:val="22"/>
          <w:szCs w:val="22"/>
        </w:rPr>
        <w:t xml:space="preserve">Circuit breaker: if basket price moves &gt;15% in 1 hour, advances paused for 24 hours pending DAO review</w:t>
      </w:r>
    </w:p>
    <w:p>
      <w:pPr>
        <w:pStyle w:val="ListParagraph"/>
        <w:numPr>
          <w:ilvl w:val="0"/>
          <w:numId w:val="3"/>
        </w:numPr>
        <w:spacing w:after="60" w:before="60"/>
      </w:pPr>
      <w:r>
        <w:rPr>
          <w:rFonts w:ascii="Arial" w:cs="Arial" w:eastAsia="Arial" w:hAnsi="Arial"/>
          <w:sz w:val="22"/>
          <w:szCs w:val="22"/>
        </w:rPr>
        <w:t xml:space="preserve">TWAP (time-weighted average price) over 1 hour used for advance calculations to prevent flash loan manipulation</w:t>
      </w:r>
    </w:p>
    <w:p>
      <w:pPr>
        <w:spacing w:after="60" w:before="60"/>
      </w:pPr>
      <w:r>
        <w:t xml:space="preserve"/>
      </w:r>
    </w:p>
    <w:p>
      <w:pPr>
        <w:pStyle w:val="Heading1"/>
        <w:pBdr>
          <w:bottom w:val="single" w:color="2E6DA4" w:sz="8" w:space="6"/>
        </w:pBdr>
        <w:spacing w:after="200" w:before="480"/>
      </w:pPr>
      <w:r>
        <w:rPr>
          <w:rFonts w:ascii="Arial" w:cs="Arial" w:eastAsia="Arial" w:hAnsi="Arial"/>
          <w:b/>
          <w:bCs/>
          <w:color w:val="1A3A5C"/>
          <w:sz w:val="34"/>
          <w:szCs w:val="34"/>
        </w:rPr>
        <w:t xml:space="preserve">Off-Chain Security</w:t>
      </w:r>
    </w:p>
    <w:p>
      <w:pPr>
        <w:pStyle w:val="ListParagraph"/>
        <w:numPr>
          <w:ilvl w:val="0"/>
          <w:numId w:val="3"/>
        </w:numPr>
        <w:spacing w:after="60" w:before="60"/>
      </w:pPr>
      <w:r>
        <w:rPr>
          <w:rFonts w:ascii="Arial" w:cs="Arial" w:eastAsia="Arial" w:hAnsi="Arial"/>
          <w:sz w:val="22"/>
          <w:szCs w:val="22"/>
        </w:rPr>
        <w:t xml:space="preserve">IoT devices in Recycle Centers use hardware security modules (HSM) for key storage</w:t>
      </w:r>
    </w:p>
    <w:p>
      <w:pPr>
        <w:pStyle w:val="ListParagraph"/>
        <w:numPr>
          <w:ilvl w:val="0"/>
          <w:numId w:val="3"/>
        </w:numPr>
        <w:spacing w:after="60" w:before="60"/>
      </w:pPr>
      <w:r>
        <w:rPr>
          <w:rFonts w:ascii="Arial" w:cs="Arial" w:eastAsia="Arial" w:hAnsi="Arial"/>
          <w:sz w:val="22"/>
          <w:szCs w:val="22"/>
        </w:rPr>
        <w:t xml:space="preserve">All IPFS documents pinned redundantly (Filecoin + Pinata backup)</w:t>
      </w:r>
    </w:p>
    <w:p>
      <w:pPr>
        <w:pStyle w:val="ListParagraph"/>
        <w:numPr>
          <w:ilvl w:val="0"/>
          <w:numId w:val="3"/>
        </w:numPr>
        <w:spacing w:after="60" w:before="60"/>
      </w:pPr>
      <w:r>
        <w:rPr>
          <w:rFonts w:ascii="Arial" w:cs="Arial" w:eastAsia="Arial" w:hAnsi="Arial"/>
          <w:sz w:val="22"/>
          <w:szCs w:val="22"/>
        </w:rPr>
        <w:t xml:space="preserve">Material Tracking IDs (MTID) use cryptographically unique batch hashes; registry on-chain</w:t>
      </w:r>
    </w:p>
    <w:p>
      <w:pPr>
        <w:pStyle w:val="ListParagraph"/>
        <w:numPr>
          <w:ilvl w:val="0"/>
          <w:numId w:val="3"/>
        </w:numPr>
        <w:spacing w:after="60" w:before="60"/>
      </w:pPr>
      <w:r>
        <w:rPr>
          <w:rFonts w:ascii="Arial" w:cs="Arial" w:eastAsia="Arial" w:hAnsi="Arial"/>
          <w:sz w:val="22"/>
          <w:szCs w:val="22"/>
        </w:rPr>
        <w:t xml:space="preserve">API endpoints for DApps use rate limiting and authenticated sessions (SIWE — Sign-In With Ethereum)</w:t>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160"/>
              <w:left w:type="dxa" w:w="300"/>
              <w:bottom w:type="dxa" w:w="160"/>
              <w:right w:type="dxa" w:w="300"/>
            </w:tcMar>
          </w:tcPr>
          <w:p>
            <w:pPr>
              <w:jc w:val="center"/>
            </w:pPr>
            <w:r>
              <w:rPr>
                <w:rFonts w:ascii="Arial" w:cs="Arial" w:eastAsia="Arial" w:hAnsi="Arial"/>
                <w:b/>
                <w:bCs/>
                <w:color w:val="FFFFFF"/>
                <w:sz w:val="28"/>
                <w:szCs w:val="28"/>
              </w:rPr>
              <w:t xml:space="preserve">PART 9 — TESTING REQUIREMENTS</w:t>
            </w:r>
          </w:p>
        </w:tc>
      </w:tr>
    </w:tbl>
    <w:p>
      <w:pPr>
        <w:spacing w:after="60" w:before="60"/>
      </w:pPr>
      <w:r>
        <w:t xml:space="preserve"/>
      </w:r>
    </w:p>
    <w:p>
      <w:pPr>
        <w:pStyle w:val="Heading1"/>
        <w:pBdr>
          <w:bottom w:val="single" w:color="2E6DA4" w:sz="8" w:space="6"/>
        </w:pBdr>
        <w:spacing w:after="200" w:before="480"/>
      </w:pPr>
      <w:r>
        <w:rPr>
          <w:rFonts w:ascii="Arial" w:cs="Arial" w:eastAsia="Arial" w:hAnsi="Arial"/>
          <w:b/>
          <w:bCs/>
          <w:color w:val="1A3A5C"/>
          <w:sz w:val="34"/>
          <w:szCs w:val="34"/>
        </w:rPr>
        <w:t xml:space="preserve">Test Coverage Requirements</w:t>
      </w:r>
    </w:p>
    <w:p>
      <w:pPr>
        <w:pStyle w:val="ListParagraph"/>
        <w:numPr>
          <w:ilvl w:val="0"/>
          <w:numId w:val="3"/>
        </w:numPr>
        <w:spacing w:after="60" w:before="60"/>
      </w:pPr>
      <w:r>
        <w:rPr>
          <w:rFonts w:ascii="Arial" w:cs="Arial" w:eastAsia="Arial" w:hAnsi="Arial"/>
          <w:sz w:val="22"/>
          <w:szCs w:val="22"/>
        </w:rPr>
        <w:t xml:space="preserve">Unit test coverage: minimum 95% line coverage for all contracts (Foundry/Hardhat)</w:t>
      </w:r>
    </w:p>
    <w:p>
      <w:pPr>
        <w:pStyle w:val="ListParagraph"/>
        <w:numPr>
          <w:ilvl w:val="0"/>
          <w:numId w:val="3"/>
        </w:numPr>
        <w:spacing w:after="60" w:before="60"/>
      </w:pPr>
      <w:r>
        <w:rPr>
          <w:rFonts w:ascii="Arial" w:cs="Arial" w:eastAsia="Arial" w:hAnsi="Arial"/>
          <w:sz w:val="22"/>
          <w:szCs w:val="22"/>
        </w:rPr>
        <w:t xml:space="preserve">Integration tests: all 3 advance channels end-to-end, including default liquidation scenarios</w:t>
      </w:r>
    </w:p>
    <w:p>
      <w:pPr>
        <w:pStyle w:val="ListParagraph"/>
        <w:numPr>
          <w:ilvl w:val="0"/>
          <w:numId w:val="3"/>
        </w:numPr>
        <w:spacing w:after="60" w:before="60"/>
      </w:pPr>
      <w:r>
        <w:rPr>
          <w:rFonts w:ascii="Arial" w:cs="Arial" w:eastAsia="Arial" w:hAnsi="Arial"/>
          <w:sz w:val="22"/>
          <w:szCs w:val="22"/>
        </w:rPr>
        <w:t xml:space="preserve">Fuzz testing: LaborAdvanceVault and ResourceAdvanceVault with random inputs (Foundry invariant tests)</w:t>
      </w:r>
    </w:p>
    <w:p>
      <w:pPr>
        <w:pStyle w:val="ListParagraph"/>
        <w:numPr>
          <w:ilvl w:val="0"/>
          <w:numId w:val="3"/>
        </w:numPr>
        <w:spacing w:after="60" w:before="60"/>
      </w:pPr>
      <w:r>
        <w:rPr>
          <w:rFonts w:ascii="Arial" w:cs="Arial" w:eastAsia="Arial" w:hAnsi="Arial"/>
          <w:sz w:val="22"/>
          <w:szCs w:val="22"/>
        </w:rPr>
        <w:t xml:space="preserve">Invariant tests: totalMRTSupply == sum(outstandingAdvanceMRT) + sum(permanentMaterialMRT)</w:t>
      </w:r>
    </w:p>
    <w:p>
      <w:pPr>
        <w:pStyle w:val="ListParagraph"/>
        <w:numPr>
          <w:ilvl w:val="0"/>
          <w:numId w:val="3"/>
        </w:numPr>
        <w:spacing w:after="60" w:before="60"/>
      </w:pPr>
      <w:r>
        <w:rPr>
          <w:rFonts w:ascii="Arial" w:cs="Arial" w:eastAsia="Arial" w:hAnsi="Arial"/>
          <w:sz w:val="22"/>
          <w:szCs w:val="22"/>
        </w:rPr>
        <w:t xml:space="preserve">Invariant tests: AUR never exceeds ceiling without DAO vote</w:t>
      </w:r>
    </w:p>
    <w:p>
      <w:pPr>
        <w:pStyle w:val="ListParagraph"/>
        <w:numPr>
          <w:ilvl w:val="0"/>
          <w:numId w:val="3"/>
        </w:numPr>
        <w:spacing w:after="60" w:before="60"/>
      </w:pPr>
      <w:r>
        <w:rPr>
          <w:rFonts w:ascii="Arial" w:cs="Arial" w:eastAsia="Arial" w:hAnsi="Arial"/>
          <w:sz w:val="22"/>
          <w:szCs w:val="22"/>
        </w:rPr>
        <w:t xml:space="preserve">Fork tests: run against Gnosis Chain mainnet fork to validate oracle integration</w:t>
      </w:r>
    </w:p>
    <w:p>
      <w:pPr>
        <w:pStyle w:val="ListParagraph"/>
        <w:numPr>
          <w:ilvl w:val="0"/>
          <w:numId w:val="3"/>
        </w:numPr>
        <w:spacing w:after="60" w:before="60"/>
      </w:pPr>
      <w:r>
        <w:rPr>
          <w:rFonts w:ascii="Arial" w:cs="Arial" w:eastAsia="Arial" w:hAnsi="Arial"/>
          <w:sz w:val="22"/>
          <w:szCs w:val="22"/>
        </w:rPr>
        <w:t xml:space="preserve">Gas benchmarks: all common operations must complete under 500,000 gas</w:t>
      </w:r>
    </w:p>
    <w:p>
      <w:pPr>
        <w:spacing w:after="60" w:before="60"/>
      </w:pPr>
      <w:r>
        <w:t xml:space="preserve"/>
      </w:r>
    </w:p>
    <w:p>
      <w:pPr>
        <w:pStyle w:val="Heading1"/>
        <w:pBdr>
          <w:bottom w:val="single" w:color="2E6DA4" w:sz="8" w:space="6"/>
        </w:pBdr>
        <w:spacing w:after="200" w:before="480"/>
      </w:pPr>
      <w:r>
        <w:rPr>
          <w:rFonts w:ascii="Arial" w:cs="Arial" w:eastAsia="Arial" w:hAnsi="Arial"/>
          <w:b/>
          <w:bCs/>
          <w:color w:val="1A3A5C"/>
          <w:sz w:val="34"/>
          <w:szCs w:val="34"/>
        </w:rPr>
        <w:t xml:space="preserve">Key Invariants to Test</w:t>
      </w:r>
    </w:p>
    <w:p>
      <w:pPr>
        <w:pStyle w:val="ListParagraph"/>
        <w:numPr>
          <w:ilvl w:val="0"/>
          <w:numId w:val="2"/>
        </w:numPr>
        <w:spacing w:after="60" w:before="60"/>
      </w:pPr>
      <w:r>
        <w:rPr>
          <w:rFonts w:ascii="Arial" w:cs="Arial" w:eastAsia="Arial" w:hAnsi="Arial"/>
          <w:sz w:val="22"/>
          <w:szCs w:val="22"/>
        </w:rPr>
        <w:t xml:space="preserve">MRT can only be minted by authorized vaults (no other path exists)</w:t>
      </w:r>
    </w:p>
    <w:p>
      <w:pPr>
        <w:pStyle w:val="ListParagraph"/>
        <w:numPr>
          <w:ilvl w:val="0"/>
          <w:numId w:val="2"/>
        </w:numPr>
        <w:spacing w:after="60" w:before="60"/>
      </w:pPr>
      <w:r>
        <w:rPr>
          <w:rFonts w:ascii="Arial" w:cs="Arial" w:eastAsia="Arial" w:hAnsi="Arial"/>
          <w:sz w:val="22"/>
          <w:szCs w:val="22"/>
        </w:rPr>
        <w:t xml:space="preserve">Every minted MRT has exactly one corresponding advance record or material NFT</w:t>
      </w:r>
    </w:p>
    <w:p>
      <w:pPr>
        <w:pStyle w:val="ListParagraph"/>
        <w:numPr>
          <w:ilvl w:val="0"/>
          <w:numId w:val="2"/>
        </w:numPr>
        <w:spacing w:after="60" w:before="60"/>
      </w:pPr>
      <w:r>
        <w:rPr>
          <w:rFonts w:ascii="Arial" w:cs="Arial" w:eastAsia="Arial" w:hAnsi="Arial"/>
          <w:sz w:val="22"/>
          <w:szCs w:val="22"/>
        </w:rPr>
        <w:t xml:space="preserve">Total MRT supply = recyclable material MRT + outstanding advance MRT (within rounding)</w:t>
      </w:r>
    </w:p>
    <w:p>
      <w:pPr>
        <w:pStyle w:val="ListParagraph"/>
        <w:numPr>
          <w:ilvl w:val="0"/>
          <w:numId w:val="2"/>
        </w:numPr>
        <w:spacing w:after="60" w:before="60"/>
      </w:pPr>
      <w:r>
        <w:rPr>
          <w:rFonts w:ascii="Arial" w:cs="Arial" w:eastAsia="Arial" w:hAnsi="Arial"/>
          <w:sz w:val="22"/>
          <w:szCs w:val="22"/>
        </w:rPr>
        <w:t xml:space="preserve">AUR = outstandingAdvanceMRT / totalMRTSupply never exceeds DAO-set ceiling</w:t>
      </w:r>
    </w:p>
    <w:p>
      <w:pPr>
        <w:pStyle w:val="ListParagraph"/>
        <w:numPr>
          <w:ilvl w:val="0"/>
          <w:numId w:val="2"/>
        </w:numPr>
        <w:spacing w:after="60" w:before="60"/>
      </w:pPr>
      <w:r>
        <w:rPr>
          <w:rFonts w:ascii="Arial" w:cs="Arial" w:eastAsia="Arial" w:hAnsi="Arial"/>
          <w:sz w:val="22"/>
          <w:szCs w:val="22"/>
        </w:rPr>
        <w:t xml:space="preserve">No advance can be repaid to reduce MRT supply below zero</w:t>
      </w:r>
    </w:p>
    <w:p>
      <w:pPr>
        <w:pStyle w:val="ListParagraph"/>
        <w:numPr>
          <w:ilvl w:val="0"/>
          <w:numId w:val="2"/>
        </w:numPr>
        <w:spacing w:after="60" w:before="60"/>
      </w:pPr>
      <w:r>
        <w:rPr>
          <w:rFonts w:ascii="Arial" w:cs="Arial" w:eastAsia="Arial" w:hAnsi="Arial"/>
          <w:sz w:val="22"/>
          <w:szCs w:val="22"/>
        </w:rPr>
        <w:t xml:space="preserve">MaterialNFT with RECYCLED or SLASHED status cannot collateralize new advances</w:t>
      </w:r>
    </w:p>
    <w:p>
      <w:pPr>
        <w:pStyle w:val="ListParagraph"/>
        <w:numPr>
          <w:ilvl w:val="0"/>
          <w:numId w:val="2"/>
        </w:numPr>
        <w:spacing w:after="60" w:before="60"/>
      </w:pPr>
      <w:r>
        <w:rPr>
          <w:rFonts w:ascii="Arial" w:cs="Arial" w:eastAsia="Arial" w:hAnsi="Arial"/>
          <w:sz w:val="22"/>
          <w:szCs w:val="22"/>
        </w:rPr>
        <w:t xml:space="preserve">Quadratic vote weight cannot exceed sqrt(totalSupply) regardless of single-account balance</w:t>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160"/>
              <w:left w:type="dxa" w:w="300"/>
              <w:bottom w:type="dxa" w:w="160"/>
              <w:right w:type="dxa" w:w="300"/>
            </w:tcMar>
          </w:tcPr>
          <w:p>
            <w:pPr>
              <w:jc w:val="center"/>
            </w:pPr>
            <w:r>
              <w:rPr>
                <w:rFonts w:ascii="Arial" w:cs="Arial" w:eastAsia="Arial" w:hAnsi="Arial"/>
                <w:b/>
                <w:bCs/>
                <w:color w:val="FFFFFF"/>
                <w:sz w:val="28"/>
                <w:szCs w:val="28"/>
              </w:rPr>
              <w:t xml:space="preserve">PART 10 — COMPLETE TECHNOLOGY STACK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43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50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sz w:val="20"/>
                <w:szCs w:val="20"/>
              </w:rPr>
              <w:t xml:space="preserve">Technology Choice</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Governance Chain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Ethereum Mainnet</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Execution Chain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Gnosis Chain (xDAI)</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Smart Contract Language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Solidity 0.8.24</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Contract Framework</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Foundry (primary) + Hardhat (secondary)</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Contract Libraries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OpenZeppelin 5.x (ERC20, ERC721, Governor, AccessControl, UUPS)</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Oracle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Chainlink Data Feeds (commodity prices)</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Bridge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Gnosis Chain native bridge + custom BridgeRelay.sol</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Indexing</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Graph (custom subgraph per chain)</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Storage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IPFS + Filecoin (Lighthouse or Web3.storage)</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Frontend Framework</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Next.js 14 (App Router)</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Web3 Libraries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wagmi v2 + viem</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Wallet Support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MetaMask, WalletConnect v2, Gnosis Safe</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 Components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Tailwind CSS + shadcn/ui</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Multisig / Treasury</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Gnosis Safe (4-of-7 for DAO treasury)</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Sign-In With Ethereum (EIP-4361)</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Monitoring</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Tenderly (alerts) + Dune Analytics (dashboards)</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CI/CD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GitHub Actions + Foundry test suite</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Audit Partners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Trail of Bits (contracts) + Nethermind (oracle logic)</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 Entity</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Marshall Islands DAO LLC</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160"/>
              <w:left w:type="dxa" w:w="300"/>
              <w:bottom w:type="dxa" w:w="160"/>
              <w:right w:type="dxa" w:w="300"/>
            </w:tcMar>
          </w:tcPr>
          <w:p>
            <w:pPr>
              <w:jc w:val="center"/>
            </w:pPr>
            <w:r>
              <w:rPr>
                <w:rFonts w:ascii="Arial" w:cs="Arial" w:eastAsia="Arial" w:hAnsi="Arial"/>
                <w:b/>
                <w:bCs/>
                <w:color w:val="FFFFFF"/>
                <w:sz w:val="28"/>
                <w:szCs w:val="28"/>
              </w:rPr>
              <w:t xml:space="preserve">CLOSING NOTES</w:t>
            </w:r>
          </w:p>
        </w:tc>
      </w:tr>
    </w:tbl>
    <w:p>
      <w:pPr>
        <w:spacing w:after="60" w:before="60"/>
      </w:pPr>
      <w:r>
        <w:t xml:space="preserve"/>
      </w:r>
    </w:p>
    <w:p>
      <w:pPr>
        <w:pStyle w:val="Heading1"/>
        <w:pBdr>
          <w:bottom w:val="single" w:color="2E6DA4" w:sz="8" w:space="6"/>
        </w:pBdr>
        <w:spacing w:after="200" w:before="480"/>
      </w:pPr>
      <w:r>
        <w:rPr>
          <w:rFonts w:ascii="Arial" w:cs="Arial" w:eastAsia="Arial" w:hAnsi="Arial"/>
          <w:b/>
          <w:bCs/>
          <w:color w:val="1A3A5C"/>
          <w:sz w:val="34"/>
          <w:szCs w:val="34"/>
        </w:rPr>
        <w:t xml:space="preserve">What Makes TRMS Structurally Sound</w:t>
      </w:r>
    </w:p>
    <w:p>
      <w:pPr>
        <w:pStyle w:val="ListParagraph"/>
        <w:numPr>
          <w:ilvl w:val="0"/>
          <w:numId w:val="3"/>
        </w:numPr>
        <w:spacing w:after="60" w:before="60"/>
      </w:pPr>
      <w:r>
        <w:rPr>
          <w:rFonts w:ascii="Arial" w:cs="Arial" w:eastAsia="Arial" w:hAnsi="Arial"/>
          <w:sz w:val="22"/>
          <w:szCs w:val="22"/>
        </w:rPr>
        <w:t xml:space="preserve">Money creation is tied to verifiable real-world value — not speculation, debt, or government discretion</w:t>
      </w:r>
    </w:p>
    <w:p>
      <w:pPr>
        <w:pStyle w:val="ListParagraph"/>
        <w:numPr>
          <w:ilvl w:val="0"/>
          <w:numId w:val="3"/>
        </w:numPr>
        <w:spacing w:after="60" w:before="60"/>
      </w:pPr>
      <w:r>
        <w:rPr>
          <w:rFonts w:ascii="Arial" w:cs="Arial" w:eastAsia="Arial" w:hAnsi="Arial"/>
          <w:sz w:val="22"/>
          <w:szCs w:val="22"/>
        </w:rPr>
        <w:t xml:space="preserve">Money destruction is automatic and mandatory (burns) — preventing runaway inflation</w:t>
      </w:r>
    </w:p>
    <w:p>
      <w:pPr>
        <w:pStyle w:val="ListParagraph"/>
        <w:numPr>
          <w:ilvl w:val="0"/>
          <w:numId w:val="3"/>
        </w:numPr>
        <w:spacing w:after="60" w:before="60"/>
      </w:pPr>
      <w:r>
        <w:rPr>
          <w:rFonts w:ascii="Arial" w:cs="Arial" w:eastAsia="Arial" w:hAnsi="Arial"/>
          <w:sz w:val="22"/>
          <w:szCs w:val="22"/>
        </w:rPr>
        <w:t xml:space="preserve">Producer incentives are economically dominant and calculable — not aspirational</w:t>
      </w:r>
    </w:p>
    <w:p>
      <w:pPr>
        <w:pStyle w:val="ListParagraph"/>
        <w:numPr>
          <w:ilvl w:val="0"/>
          <w:numId w:val="3"/>
        </w:numPr>
        <w:spacing w:after="60" w:before="60"/>
      </w:pPr>
      <w:r>
        <w:rPr>
          <w:rFonts w:ascii="Arial" w:cs="Arial" w:eastAsia="Arial" w:hAnsi="Arial"/>
          <w:sz w:val="22"/>
          <w:szCs w:val="22"/>
        </w:rPr>
        <w:t xml:space="preserve">The governance/currency token split prevents currency capture by governance actors</w:t>
      </w:r>
    </w:p>
    <w:p>
      <w:pPr>
        <w:pStyle w:val="ListParagraph"/>
        <w:numPr>
          <w:ilvl w:val="0"/>
          <w:numId w:val="3"/>
        </w:numPr>
        <w:spacing w:after="60" w:before="60"/>
      </w:pPr>
      <w:r>
        <w:rPr>
          <w:rFonts w:ascii="Arial" w:cs="Arial" w:eastAsia="Arial" w:hAnsi="Arial"/>
          <w:sz w:val="22"/>
          <w:szCs w:val="22"/>
        </w:rPr>
        <w:t xml:space="preserve">The AUR circuit breaker provides a systemic safety valve with no single point of control</w:t>
      </w:r>
    </w:p>
    <w:p>
      <w:pPr>
        <w:spacing w:after="60" w:before="60"/>
      </w:pPr>
      <w:r>
        <w:t xml:space="preserve"/>
      </w:r>
    </w:p>
    <w:p>
      <w:pPr>
        <w:pStyle w:val="Heading1"/>
        <w:pBdr>
          <w:bottom w:val="single" w:color="2E6DA4" w:sz="8" w:space="6"/>
        </w:pBdr>
        <w:spacing w:after="200" w:before="480"/>
      </w:pPr>
      <w:r>
        <w:rPr>
          <w:rFonts w:ascii="Arial" w:cs="Arial" w:eastAsia="Arial" w:hAnsi="Arial"/>
          <w:b/>
          <w:bCs/>
          <w:color w:val="1A3A5C"/>
          <w:sz w:val="34"/>
          <w:szCs w:val="34"/>
        </w:rPr>
        <w:t xml:space="preserve">What Requires Ongoing DAO Vigilance</w:t>
      </w:r>
    </w:p>
    <w:p>
      <w:pPr>
        <w:pStyle w:val="ListParagraph"/>
        <w:numPr>
          <w:ilvl w:val="0"/>
          <w:numId w:val="3"/>
        </w:numPr>
        <w:spacing w:after="60" w:before="60"/>
      </w:pPr>
      <w:r>
        <w:rPr>
          <w:rFonts w:ascii="Arial" w:cs="Arial" w:eastAsia="Arial" w:hAnsi="Arial"/>
          <w:sz w:val="22"/>
          <w:szCs w:val="22"/>
        </w:rPr>
        <w:t xml:space="preserve">The commodity basket composition must evolve as materials markets change</w:t>
      </w:r>
    </w:p>
    <w:p>
      <w:pPr>
        <w:pStyle w:val="ListParagraph"/>
        <w:numPr>
          <w:ilvl w:val="0"/>
          <w:numId w:val="3"/>
        </w:numPr>
        <w:spacing w:after="60" w:before="60"/>
      </w:pPr>
      <w:r>
        <w:rPr>
          <w:rFonts w:ascii="Arial" w:cs="Arial" w:eastAsia="Arial" w:hAnsi="Arial"/>
          <w:sz w:val="22"/>
          <w:szCs w:val="22"/>
        </w:rPr>
        <w:t xml:space="preserve">IoT/physical verification is trust-minimized but not trustless — staking and audits must be maintained</w:t>
      </w:r>
    </w:p>
    <w:p>
      <w:pPr>
        <w:pStyle w:val="ListParagraph"/>
        <w:numPr>
          <w:ilvl w:val="0"/>
          <w:numId w:val="3"/>
        </w:numPr>
        <w:spacing w:after="60" w:before="60"/>
      </w:pPr>
      <w:r>
        <w:rPr>
          <w:rFonts w:ascii="Arial" w:cs="Arial" w:eastAsia="Arial" w:hAnsi="Arial"/>
          <w:sz w:val="22"/>
          <w:szCs w:val="22"/>
        </w:rPr>
        <w:t xml:space="preserve">Regulatory environments will differ by jurisdiction and require ongoing legal counsel</w:t>
      </w:r>
    </w:p>
    <w:p>
      <w:pPr>
        <w:pStyle w:val="ListParagraph"/>
        <w:numPr>
          <w:ilvl w:val="0"/>
          <w:numId w:val="3"/>
        </w:numPr>
        <w:spacing w:after="60" w:before="60"/>
      </w:pPr>
      <w:r>
        <w:rPr>
          <w:rFonts w:ascii="Arial" w:cs="Arial" w:eastAsia="Arial" w:hAnsi="Arial"/>
          <w:sz w:val="22"/>
          <w:szCs w:val="22"/>
        </w:rPr>
        <w:t xml:space="preserve">The labor advance rate (50%) is a starting point; DAO should adjust based on observed economic velocity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B8860B"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NOTE</w:t>
            </w:r>
          </w:p>
        </w:tc>
        <w:tc>
          <w:tcPr>
            <w:tcW w:type="dxa" w:w="8360"/>
            <w:tcBorders>
              <w:top w:val="none" w:color="FFFFFF" w:sz="0"/>
              <w:left w:val="none" w:color="FFFFFF" w:sz="0"/>
              <w:bottom w:val="none" w:color="FFFFFF" w:sz="0"/>
              <w:right w:val="none" w:color="FFFFFF" w:sz="0"/>
            </w:tcBorders>
            <w:shd w:fill="FFF8DC" w:val="clear"/>
            <w:tcMar>
              <w:top w:type="dxa" w:w="100"/>
              <w:left w:type="dxa" w:w="160"/>
              <w:bottom w:type="dxa" w:w="100"/>
              <w:right w:type="dxa" w:w="120"/>
            </w:tcMar>
          </w:tcPr>
          <w:p>
            <w:r>
              <w:rPr>
                <w:rFonts w:ascii="Arial" w:cs="Arial" w:eastAsia="Arial" w:hAnsi="Arial"/>
                <w:i/>
                <w:iCs/>
                <w:sz w:val="20"/>
                <w:szCs w:val="20"/>
              </w:rPr>
              <w:t xml:space="preserve">The TRMS as conceived in 2009 and adapted for crypto in 2018 is a coherent, forward-looking system. The gaps identified in this analysis are implementation gaps, not conceptual failures. With the smart contract architecture specified in this document, every identified gap has a sound on-chain resolution. The system is ready for agent-driven implementation.</w:t>
            </w:r>
          </w:p>
        </w:tc>
      </w:tr>
    </w:tbl>
    <w:p>
      <w:pPr>
        <w:spacing w:after="60" w:before="60"/>
      </w:pPr>
      <w:r>
        <w:t xml:space="preserve"/>
      </w:r>
    </w:p>
    <w:p>
      <w:pPr>
        <w:spacing w:after="60" w:before="60"/>
      </w:pPr>
      <w:r>
        <w:t xml:space="preserve"/>
      </w:r>
    </w:p>
    <w:p>
      <w:pPr>
        <w:spacing w:after="200" w:before="200"/>
        <w:jc w:val="center"/>
      </w:pPr>
      <w:r>
        <w:rPr>
          <w:rFonts w:ascii="Arial" w:cs="Arial" w:eastAsia="Arial" w:hAnsi="Arial"/>
          <w:i/>
          <w:iCs/>
          <w:color w:val="2E6DA4"/>
          <w:sz w:val="20"/>
          <w:szCs w:val="20"/>
        </w:rPr>
        <w:t xml:space="preserve">— End of TRMS Full Systems Analysis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6"/>
      </w:pBdr>
      <w:jc w:val="center"/>
    </w:pPr>
    <w:r>
      <w:rPr>
        <w:rFonts w:ascii="Arial" w:cs="Arial" w:eastAsia="Arial" w:hAnsi="Arial"/>
        <w:color w:val="888888"/>
        <w:sz w:val="16"/>
        <w:szCs w:val="16"/>
      </w:rPr>
      <w:t xml:space="preserve">Transitional Resource Monetary System  |  Confidential Draft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6"/>
      </w:pBdr>
      <w:jc w:val="right"/>
    </w:pPr>
    <w:r>
      <w:rPr>
        <w:rFonts w:ascii="Arial" w:cs="Arial" w:eastAsia="Arial" w:hAnsi="Arial"/>
        <w:color w:val="2E6DA4"/>
        <w:sz w:val="16"/>
        <w:szCs w:val="16"/>
      </w:rPr>
      <w:t xml:space="preserve">TRMS — Full Systems Analysis &amp; Blockchain Implementation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3A5C"/>
      <w:sz w:val="34"/>
      <w:szCs w:val="34"/>
    </w:rPr>
  </w:style>
  <w:style w:type="paragraph" w:styleId="Heading2">
    <w:name w:val="Heading 2"/>
    <w:basedOn w:val="Normal"/>
    <w:next w:val="Normal"/>
    <w:qFormat/>
    <w:pPr>
      <w:spacing w:after="160" w:before="360"/>
      <w:outlineLvl w:val="1"/>
    </w:pPr>
    <w:rPr>
      <w:rFonts w:ascii="Arial" w:cs="Arial" w:eastAsia="Arial" w:hAnsi="Arial"/>
      <w:b/>
      <w:bCs/>
      <w:color w:val="2E6DA4"/>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1A7A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2026-05-10T14:41:40.879Z</dcterms:created>
  <dcterms:modified xsi:type="dcterms:W3CDTF">2026-05-10T14:41:40.895Z</dcterms:modified>
</cp:coreProperties>
</file>

<file path=docProps/custom.xml><?xml version="1.0" encoding="utf-8"?>
<Properties xmlns="http://schemas.openxmlformats.org/officeDocument/2006/custom-properties" xmlns:vt="http://schemas.openxmlformats.org/officeDocument/2006/docPropsVTypes"/>
</file>