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Elektrotehnički fakultet u Beogradu — Katedra za RTI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Programiranje u realnom vremenu (MS1PRV)</w:t>
      </w:r>
    </w:p>
    <w:p>
      <w:pPr>
        <w:spacing w:after="20" w:before="60"/>
        <w:jc w:val="center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Zadatak 3 — Proračun rasporedivosti (FPS, analiza vremena odziva)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Sistem za nadzor rudnika</w:t>
      </w:r>
    </w:p>
    <w:p>
      <w:pPr>
        <w:spacing w:after="18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Uroš Jovanović · uros.jovanovic@asseco-see.rs · br. indeksa: ____ · STM32F446RE @ 180 MHz · FreeRTOS (CMSIS-RTOS2)</w:t>
      </w:r>
    </w:p>
    <w:p>
      <w:pPr>
        <w:pStyle w:val="Heading1"/>
        <w:spacing w:after="120" w:before="2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1. Metodologija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Rasporedivost je proverena testom zasnovanim na vremenu odziva (response-time analysis) za raspoređivanje sa fiksnim prioritetima (FPS) sa preuzimanjem (configUSE_PREEMPTION = 1). Za svaki proces i vreme odziva u najgorem slučaju R_i računa se rekurentnom formulom: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R_i = C_i + B_i + Σ_(j∈hp(i)) ⌈R_i / T_j⌉ · C_j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gde je C_i procenjeno vreme izvršavanja u najgorem slučaju, B_i vreme blokiranja (najduža kritična sekcija procesa nižeg prioriteta, uz nasleđivanje prioriteta koje FreeRTOS muteksi obezbeđuju), a hp(i) skup procesa višeg prioriteta. Iteracija počinje od R_i(0)=C_i+B_i i ponavlja se dok se ne dostigne fiksna tačka (R konvergira) ili dok ne bude R_i&gt;D_i. Proces je rasporediv ako je R_i ≤ D_i.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Sporadični (event-driven) procesi modeluju se svojim minimalnim međudolaznim vremenom kao T_j pri računanju smetnje (interference). Platforma: SYSCLK = 180 MHz (HSI·PLL: /8·180/2), tick = 1 ms, mereno preko DWT-&gt;CYCCNT (poglavlje 5).</w:t>
      </w:r>
    </w:p>
    <w:p>
      <w:pPr>
        <w:pStyle w:val="Heading1"/>
        <w:spacing w:after="120" w:before="2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2. Procesi, prioriteti, periode (T), rokovi (D) i konstanta N</w:t>
      </w:r>
    </w:p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>Svaki aktor iz specifikacije mapiran je u jedan FreeRTOS proces. Prioriteti prate princip monotonog roka (kraći rok → viši prioritet). CMSIS prioritet osPriorityLow(8) je najniži; svaki sufiks +n podiže prioritet.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50"/>
        <w:gridCol w:w="1050"/>
        <w:gridCol w:w="1150"/>
        <w:gridCol w:w="900"/>
        <w:gridCol w:w="900"/>
        <w:gridCol w:w="3050"/>
      </w:tblGrid>
      <w:tr>
        <w:trPr>
          <w:tblHeader/>
        </w:trPr>
        <w:tc>
          <w:tcPr>
            <w:tcW w:type="dxa" w:w="1500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Proces</w:t>
            </w:r>
          </w:p>
        </w:tc>
        <w:tc>
          <w:tcPr>
            <w:tcW w:type="dxa" w:w="1550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CMSIS prioritet</w:t>
            </w:r>
          </w:p>
        </w:tc>
        <w:tc>
          <w:tcPr>
            <w:tcW w:type="dxa" w:w="1050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Rang</w:t>
            </w:r>
          </w:p>
        </w:tc>
        <w:tc>
          <w:tcPr>
            <w:tcW w:type="dxa" w:w="1150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</w:t>
            </w:r>
          </w:p>
        </w:tc>
        <w:tc>
          <w:tcPr>
            <w:tcW w:type="dxa" w:w="900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 [ms]</w:t>
            </w:r>
          </w:p>
        </w:tc>
        <w:tc>
          <w:tcPr>
            <w:tcW w:type="dxa" w:w="900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 [ms]</w:t>
            </w:r>
          </w:p>
        </w:tc>
        <w:tc>
          <w:tcPr>
            <w:tcW w:type="dxa" w:w="3050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Obrazloženje D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Methane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osPriorityLow7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 (najviši)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periodičan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100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100</w:t>
            </w:r>
          </w:p>
        </w:tc>
        <w:tc>
          <w:tcPr>
            <w:tcW w:type="dxa" w:w="30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Gašenje pumpe ≤ 400 ms uz 1 pogrešno očitavanje ⇒ 2·T + R ≤ 400</w:t>
            </w:r>
          </w:p>
        </w:tc>
      </w:tr>
      <w:tr>
        <w:tc>
          <w:tcPr>
            <w:tcW w:type="dxa" w:w="1500"/>
            <w:shd w:fill="EAF1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PumpFlow</w:t>
            </w:r>
          </w:p>
        </w:tc>
        <w:tc>
          <w:tcPr>
            <w:tcW w:type="dxa" w:w="1550"/>
            <w:shd w:fill="EAF1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osPriorityLow6</w:t>
            </w:r>
          </w:p>
        </w:tc>
        <w:tc>
          <w:tcPr>
            <w:tcW w:type="dxa" w:w="1050"/>
            <w:shd w:fill="EAF1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</w:t>
            </w:r>
          </w:p>
        </w:tc>
        <w:tc>
          <w:tcPr>
            <w:tcW w:type="dxa" w:w="1150"/>
            <w:shd w:fill="EAF1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periodičan</w:t>
            </w:r>
          </w:p>
        </w:tc>
        <w:tc>
          <w:tcPr>
            <w:tcW w:type="dxa" w:w="900"/>
            <w:shd w:fill="EAF1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150</w:t>
            </w:r>
          </w:p>
        </w:tc>
        <w:tc>
          <w:tcPr>
            <w:tcW w:type="dxa" w:w="900"/>
            <w:shd w:fill="EAF1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150</w:t>
            </w:r>
          </w:p>
        </w:tc>
        <w:tc>
          <w:tcPr>
            <w:tcW w:type="dxa" w:w="3050"/>
            <w:shd w:fill="EAF1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Uzorkovanje protoka svake periode; N=6 perioda pokriva td=900 ms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osPriorityLow5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periodičan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150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150</w:t>
            </w:r>
          </w:p>
        </w:tc>
        <w:tc>
          <w:tcPr>
            <w:tcW w:type="dxa" w:w="30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Bazna perioda senzora; alarm na 2 uzast. greške (≤300 ms)</w:t>
            </w:r>
          </w:p>
        </w:tc>
      </w:tr>
      <w:tr>
        <w:tc>
          <w:tcPr>
            <w:tcW w:type="dxa" w:w="1500"/>
            <w:shd w:fill="EAF1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AirFlow</w:t>
            </w:r>
          </w:p>
        </w:tc>
        <w:tc>
          <w:tcPr>
            <w:tcW w:type="dxa" w:w="1550"/>
            <w:shd w:fill="EAF1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osPriorityLow4</w:t>
            </w:r>
          </w:p>
        </w:tc>
        <w:tc>
          <w:tcPr>
            <w:tcW w:type="dxa" w:w="1050"/>
            <w:shd w:fill="EAF1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</w:t>
            </w:r>
          </w:p>
        </w:tc>
        <w:tc>
          <w:tcPr>
            <w:tcW w:type="dxa" w:w="1150"/>
            <w:shd w:fill="EAF1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periodičan</w:t>
            </w:r>
          </w:p>
        </w:tc>
        <w:tc>
          <w:tcPr>
            <w:tcW w:type="dxa" w:w="900"/>
            <w:shd w:fill="EAF1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150</w:t>
            </w:r>
          </w:p>
        </w:tc>
        <w:tc>
          <w:tcPr>
            <w:tcW w:type="dxa" w:w="900"/>
            <w:shd w:fill="EAF1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150</w:t>
            </w:r>
          </w:p>
        </w:tc>
        <w:tc>
          <w:tcPr>
            <w:tcW w:type="dxa" w:w="3050"/>
            <w:shd w:fill="EAF1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Bazna perioda senzora; alarm na 2 uzast. greške (≤300 ms)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WaterLevel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osPriorityLow3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sporadičan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≥5000*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200</w:t>
            </w:r>
          </w:p>
        </w:tc>
        <w:tc>
          <w:tcPr>
            <w:tcW w:type="dxa" w:w="30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Odziv na događaj nivoa vode ≤ 200 ms (spec.)</w:t>
            </w:r>
          </w:p>
        </w:tc>
      </w:tr>
      <w:tr>
        <w:tc>
          <w:tcPr>
            <w:tcW w:type="dxa" w:w="1500"/>
            <w:shd w:fill="EAF1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PumpManager</w:t>
            </w:r>
          </w:p>
        </w:tc>
        <w:tc>
          <w:tcPr>
            <w:tcW w:type="dxa" w:w="1550"/>
            <w:shd w:fill="EAF1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osPriorityLow2</w:t>
            </w:r>
          </w:p>
        </w:tc>
        <w:tc>
          <w:tcPr>
            <w:tcW w:type="dxa" w:w="1050"/>
            <w:shd w:fill="EAF1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6</w:t>
            </w:r>
          </w:p>
        </w:tc>
        <w:tc>
          <w:tcPr>
            <w:tcW w:type="dxa" w:w="1150"/>
            <w:shd w:fill="EAF1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sporadičan</w:t>
            </w:r>
          </w:p>
        </w:tc>
        <w:tc>
          <w:tcPr>
            <w:tcW w:type="dxa" w:w="900"/>
            <w:shd w:fill="EAF1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≥5000*</w:t>
            </w:r>
          </w:p>
        </w:tc>
        <w:tc>
          <w:tcPr>
            <w:tcW w:type="dxa" w:w="900"/>
            <w:shd w:fill="EAF1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200</w:t>
            </w:r>
          </w:p>
        </w:tc>
        <w:tc>
          <w:tcPr>
            <w:tcW w:type="dxa" w:w="3050"/>
            <w:shd w:fill="EAF1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Deo lanca vode; deli budžet od 200 ms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AlarmManager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osPriorityLow1</w:t>
            </w:r>
          </w:p>
        </w:tc>
        <w:tc>
          <w:tcPr>
            <w:tcW w:type="dxa" w:w="10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7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sporadičan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≥100*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300</w:t>
            </w:r>
          </w:p>
        </w:tc>
        <w:tc>
          <w:tcPr>
            <w:tcW w:type="dxa" w:w="30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Podizanje alarma u roku tc=300 ms nakon detekcije</w:t>
            </w:r>
          </w:p>
        </w:tc>
      </w:tr>
      <w:tr>
        <w:tc>
          <w:tcPr>
            <w:tcW w:type="dxa" w:w="1500"/>
            <w:shd w:fill="EAF1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UIComms</w:t>
            </w:r>
          </w:p>
        </w:tc>
        <w:tc>
          <w:tcPr>
            <w:tcW w:type="dxa" w:w="1550"/>
            <w:shd w:fill="EAF1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osPriorityLow</w:t>
            </w:r>
          </w:p>
        </w:tc>
        <w:tc>
          <w:tcPr>
            <w:tcW w:type="dxa" w:w="1050"/>
            <w:shd w:fill="EAF1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 (najniži)</w:t>
            </w:r>
          </w:p>
        </w:tc>
        <w:tc>
          <w:tcPr>
            <w:tcW w:type="dxa" w:w="1150"/>
            <w:shd w:fill="EAF1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periodičan</w:t>
            </w:r>
          </w:p>
        </w:tc>
        <w:tc>
          <w:tcPr>
            <w:tcW w:type="dxa" w:w="900"/>
            <w:shd w:fill="EAF1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150</w:t>
            </w:r>
          </w:p>
        </w:tc>
        <w:tc>
          <w:tcPr>
            <w:tcW w:type="dxa" w:w="900"/>
            <w:shd w:fill="EAF1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150 (meki)</w:t>
            </w:r>
          </w:p>
        </w:tc>
        <w:tc>
          <w:tcPr>
            <w:tcW w:type="dxa" w:w="3050"/>
            <w:shd w:fill="EAF1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Telemetrija/komande; bez tvrdog roka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i/>
          <w:iCs/>
          <w:sz w:val="16"/>
          <w:szCs w:val="16"/>
        </w:rPr>
        <w:t xml:space="preserve">* sporadični procesi — vrednost je minimalno međudolazno vreme; koristi se kao T pri računanju smetnje. defaultTask (osPriorityNormal) izvršava samo osDelay(1) i sažet je u sistemski režijski trošak (SysOverhead, ~5 µs/ms).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Konstanta N. </w:t>
      </w:r>
      <w:r>
        <w:rPr>
          <w:rFonts w:ascii="Calibri" w:cs="Calibri" w:eastAsia="Calibri" w:hAnsi="Calibri"/>
          <w:sz w:val="20"/>
          <w:szCs w:val="20"/>
        </w:rPr>
        <w:t xml:space="preserve">Procesu kontrole protoka daje se td = 900 ms da utvrdi stvarno stanje pumpe. Pri periodi T = 150 ms: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N = td / T = 900 / 150 = 6</w:t>
      </w:r>
      <w:r>
        <w:rPr>
          <w:rFonts w:ascii="Calibri" w:cs="Calibri" w:eastAsia="Calibri" w:hAnsi="Calibri"/>
          <w:sz w:val="20"/>
          <w:szCs w:val="20"/>
        </w:rPr>
        <w:t xml:space="preserve"> (u kodu PUMP_FLOW_N_PERIODS = 6). Provera otkaza je u aktivaciji N+1 (7.), a alarm se podiže u dodatnih tc = 300 ms.</w:t>
      </w:r>
    </w:p>
    <w:p>
      <w:pPr>
        <w:pStyle w:val="Heading1"/>
        <w:spacing w:after="120" w:before="2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 Procena vremena izvršavanja (C) i blokiranja (B)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C_i je procenjeno iz putanje najgoreg slučaja u kodu, uz troškove HAL/RTOS poziva na 180 MHz (1 ciklus ≈ 5,56 ns): muteks par ≈ 6 µs, ADC očitaj+start ≈ 6 µs (12-bit, 3 ciklusa uzorkovanja, konverzija ≈ 0,67 µs — spremna zbog pomeranja periode, bez čekanja), GPIO pristup ≈ 1 µs, postavljanje event-flaga ≈ 3 µs. UIComms dominira blokirajućim UART slanjem (~200 B na 115200 bit/s ≈ 17,4 ms) i snprintf (~150 µs) — ali je najnižeg prioriteta i meki. Vrednosti su procene; izmeriti na ploči (poglavlje 5).</w:t>
      </w:r>
    </w:p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>Blokiranje: deljeni resursi su sensorDataMutex i pumpMutex; sve kritične sekcije su kratke (kopija/upis, ≈ 5 µs) i UART slanje je van muteksa. Uz nasleđivanje prioriteta proces se blokira najviše jednom po aktivaciji ⇒ B_i ≈ 10 µs (konzervativno).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1150"/>
        <w:gridCol w:w="1150"/>
        <w:gridCol w:w="1150"/>
        <w:gridCol w:w="4200"/>
      </w:tblGrid>
      <w:tr>
        <w:trPr>
          <w:tblHeader/>
        </w:trPr>
        <w:tc>
          <w:tcPr>
            <w:tcW w:type="dxa" w:w="1450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Proces</w:t>
            </w:r>
          </w:p>
        </w:tc>
        <w:tc>
          <w:tcPr>
            <w:tcW w:type="dxa" w:w="1150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C_i [ms]</w:t>
            </w:r>
          </w:p>
        </w:tc>
        <w:tc>
          <w:tcPr>
            <w:tcW w:type="dxa" w:w="1150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C_i [µs]</w:t>
            </w:r>
          </w:p>
        </w:tc>
        <w:tc>
          <w:tcPr>
            <w:tcW w:type="dxa" w:w="1150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B_i [µs]</w:t>
            </w:r>
          </w:p>
        </w:tc>
        <w:tc>
          <w:tcPr>
            <w:tcW w:type="dxa" w:w="4200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Dominantni doprinos C_i</w:t>
            </w:r>
          </w:p>
        </w:tc>
      </w:tr>
      <w:tr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Methane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0,040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40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ADC očitaj/start + muteks + gašenje pumpe (inline) + alarm</w:t>
            </w:r>
          </w:p>
        </w:tc>
      </w:tr>
      <w:tr>
        <w:tc>
          <w:tcPr>
            <w:tcW w:type="dxa" w:w="1450"/>
            <w:shd w:fill="EAF1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PumpFlow</w:t>
            </w:r>
          </w:p>
        </w:tc>
        <w:tc>
          <w:tcPr>
            <w:tcW w:type="dxa" w:w="1150"/>
            <w:shd w:fill="EAF1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0,020</w:t>
            </w:r>
          </w:p>
        </w:tc>
        <w:tc>
          <w:tcPr>
            <w:tcW w:type="dxa" w:w="1150"/>
            <w:shd w:fill="EAF1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20</w:t>
            </w:r>
          </w:p>
        </w:tc>
        <w:tc>
          <w:tcPr>
            <w:tcW w:type="dxa" w:w="1150"/>
            <w:shd w:fill="EAF1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</w:t>
            </w:r>
          </w:p>
        </w:tc>
        <w:tc>
          <w:tcPr>
            <w:tcW w:type="dxa" w:w="4200"/>
            <w:shd w:fill="EAF1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pumpMutex + GPIO čitanje protoka + grananje</w:t>
            </w:r>
          </w:p>
        </w:tc>
      </w:tr>
      <w:tr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0,025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25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ADC očitaj/start + sensorDataMutex + poređenje praga</w:t>
            </w:r>
          </w:p>
        </w:tc>
      </w:tr>
      <w:tr>
        <w:tc>
          <w:tcPr>
            <w:tcW w:type="dxa" w:w="1450"/>
            <w:shd w:fill="EAF1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AirFlow</w:t>
            </w:r>
          </w:p>
        </w:tc>
        <w:tc>
          <w:tcPr>
            <w:tcW w:type="dxa" w:w="1150"/>
            <w:shd w:fill="EAF1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0,025</w:t>
            </w:r>
          </w:p>
        </w:tc>
        <w:tc>
          <w:tcPr>
            <w:tcW w:type="dxa" w:w="1150"/>
            <w:shd w:fill="EAF1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25</w:t>
            </w:r>
          </w:p>
        </w:tc>
        <w:tc>
          <w:tcPr>
            <w:tcW w:type="dxa" w:w="1150"/>
            <w:shd w:fill="EAF1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</w:t>
            </w:r>
          </w:p>
        </w:tc>
        <w:tc>
          <w:tcPr>
            <w:tcW w:type="dxa" w:w="4200"/>
            <w:shd w:fill="EAF1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ADC očitaj/start + sensorDataMutex + poređenje praga</w:t>
            </w:r>
          </w:p>
        </w:tc>
      </w:tr>
      <w:tr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WaterLevel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0,020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20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semafor + uzorkovanje GPIO + upis u red poruka</w:t>
            </w:r>
          </w:p>
        </w:tc>
      </w:tr>
      <w:tr>
        <w:tc>
          <w:tcPr>
            <w:tcW w:type="dxa" w:w="1450"/>
            <w:shd w:fill="EAF1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PumpManager</w:t>
            </w:r>
          </w:p>
        </w:tc>
        <w:tc>
          <w:tcPr>
            <w:tcW w:type="dxa" w:w="1150"/>
            <w:shd w:fill="EAF1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0,030</w:t>
            </w:r>
          </w:p>
        </w:tc>
        <w:tc>
          <w:tcPr>
            <w:tcW w:type="dxa" w:w="1150"/>
            <w:shd w:fill="EAF1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30</w:t>
            </w:r>
          </w:p>
        </w:tc>
        <w:tc>
          <w:tcPr>
            <w:tcW w:type="dxa" w:w="1150"/>
            <w:shd w:fill="EAF1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</w:t>
            </w:r>
          </w:p>
        </w:tc>
        <w:tc>
          <w:tcPr>
            <w:tcW w:type="dxa" w:w="4200"/>
            <w:shd w:fill="EAF1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red poruka + provera okruženja + postavljanje pumpe</w:t>
            </w:r>
          </w:p>
        </w:tc>
      </w:tr>
      <w:tr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AlarmManager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0,015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15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event-flag + bitmaska + GPIO alarm</w:t>
            </w:r>
          </w:p>
        </w:tc>
      </w:tr>
      <w:tr>
        <w:tc>
          <w:tcPr>
            <w:tcW w:type="dxa" w:w="1450"/>
            <w:shd w:fill="EAF1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UIComms</w:t>
            </w:r>
          </w:p>
        </w:tc>
        <w:tc>
          <w:tcPr>
            <w:tcW w:type="dxa" w:w="1150"/>
            <w:shd w:fill="EAF1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17,600</w:t>
            </w:r>
          </w:p>
        </w:tc>
        <w:tc>
          <w:tcPr>
            <w:tcW w:type="dxa" w:w="1150"/>
            <w:shd w:fill="EAF1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17600</w:t>
            </w:r>
          </w:p>
        </w:tc>
        <w:tc>
          <w:tcPr>
            <w:tcW w:type="dxa" w:w="1150"/>
            <w:shd w:fill="EAF1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</w:t>
            </w:r>
          </w:p>
        </w:tc>
        <w:tc>
          <w:tcPr>
            <w:tcW w:type="dxa" w:w="4200"/>
            <w:shd w:fill="EAF1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blokirajuće UART slanje (~200 B @115200) + snprintf</w:t>
            </w:r>
          </w:p>
        </w:tc>
      </w:tr>
      <w:tr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SysOverhead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0,005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defaultTask osDelay(1) + SysTick + kratki ISR-ovi</w:t>
            </w:r>
          </w:p>
        </w:tc>
      </w:tr>
    </w:tbl>
    <w:p>
      <w:pPr>
        <w:pStyle w:val="Heading1"/>
        <w:spacing w:after="120" w:before="2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4. Rezultati analize vremena odziva</w:t>
      </w:r>
    </w:p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>Rekurencija konvergira u 2 iteracije za svaki proces. Svi procesi zadovoljavaju R_i ≤ D_i sa velikom rezervom (ukupna iskorišćenost procesora ≈ 12 %, gotovo isključivo zbog UIComms UART slanja).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250"/>
        <w:gridCol w:w="1250"/>
        <w:gridCol w:w="1150"/>
        <w:gridCol w:w="1450"/>
        <w:gridCol w:w="1600"/>
      </w:tblGrid>
      <w:tr>
        <w:trPr>
          <w:tblHeader/>
        </w:trPr>
        <w:tc>
          <w:tcPr>
            <w:tcW w:type="dxa" w:w="3100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Proces (opadajući prioritet)</w:t>
            </w:r>
          </w:p>
        </w:tc>
        <w:tc>
          <w:tcPr>
            <w:tcW w:type="dxa" w:w="1250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C+B [ms]</w:t>
            </w:r>
          </w:p>
        </w:tc>
        <w:tc>
          <w:tcPr>
            <w:tcW w:type="dxa" w:w="1250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R_i [ms]</w:t>
            </w:r>
          </w:p>
        </w:tc>
        <w:tc>
          <w:tcPr>
            <w:tcW w:type="dxa" w:w="1150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D_i [ms]</w:t>
            </w:r>
          </w:p>
        </w:tc>
        <w:tc>
          <w:tcPr>
            <w:tcW w:type="dxa" w:w="1450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Rezerva [ms]</w:t>
            </w:r>
          </w:p>
        </w:tc>
        <w:tc>
          <w:tcPr>
            <w:tcW w:type="dxa" w:w="1600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Rasporediv?</w:t>
            </w:r>
          </w:p>
        </w:tc>
      </w:tr>
      <w:tr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Methane</w:t>
            </w:r>
          </w:p>
        </w:tc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0,050</w:t>
            </w:r>
          </w:p>
        </w:tc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0,055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100</w:t>
            </w:r>
          </w:p>
        </w:tc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99,9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DA</w:t>
            </w:r>
          </w:p>
        </w:tc>
      </w:tr>
      <w:tr>
        <w:tc>
          <w:tcPr>
            <w:tcW w:type="dxa" w:w="3100"/>
            <w:shd w:fill="EAF1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PumpFlow</w:t>
            </w:r>
          </w:p>
        </w:tc>
        <w:tc>
          <w:tcPr>
            <w:tcW w:type="dxa" w:w="1250"/>
            <w:shd w:fill="EAF1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0,030</w:t>
            </w:r>
          </w:p>
        </w:tc>
        <w:tc>
          <w:tcPr>
            <w:tcW w:type="dxa" w:w="1250"/>
            <w:shd w:fill="EAF1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0,075</w:t>
            </w:r>
          </w:p>
        </w:tc>
        <w:tc>
          <w:tcPr>
            <w:tcW w:type="dxa" w:w="1150"/>
            <w:shd w:fill="EAF1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150</w:t>
            </w:r>
          </w:p>
        </w:tc>
        <w:tc>
          <w:tcPr>
            <w:tcW w:type="dxa" w:w="1450"/>
            <w:shd w:fill="EAF1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149,9</w:t>
            </w:r>
          </w:p>
        </w:tc>
        <w:tc>
          <w:tcPr>
            <w:tcW w:type="dxa" w:w="1600"/>
            <w:shd w:fill="EAF1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DA</w:t>
            </w:r>
          </w:p>
        </w:tc>
      </w:tr>
      <w:tr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</w:t>
            </w:r>
          </w:p>
        </w:tc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0,035</w:t>
            </w:r>
          </w:p>
        </w:tc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0,100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150</w:t>
            </w:r>
          </w:p>
        </w:tc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149,9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DA</w:t>
            </w:r>
          </w:p>
        </w:tc>
      </w:tr>
      <w:tr>
        <w:tc>
          <w:tcPr>
            <w:tcW w:type="dxa" w:w="3100"/>
            <w:shd w:fill="EAF1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AirFlow</w:t>
            </w:r>
          </w:p>
        </w:tc>
        <w:tc>
          <w:tcPr>
            <w:tcW w:type="dxa" w:w="1250"/>
            <w:shd w:fill="EAF1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0,035</w:t>
            </w:r>
          </w:p>
        </w:tc>
        <w:tc>
          <w:tcPr>
            <w:tcW w:type="dxa" w:w="1250"/>
            <w:shd w:fill="EAF1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0,125</w:t>
            </w:r>
          </w:p>
        </w:tc>
        <w:tc>
          <w:tcPr>
            <w:tcW w:type="dxa" w:w="1150"/>
            <w:shd w:fill="EAF1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150</w:t>
            </w:r>
          </w:p>
        </w:tc>
        <w:tc>
          <w:tcPr>
            <w:tcW w:type="dxa" w:w="1450"/>
            <w:shd w:fill="EAF1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149,9</w:t>
            </w:r>
          </w:p>
        </w:tc>
        <w:tc>
          <w:tcPr>
            <w:tcW w:type="dxa" w:w="1600"/>
            <w:shd w:fill="EAF1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DA</w:t>
            </w:r>
          </w:p>
        </w:tc>
      </w:tr>
      <w:tr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WaterLevel</w:t>
            </w:r>
          </w:p>
        </w:tc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0,030</w:t>
            </w:r>
          </w:p>
        </w:tc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0,145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200</w:t>
            </w:r>
          </w:p>
        </w:tc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199,9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DA</w:t>
            </w:r>
          </w:p>
        </w:tc>
      </w:tr>
      <w:tr>
        <w:tc>
          <w:tcPr>
            <w:tcW w:type="dxa" w:w="3100"/>
            <w:shd w:fill="EAF1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PumpManager</w:t>
            </w:r>
          </w:p>
        </w:tc>
        <w:tc>
          <w:tcPr>
            <w:tcW w:type="dxa" w:w="1250"/>
            <w:shd w:fill="EAF1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0,040</w:t>
            </w:r>
          </w:p>
        </w:tc>
        <w:tc>
          <w:tcPr>
            <w:tcW w:type="dxa" w:w="1250"/>
            <w:shd w:fill="EAF1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0,175</w:t>
            </w:r>
          </w:p>
        </w:tc>
        <w:tc>
          <w:tcPr>
            <w:tcW w:type="dxa" w:w="1150"/>
            <w:shd w:fill="EAF1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200</w:t>
            </w:r>
          </w:p>
        </w:tc>
        <w:tc>
          <w:tcPr>
            <w:tcW w:type="dxa" w:w="1450"/>
            <w:shd w:fill="EAF1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199,8</w:t>
            </w:r>
          </w:p>
        </w:tc>
        <w:tc>
          <w:tcPr>
            <w:tcW w:type="dxa" w:w="1600"/>
            <w:shd w:fill="EAF1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DA</w:t>
            </w:r>
          </w:p>
        </w:tc>
      </w:tr>
      <w:tr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AlarmManager</w:t>
            </w:r>
          </w:p>
        </w:tc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0,025</w:t>
            </w:r>
          </w:p>
        </w:tc>
        <w:tc>
          <w:tcPr>
            <w:tcW w:type="dxa" w:w="1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0,190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300</w:t>
            </w:r>
          </w:p>
        </w:tc>
        <w:tc>
          <w:tcPr>
            <w:tcW w:type="dxa" w:w="1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299,8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DA</w:t>
            </w:r>
          </w:p>
        </w:tc>
      </w:tr>
      <w:tr>
        <w:tc>
          <w:tcPr>
            <w:tcW w:type="dxa" w:w="3100"/>
            <w:shd w:fill="EAF1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UIComms</w:t>
            </w:r>
          </w:p>
        </w:tc>
        <w:tc>
          <w:tcPr>
            <w:tcW w:type="dxa" w:w="1250"/>
            <w:shd w:fill="EAF1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17,600</w:t>
            </w:r>
          </w:p>
        </w:tc>
        <w:tc>
          <w:tcPr>
            <w:tcW w:type="dxa" w:w="1250"/>
            <w:shd w:fill="EAF1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17,865</w:t>
            </w:r>
          </w:p>
        </w:tc>
        <w:tc>
          <w:tcPr>
            <w:tcW w:type="dxa" w:w="1150"/>
            <w:shd w:fill="EAF1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150</w:t>
            </w:r>
          </w:p>
        </w:tc>
        <w:tc>
          <w:tcPr>
            <w:tcW w:type="dxa" w:w="1450"/>
            <w:shd w:fill="EAF1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132,1</w:t>
            </w:r>
          </w:p>
        </w:tc>
        <w:tc>
          <w:tcPr>
            <w:tcW w:type="dxa" w:w="1600"/>
            <w:shd w:fill="EAF1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DA (meki)</w:t>
            </w:r>
          </w:p>
        </w:tc>
      </w:tr>
    </w:tbl>
    <w:p>
      <w:pPr>
        <w:pStyle w:val="Heading2"/>
        <w:spacing w:after="8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Provera lanaca krajnjeg roka (end-to-end)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Metan → gašenje pumpe ≤ 400 ms: pumpa se gasi unutar Methane procesa (SetMethaneCritical drži pumpMutex i upisuje GPIO), bez čekanja na PumpManager. Najgori slučaj = kašnjenje uzorkovanja + jedno pogrešno očitavanje = 2·100 ms + R = 200,06 ms ≤ 400 ms. Rezerva ≈ 200 ms.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Nivo vode (sporadičan) ≤ 200 ms: ISR → semafor → WaterLevel (R=0,145) → red → PumpManager (R=0,175). Zbir ≈ 0,32 ms ≪ 200 ms.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Otkaz pumpe → alarm: detekcija u aktivaciji N+1 nakon td=900 ms, zatim alarm u tc=300 ms; R(AlarmManager)=0,19 ms ≪ 300 ms.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Alarm na 2 uzastopne greške senzora: detekcija u 2·150 = 300 ms + R(AlarmManager) ≪ budžet.</w:t>
      </w:r>
    </w:p>
    <w:p>
      <w:pPr>
        <w:pStyle w:val="Heading1"/>
        <w:spacing w:after="120" w:before="2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5. Merenje C_i na ploči (DWT ciklus-brojač)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Procene iz poglavlja 3 zameniti stvarnim merenjima. Omogućiti DWT-&gt;CYCCNT jednom pri startu, ograditi telo procesa i uzeti maksimum kroz mnogo aktivacija: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// jednom (npr. u main, pre scheduler-a):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CoreDebug-&gt;DEMCR |= CoreDebug_DEMCR_TRCENA_Msk;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DWT-&gt;CYCCNT = 0; DWT-&gt;CTRL |= DWT_CTRL_CYCCNTENA_Msk;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// u telu procesa, oko posla jedne aktivacije: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uint32_t t0 = DWT-&gt;CYCCNT;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/* ... telo procesa ... */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uint32_t dc = DWT-&gt;CYCCNT - t0;      // ciklusi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if (dc &gt; wcetCycles[i]) wcetCycles[i] = dc;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// C_i[us] = wcetCycles[i] / 180.0   (SYSCLK = 180 MHz)</w:t>
      </w:r>
    </w:p>
    <w:p>
      <w:pPr>
        <w:spacing w:after="120" w:before="80"/>
      </w:pPr>
      <w:r>
        <w:rPr>
          <w:rFonts w:ascii="Calibri" w:cs="Calibri" w:eastAsia="Calibri" w:hAnsi="Calibri"/>
          <w:sz w:val="20"/>
          <w:szCs w:val="20"/>
        </w:rPr>
        <w:t xml:space="preserve">Meriti pod opterećenjem najgoreg slučaja: greške očitavanja (CRASH_SENSOR), kritični nivo metana, tranzicije pumpe i pun telemetrijski string. Zameniti C_i u tabeli 3 i ponovo pokrenuti rekurenciju — zaključak (rasporedivost sa velikom rezervom) ostaje robustan i uz višestruko veće izmerene vrednosti.</w:t>
      </w:r>
    </w:p>
    <w:p>
      <w:pPr>
        <w:pStyle w:val="Heading1"/>
        <w:spacing w:after="120" w:before="2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6. Zaključak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Skup procesa je rasporediv pod FPS-om: za svaki proces R_i ≤ D_i, uz konvergenciju u 2 iteracije. Prioriteti dodeljeni po monotonom roku (Methane najviši, UIComms najniži) su optimalni za dati skup rokova. Svi vremenski zahtevi specifikacije (400 ms za metan, 200 ms za nivo vode, td=900 ms + tc=300 ms za otkaz pumpe) zadovoljeni su sa značajnom rezervom. Konstanta N=6. Iskorišćenost procesora je niska (≈12 %), pa sistem podnosi i znatno pesimističnije izmerene C_i.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2026-07-24T23:18:15.402Z</dcterms:created>
  <dcterms:modified xsi:type="dcterms:W3CDTF">2026-07-24T23:18:15.402Z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