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b5394"/>
        </w:rPr>
      </w:pPr>
      <w:bookmarkStart w:colFirst="0" w:colLast="0" w:name="_4k1pamydan80" w:id="0"/>
      <w:bookmarkEnd w:id="0"/>
      <w:r w:rsidDel="00000000" w:rsidR="00000000" w:rsidRPr="00000000">
        <w:rPr>
          <w:color w:val="0b5394"/>
          <w:rtl w:val="0"/>
        </w:rPr>
        <w:t xml:space="preserve">Расуђивање по случајевима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3d85c6"/>
          <w:sz w:val="30"/>
          <w:szCs w:val="30"/>
        </w:rPr>
      </w:pPr>
      <w:bookmarkStart w:colFirst="0" w:colLast="0" w:name="_6hi71r2l9aec" w:id="1"/>
      <w:bookmarkEnd w:id="1"/>
      <w:r w:rsidDel="00000000" w:rsidR="00000000" w:rsidRPr="00000000">
        <w:rPr>
          <w:color w:val="3d85c6"/>
          <w:sz w:val="30"/>
          <w:szCs w:val="30"/>
          <w:rtl w:val="0"/>
        </w:rPr>
        <w:t xml:space="preserve">Вежбе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Одабрати скуп првостепених кривичних пресуда које се односе на неовлашћену производњу, држање и стављање у промет опојних дрога.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Применом алата </w:t>
      </w:r>
      <w:r w:rsidDel="00000000" w:rsidR="00000000" w:rsidRPr="00000000">
        <w:rPr>
          <w:i w:val="1"/>
          <w:iCs w:val="1"/>
          <w:rtl w:val="0"/>
        </w:rPr>
        <w:t xml:space="preserve">jCOLIBRI</w:t>
      </w:r>
      <w:r w:rsidDel="00000000" w:rsidR="00000000" w:rsidRPr="00000000">
        <w:rPr>
          <w:rtl w:val="0"/>
        </w:rPr>
        <w:t xml:space="preserve"> моделовати атрибуте и фунцкије сличности за одабране атрибуте.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Задавати упите и анализирати добијене резултате.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Пресуде је могуће пронаћи на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https://www.sudovi.me/sdvi/odluke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udovi.me/sdvi/odlu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