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bottom w:color="000000" w:space="0" w:sz="0" w:val="none"/>
        </w:pBdr>
        <w:jc w:val="center"/>
        <w:rPr/>
      </w:pPr>
      <w:r w:rsidDel="00000000" w:rsidR="00000000" w:rsidRPr="00000000">
        <w:rPr>
          <w:rtl w:val="0"/>
        </w:rPr>
        <w:t xml:space="preserve">Расуђивање по правилима</w:t>
      </w:r>
    </w:p>
    <w:p w:rsidR="00000000" w:rsidDel="00000000" w:rsidP="00000000" w:rsidRDefault="00000000" w:rsidRPr="00000000" w14:paraId="00000002">
      <w:pPr>
        <w:pStyle w:val="Subtitle"/>
        <w:jc w:val="center"/>
        <w:rPr/>
      </w:pPr>
      <w:r w:rsidDel="00000000" w:rsidR="00000000" w:rsidRPr="00000000">
        <w:rPr>
          <w:rtl w:val="0"/>
        </w:rPr>
        <w:t xml:space="preserve">Правна информатика - Вежбе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Задатак 1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Модификовати датотеку </w:t>
      </w:r>
      <w:r w:rsidDel="00000000" w:rsidR="00000000" w:rsidRPr="00000000">
        <w:rPr>
          <w:i w:val="1"/>
          <w:iCs w:val="1"/>
          <w:rtl w:val="0"/>
        </w:rPr>
        <w:t xml:space="preserve">rulebase </w:t>
      </w:r>
      <w:r w:rsidDel="00000000" w:rsidR="00000000" w:rsidRPr="00000000">
        <w:rPr>
          <w:rtl w:val="0"/>
        </w:rPr>
        <w:t xml:space="preserve">тако да обухвата: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Правила (диспозиције и санкције) за све нивое прекорачења брзине уколико возач вози по путу ван насеља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driving_on)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Правила (диспозиције и санкције) за све нивое прекорачења брзине уколико је изазвана саобраћајна незгода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caused_accident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Санкције моделовати тако да обухватају затворске и новчане казне и казнене поене.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Као извор информација користити чланове 43, 44, 330, 331, 332, 332a, 333, 334 и 335 Закона о безбедности саобраћаја на путевима.</w:t>
      </w:r>
    </w:p>
    <w:p w:rsidR="00000000" w:rsidDel="00000000" w:rsidP="00000000" w:rsidRDefault="00000000" w:rsidRPr="00000000" w14:paraId="0000000A">
      <w:pPr>
        <w:jc w:val="both"/>
        <w:rPr>
          <w:b w:val="1"/>
          <w:bCs w:val="1"/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Задатак 2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У Закону о безбедности саобраћаја на путевима пронаћи чланове који се односе на вожњу у алкохолисаном стању.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Моделовати правила (диспозиције и санкције) на основу пронађених чланова закона. Правилима обухватити различите степене алкохолисаности возача. 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Санкције треба да садрже затворске и новчане казне. 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Алат можете пронаћи на линку: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dr-device</w:t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i w:val="1"/>
          <w:iCs w:val="1"/>
          <w:color w:val="80808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sr-Cyrl-R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link w:val="TitleChar"/>
    <w:uiPriority w:val="10"/>
    <w:qFormat w:val="1"/>
    <w:rsid w:val="009001B9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9001B9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9001B9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9001B9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1"/>
    <w:rsid w:val="002534EF"/>
    <w:rPr>
      <w:i w:val="1"/>
      <w:iCs w:val="1"/>
      <w:color w:val="808080" w:themeColor="text1" w:themeTint="00007F"/>
    </w:rPr>
  </w:style>
  <w:style w:type="paragraph" w:styleId="ListParagraph">
    <w:name w:val="List Paragraph"/>
    <w:basedOn w:val="Normal"/>
    <w:uiPriority w:val="34"/>
    <w:qFormat w:val="1"/>
    <w:rsid w:val="002534EF"/>
    <w:pPr>
      <w:ind w:left="720"/>
      <w:contextualSpacing w:val="1"/>
    </w:pPr>
  </w:style>
  <w:style w:type="paragraph" w:styleId="Subtitle">
    <w:name w:val="Subtitle"/>
    <w:basedOn w:val="Normal"/>
    <w:next w:val="Normal"/>
    <w:pPr/>
    <w:rPr>
      <w:rFonts w:ascii="Cambria" w:cs="Cambria" w:eastAsia="Cambria" w:hAnsi="Cambria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bwlsejDYS7I0FoHm0ZgwFwFI4Tdnush1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WJdpB8ZmixxevNq0oTENI44xUg==">CgMxLjAyCGguZ2pkZ3hzOAByITFvZmxDWTA3cHZmbGdsS0l1ODFUTzlyZDk1YjhtaC1JVQ==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2022-11-24T15:45:00Z</dcterms:created>
  <dc:creator>Windows User</dc:creator>
</cp:coreProperties>
</file>