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r="http://purl.oclc.org/ooxml/officeDocument/relationships" xmlns:m="http://purl.oclc.org/ooxml/officeDocument/math" xmlns:o="urn:schemas-microsoft-com:office:office" xmlns:v="urn:schemas-microsoft-com:vml"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mc="http://schemas.openxmlformats.org/markup-compatibility/2006" mc:Ignorable="w14 w15 wne">
  <w:body>
    <w:p>
      <w:pPr>
        <w:pStyle w:val="papertitle"/>
      </w:pPr>
      <w:r>
        <w:t xml:space="preserve">NFL Player Performance Prediction Using Machine Learning: Position-Specific Regression Models for Yards per Game</w:t>
      </w:r>
    </w:p>
    <w:p>
      <w:pPr>
        <w:pStyle w:val="Author"/>
      </w:pPr>
      <w:r>
        <w:t xml:space="preserve">Milan Jovkić, Marko Petrović</w:t>
      </w:r>
    </w:p>
    <w:p>
      <w:pPr>
        <w:pStyle w:val="Affiliation"/>
      </w:pPr>
      <w:r>
        <w:t xml:space="preserve">Department of Software Engineering and Information Technology</w:t>
      </w:r>
    </w:p>
    <w:p>
      <w:pPr>
        <w:pStyle w:val="Affiliation"/>
      </w:pPr>
      <w:r>
        <w:t xml:space="preserve">University of Novi Sad, Faculty of Technical Sciences</w:t>
      </w:r>
    </w:p>
    <w:p>
      <w:pPr>
        <w:pStyle w:val="Affiliation"/>
      </w:pPr>
      <w:r>
        <w:t xml:space="preserve">Novi Sad, Serbia</w:t>
      </w:r>
    </w:p>
    <w:p>
      <w:pPr>
        <w:pStyle w:val="Abstract"/>
      </w:pPr>
      <w:r>
        <w:rPr>
          <w:i/>
        </w:rPr>
        <w:t xml:space="preserve">Abstract—</w:t>
      </w:r>
      <w:r>
        <w:t xml:space="preserve">Accurate prediction of NFL player performance is a valuable and challenging task in sports analytics, with practical applications spanning team management, fantasy sports, and player contract evaluation. This paper presents a position-specific machine learning framework for predicting yards per game for four offensive skill positions: quarterback (QB), running back (RB), tight end (TE), and wide receiver (WR). Data were collected from Pro Football Reference, NFL Elo quarterback ratings, and the nflverse dataset, resulting in four curated datasets with between 351 and 5,529 player-season records. Exploratory data analysis revealed distinct distributional characteristics per position, motivating independent modeling pipelines. The target variable—yards per game—was selected to control for the confounding effect of missed games due to injury. The feature engineering pipeline incorporates lag-based historical statistics (lag-1 and lag-2 seasons), five multi-label binary award indicators, and a team change flag. Eight regression models were evaluated using both a single-season hold-out (2024 season) and walk-forward (rolling expanding window) validation across four temporal folds. Results show that TE performance is most predictable (R² = 0.451 on hold-out with Lasso; 0.502 avg. walk-forward with Ridge), followed by WR (R² ≈ 0.325/0.328). QB and RB remain challenging (R² ≈ 0.14–0.25), reflecting dependence on contextual factors not captured in seasonal statistics. Walk-forward evaluation confirms temporal stability for TE and WR, while QB shows high inter-season variance. The results confirm that position-specific pipelines, temporally-valid feature engineering, and appropriate regularization are essential for reliable NFL performance prediction.</w:t>
      </w:r>
    </w:p>
    <w:p>
      <w:pPr>
        <w:pStyle w:val="Keywords"/>
      </w:pPr>
      <w:r>
        <w:rPr>
          <w:i/>
        </w:rPr>
        <w:t xml:space="preserve">Keywords—</w:t>
      </w:r>
      <w:r>
        <w:t xml:space="preserve">NFL; machine learning; sports analytics; performance prediction; yards per game; gradient boosting; ensemble methods; lag features; regularization</w:t>
      </w:r>
    </w:p>
    <w:p>
      <w:pPr>
        <w:sectPr>
          <w:pgSz w:w="595.30pt" w:h="841.90pt" w:code="9"/>
          <w:pgMar w:top="54pt" w:right="44.65pt" w:bottom="72pt" w:left="44.65pt" w:header="36pt" w:footer="36pt" w:gutter="0pt"/>
          <w:cols w:num="1" w:space="36pt"/>
          <w:docGrid w:linePitch="360"/>
        </w:sectPr>
      </w:pPr>
    </w:p>
    <w:p>
      <w:pPr>
        <w:pStyle w:val="Heading1"/>
      </w:pPr>
      <w:r>
        <w:t xml:space="preserve">I. Introduction</w:t>
      </w:r>
    </w:p>
    <w:p>
      <w:pPr>
        <w:pStyle w:val="BodyText"/>
      </w:pPr>
      <w:r>
        <w:t xml:space="preserve">The National Football League (NFL) generates an enormous volume of statistical data each season, creating fertile ground for data-driven research. Predicting individual player performance has significant practical value: coaching staffs leverage performance projections for game planning and roster construction decisions, front offices use them during contract negotiations and free-agency evaluations, and an estimated 50 million fantasy sports participants benefit directly from reliable player forecasts [1].</w:t>
      </w:r>
    </w:p>
    <w:p>
      <w:pPr>
        <w:pStyle w:val="BodyText"/>
      </w:pPr>
      <w:r>
        <w:t xml:space="preserve">Despite this demand, accurate performance prediction in professional American football remains fundamentally difficult. Player output is the product of individual skill, team offensive system, coaching strategy, opposing defensive quality, and unpredictable stochastic events such as injuries, fumbles, and weather conditions. These factors are only partially observable through conventional box-score statistics, and their interactions are highly nonlinear.</w:t>
      </w:r>
    </w:p>
    <w:p>
      <w:pPr>
        <w:pStyle w:val="BodyText"/>
      </w:pPr>
      <w:r>
        <w:t xml:space="preserve">Existing approaches to NFL performance prediction range from purely statistical regression models to deep learning sequence architectures. However, many published systems treat all positions uniformly or focus exclusively on fantasy-relevant composite scores rather than individual statistical categories. Furthermore, rigorous temporally-valid evaluation protocols are rarely applied, leading to over-optimistic performance estimates.</w:t>
      </w:r>
    </w:p>
    <w:p>
      <w:pPr>
        <w:pStyle w:val="BodyText"/>
      </w:pPr>
      <w:r>
        <w:t xml:space="preserve">This work addresses performance prediction as a regression problem, targeting yards per game for four offensive skill positions: QB (passing yards per game), RB (rushing yards per game), TE (receiving yards per game), and WR (receiving yards per game). We construct and evaluate separate models per position, motivated by the distinct statistical profiles and distributional properties identified during a comprehensive exploratory data analysis (EDA) phase. Our primary contributions are: (1) a multi-source dataset collection and EDA revealing position-specific distributional characteristics and feature relevance; (2) a structured feature engineering pipeline incorporating lag features, award encoding, and team change indicators; (3) a comparative evaluation of eight regression models per position under both hold-out and walk-forward temporal validation.</w:t>
      </w:r>
    </w:p>
    <w:p>
      <w:pPr>
        <w:pStyle w:val="BodyText"/>
      </w:pPr>
      <w:r>
        <w:t xml:space="preserve">The paper is organized as follows. Section II reviews related work. Section III describes the datasets and EDA findings. Section IV details the modeling methodology. Section V presents and discusses results. Section VI concludes and outlines future directions.</w:t>
      </w:r>
    </w:p>
    <w:p>
      <w:pPr>
        <w:pStyle w:val="Heading1"/>
      </w:pPr>
      <w:r>
        <w:t xml:space="preserve">II. Related Work</w:t>
      </w:r>
    </w:p>
    <w:p>
      <w:pPr>
        <w:pStyle w:val="BodyText"/>
      </w:pPr>
      <w:r>
        <w:t xml:space="preserve">Statistical modeling of team sports has a long research history. Boulier and Stekler [2] were among the early contributors demonstrating that NFL game outcomes contain exploitable predictive structure through point spreads and team-level statistics, establishing a baseline for game-outcome forecasting. Berri, Schmidt, and Brook [3] focused on quarterback performance specifically, showing that traditional metrics such as yards and touchdowns capture substantial variance in QB contribution value.</w:t>
      </w:r>
    </w:p>
    <w:p>
      <w:pPr>
        <w:pStyle w:val="BodyText"/>
      </w:pPr>
      <w:r>
        <w:t xml:space="preserve">With the proliferation of play-by-play tracking data, the field has expanded toward more granular prediction tasks. Burke [5] introduced the expected points (EP) and win probability (WP) frameworks for the NFL, which form the basis for derived features such as EPA and WPA now widely used in performance evaluation. Goldner [6] formalized a Markov model of offensive drives, providing a principled probabilistic framework for play outcome prediction.</w:t>
      </w:r>
    </w:p>
    <w:p>
      <w:pPr>
        <w:pStyle w:val="BodyText"/>
      </w:pPr>
      <w:r>
        <w:t xml:space="preserve">Joash Fernandes et al. [4] applied gradient boosting and neural network methods to predict play-by-play NFL outcomes, achieving improved accuracy over logistic regression baselines and highlighting the value of ensemble methods for highly imbalanced sports prediction tasks. Fantasy sports-oriented prediction has driven substantial applied research, with approaches ranging from regularized linear models to recurrent neural networks operating on career trajectory data [1].</w:t>
      </w:r>
    </w:p>
    <w:p>
      <w:pPr>
        <w:pStyle w:val="BodyText"/>
      </w:pPr>
      <w:r>
        <w:t xml:space="preserve">Position-specific modeling has been identified as a best practice in the literature, as the statistical profiles and environmental factors affecting QBs, RBs, WRs, and TEs differ substantially in nature, volume, and predictability. The use of yards per game as a normalized target to mitigate injury effects has appeared in prior work [6]. The present study contributes a comprehensive position-specific pipeline combining multi-source datasets, lag feature engineering, award signals, and temporally-valid walk-forward evaluation.</w:t>
      </w:r>
    </w:p>
    <w:p>
      <w:pPr>
        <w:pStyle w:val="Heading1"/>
      </w:pPr>
      <w:r>
        <w:t xml:space="preserve">III. Data and Exploratory Analysis</w:t>
      </w:r>
    </w:p>
    <w:p>
      <w:pPr>
        <w:pStyle w:val="Heading2"/>
      </w:pPr>
      <w:r>
        <w:t xml:space="preserve">A. Data Sources</w:t>
      </w:r>
    </w:p>
    <w:p>
      <w:pPr>
        <w:pStyle w:val="BodyText"/>
      </w:pPr>
      <w:r>
        <w:t xml:space="preserve">Data for four offensive positions were collected from multiple external sources. QB data combines standard and advanced passing statistics from Pro Football Reference with NFL Elo quarterback ratings from nfeloapp.com [9], obtained via Selenium-based web scraping. RB and TE data were scraped from Pro Football Reference [7]. WR data were sourced from the nflverse dataset hosted on HuggingFace [8], which provides rich contextual variables not available on Pro Football Reference. Each row in every dataset represents one player-season in the regular season only.</w:t>
      </w:r>
    </w:p>
    <w:p>
      <w:pPr>
        <w:pStyle w:val="tablehead"/>
      </w:pPr>
      <w:r>
        <w:t xml:space="preserve">TABLE I. DATA SOURCES AND DATASET SUMMARY</w:t>
      </w:r>
    </w:p>
    <w:tbl>
      <w:tblPr>
        <w:tblStyle w:val="TableNormal"/>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80" w:type="dxa"/>
          <w:bottom w:w="60" w:type="dxa"/>
          <w:right w:w="80" w:type="dxa"/>
        </w:tblCellMar>
      </w:tblPr>
      <w:tr>
        <w:tc>
          <w:tcPr>
            <w:tcW w:w="1225" w:type="pct"/>
          </w:tcPr>
          <w:p>
            <w:pPr>
              <w:pStyle w:val="tablecolhead"/>
            </w:pPr>
            <w:r>
              <w:t xml:space="preserve">Position</w:t>
            </w:r>
          </w:p>
        </w:tc>
        <w:tc>
          <w:tcPr>
            <w:tcW w:w="1225" w:type="pct"/>
          </w:tcPr>
          <w:p>
            <w:pPr>
              <w:pStyle w:val="tablecolhead"/>
            </w:pPr>
            <w:r>
              <w:t xml:space="preserve">Source</w:t>
            </w:r>
          </w:p>
        </w:tc>
        <w:tc>
          <w:tcPr>
            <w:tcW w:w="1225" w:type="pct"/>
          </w:tcPr>
          <w:p>
            <w:pPr>
              <w:pStyle w:val="tablecolhead"/>
            </w:pPr>
            <w:r>
              <w:t xml:space="preserve">Rows</w:t>
            </w:r>
          </w:p>
        </w:tc>
        <w:tc>
          <w:tcPr>
            <w:tcW w:w="1225" w:type="pct"/>
          </w:tcPr>
          <w:p>
            <w:pPr>
              <w:pStyle w:val="tablecolhead"/>
            </w:pPr>
            <w:r>
              <w:t xml:space="preserve">Features</w:t>
            </w:r>
          </w:p>
        </w:tc>
      </w:tr>
      <w:tr>
        <w:tc>
          <w:tcPr>
            <w:tcW w:w="1225" w:type="pct"/>
          </w:tcPr>
          <w:p>
            <w:pPr>
              <w:pStyle w:val="tablecopy"/>
            </w:pPr>
            <w:r>
              <w:t xml:space="preserve">QB</w:t>
            </w:r>
          </w:p>
        </w:tc>
        <w:tc>
          <w:tcPr>
            <w:tcW w:w="1225" w:type="pct"/>
          </w:tcPr>
          <w:p>
            <w:pPr>
              <w:pStyle w:val="tablecopy"/>
            </w:pPr>
            <w:r>
              <w:t xml:space="preserve">Pro Football Ref. + NFL Elo</w:t>
            </w:r>
          </w:p>
        </w:tc>
        <w:tc>
          <w:tcPr>
            <w:tcW w:w="1225" w:type="pct"/>
          </w:tcPr>
          <w:p>
            <w:pPr>
              <w:pStyle w:val="tablecopy"/>
            </w:pPr>
            <w:r>
              <w:t xml:space="preserve">845</w:t>
            </w:r>
          </w:p>
        </w:tc>
        <w:tc>
          <w:tcPr>
            <w:tcW w:w="1225" w:type="pct"/>
          </w:tcPr>
          <w:p>
            <w:pPr>
              <w:pStyle w:val="tablecopy"/>
            </w:pPr>
            <w:r>
              <w:t xml:space="preserve">188</w:t>
            </w:r>
          </w:p>
        </w:tc>
      </w:tr>
      <w:tr>
        <w:tc>
          <w:tcPr>
            <w:tcW w:w="1225" w:type="pct"/>
          </w:tcPr>
          <w:p>
            <w:pPr>
              <w:pStyle w:val="tablecopy"/>
            </w:pPr>
            <w:r>
              <w:t xml:space="preserve">RB</w:t>
            </w:r>
          </w:p>
        </w:tc>
        <w:tc>
          <w:tcPr>
            <w:tcW w:w="1225" w:type="pct"/>
          </w:tcPr>
          <w:p>
            <w:pPr>
              <w:pStyle w:val="tablecopy"/>
            </w:pPr>
            <w:r>
              <w:t xml:space="preserve">Pro Football Reference</w:t>
            </w:r>
          </w:p>
        </w:tc>
        <w:tc>
          <w:tcPr>
            <w:tcW w:w="1225" w:type="pct"/>
          </w:tcPr>
          <w:p>
            <w:pPr>
              <w:pStyle w:val="tablecopy"/>
            </w:pPr>
            <w:r>
              <w:t xml:space="preserve">622</w:t>
            </w:r>
          </w:p>
        </w:tc>
        <w:tc>
          <w:tcPr>
            <w:tcW w:w="1225" w:type="pct"/>
          </w:tcPr>
          <w:p>
            <w:pPr>
              <w:pStyle w:val="tablecopy"/>
            </w:pPr>
            <w:r>
              <w:t xml:space="preserve">115</w:t>
            </w:r>
          </w:p>
        </w:tc>
      </w:tr>
      <w:tr>
        <w:tc>
          <w:tcPr>
            <w:tcW w:w="1225" w:type="pct"/>
          </w:tcPr>
          <w:p>
            <w:pPr>
              <w:pStyle w:val="tablecopy"/>
            </w:pPr>
            <w:r>
              <w:t xml:space="preserve">TE</w:t>
            </w:r>
          </w:p>
        </w:tc>
        <w:tc>
          <w:tcPr>
            <w:tcW w:w="1225" w:type="pct"/>
          </w:tcPr>
          <w:p>
            <w:pPr>
              <w:pStyle w:val="tablecopy"/>
            </w:pPr>
            <w:r>
              <w:t xml:space="preserve">Pro Football Reference</w:t>
            </w:r>
          </w:p>
        </w:tc>
        <w:tc>
          <w:tcPr>
            <w:tcW w:w="1225" w:type="pct"/>
          </w:tcPr>
          <w:p>
            <w:pPr>
              <w:pStyle w:val="tablecopy"/>
            </w:pPr>
            <w:r>
              <w:t xml:space="preserve">351</w:t>
            </w:r>
          </w:p>
        </w:tc>
        <w:tc>
          <w:tcPr>
            <w:tcW w:w="1225" w:type="pct"/>
          </w:tcPr>
          <w:p>
            <w:pPr>
              <w:pStyle w:val="tablecopy"/>
            </w:pPr>
            <w:r>
              <w:t xml:space="preserve">70</w:t>
            </w:r>
          </w:p>
        </w:tc>
      </w:tr>
      <w:tr>
        <w:tc>
          <w:tcPr>
            <w:tcW w:w="1225" w:type="pct"/>
          </w:tcPr>
          <w:p>
            <w:pPr>
              <w:pStyle w:val="tablecopy"/>
            </w:pPr>
            <w:r>
              <w:t xml:space="preserve">WR</w:t>
            </w:r>
          </w:p>
        </w:tc>
        <w:tc>
          <w:tcPr>
            <w:tcW w:w="1225" w:type="pct"/>
          </w:tcPr>
          <w:p>
            <w:pPr>
              <w:pStyle w:val="tablecopy"/>
            </w:pPr>
            <w:r>
              <w:t xml:space="preserve">nflverse / HuggingFace</w:t>
            </w:r>
          </w:p>
        </w:tc>
        <w:tc>
          <w:tcPr>
            <w:tcW w:w="1225" w:type="pct"/>
          </w:tcPr>
          <w:p>
            <w:pPr>
              <w:pStyle w:val="tablecopy"/>
            </w:pPr>
            <w:r>
              <w:t xml:space="preserve">5,529</w:t>
            </w:r>
          </w:p>
        </w:tc>
        <w:tc>
          <w:tcPr>
            <w:tcW w:w="1225" w:type="pct"/>
          </w:tcPr>
          <w:p>
            <w:pPr>
              <w:pStyle w:val="tablecopy"/>
            </w:pPr>
            <w:r>
              <w:t xml:space="preserve">102</w:t>
            </w:r>
          </w:p>
        </w:tc>
      </w:tr>
    </w:tbl>
    <w:p>
      <w:pPr>
        <w:pStyle w:val="BodyText"/>
      </w:pPr>
      <w:r>
        <w:t xml:space="preserve">The QB dataset has the largest feature space (188 columns) owing to the combination of standard box-score statistics, a full suite of advanced passing metrics (air yards, pressure rate, play-action attempts and yards, on-target throw percentage, run-pass option data), NFL Elo rating components (CPOE, WPA, rushing Elo contribution), and snap count percentages. The WR dataset is the largest by row count and includes rich contextual variables: situational splits by quarter and win probability bucket, weather conditions (temperature, wind speed, surface type), betting market data (pregame spread, total), and per-play metrics (air yards, yards after catch, EPA, WPA). The TE dataset is the smallest (351 records), focused on receiving and advanced receiving statistics. Table I summarizes the dataset sizes.</w:t>
      </w:r>
    </w:p>
    <w:p>
      <w:pPr>
        <w:pStyle w:val="Heading2"/>
      </w:pPr>
      <w:r>
        <w:t xml:space="preserve">B. Feature Overview by Position</w:t>
      </w:r>
    </w:p>
    <w:p>
      <w:pPr>
        <w:pStyle w:val="BodyText"/>
      </w:pPr>
      <w:r>
        <w:t xml:space="preserve">Each dataset was engineered with a shared columnar schema for player identity and season, augmented by position-specific statistical columns. For QB, key features include completion attempts (Att), completions (Cmp), completion percentage (Cmp%), passing touchdowns (TD), interceptions (Int), yards per attempt (Y/A), NFL Passer Rating, ESPN QBR (Total Quarterback Rating on a 0–100 scale), and games started (GS). Advanced features include air yards per attempt, pressure rate, sack percentage, and play-action production splits.</w:t>
      </w:r>
    </w:p>
    <w:p>
      <w:pPr>
        <w:pStyle w:val="BodyText"/>
      </w:pPr>
      <w:r>
        <w:t xml:space="preserve">For RB, features include rushing attempts (Rush_Att), rushing touchdowns (Rush_TD), yards per carry (Rush_Y/A), receiving statistics (Rec, Rec_Yds, Rec_TD), total scrimmage yards, and total touches. Advanced features include broken tackles (BrkTkl), yards before contact (YBC), and yards after contact (YAC). For TE, features mirror RB receiving statistics plus average depth of target (ADOT) and catch percentage. For WR, in addition to standard receiving statistics, the nflverse dataset provides target share, EPA per target, red zone targets, and full situational split columns.</w:t>
      </w:r>
    </w:p>
    <w:p>
      <w:pPr>
        <w:pStyle w:val="Heading2"/>
      </w:pPr>
      <w:r>
        <w:t xml:space="preserve">C. Missing Value Analysis</w:t>
      </w:r>
    </w:p>
    <w:p>
      <w:pPr>
        <w:pStyle w:val="BodyText"/>
      </w:pPr>
      <w:r>
        <w:t xml:space="preserve">Missing values across all four datasets are structurally motivated rather than reflecting collection errors. For the QB dataset, the ESPN Total QBR column is absent for all 288 pre-2006 seasons (100% null rate), since QBR was introduced in 2006. Post-2006, only 3 of 557 QB-seasons lack QBR values. The adv_pass metric group from Pro Football Reference (pressure rate, on-target throw %, play-action data) is fully absent before 2018, when PFR first introduced these advanced columns. A further subset of adv_pass columns (RPO attempts, RPO yards, on-target throw percentage) is absent prior to 2019. These patterns are consistent across both Z-score analysis and visual inspection via missing-by-year bar charts.</w:t>
      </w:r>
    </w:p>
    <w:p>
      <w:pPr>
        <w:pStyle w:val="BodyText"/>
      </w:pPr>
      <w:r>
        <w:t xml:space="preserve">For RB and TE, advanced rushing and receiving metrics (BrkTkl, YBC, YAC) are similarly absent for seasons prior to their introduction dates on Pro Football Reference. Snap count columns (snp_Off%, snp_ST%) show high null rates across early seasons. These structurally null columns are excluded during the preprocessing phase. The WR dataset from nflverse has a notably lower null rate owing to its construction from play-by-play data, with weather-related columns (temp_f, wind_mph) showing the highest null rates (~5%) due to games played in domed stadiums.</w:t>
      </w:r>
    </w:p>
    <w:p>
      <w:pPr>
        <w:pStyle w:val="Heading2"/>
      </w:pPr>
      <w:r>
        <w:t xml:space="preserve">D. Target Variable Distributions</w:t>
      </w:r>
    </w:p>
    <w:p>
      <w:pPr>
        <w:pStyle w:val="BodyText"/>
      </w:pPr>
      <w:r>
        <w:t xml:space="preserve">We analyzed the seasonal yard distributions for each position using histograms, KDE plots, and Q-Q plots against a normal distribution (goodness-of-fit quantified via R²). Table II summarizes the findings.</w:t>
      </w:r>
    </w:p>
    <w:p>
      <w:pPr>
        <w:pStyle w:val="tablehead"/>
      </w:pPr>
      <w:r>
        <w:t xml:space="preserve">TABLE II. TARGET VARIABLE DISTRIBUTIONAL CHARACTERISTICS</w:t>
      </w:r>
    </w:p>
    <w:tbl>
      <w:tblPr>
        <w:tblStyle w:val="TableNormal"/>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80" w:type="dxa"/>
          <w:bottom w:w="60" w:type="dxa"/>
          <w:right w:w="80" w:type="dxa"/>
        </w:tblCellMar>
      </w:tblPr>
      <w:tr>
        <w:tc>
          <w:tcPr>
            <w:tcW w:w="1225" w:type="pct"/>
          </w:tcPr>
          <w:p>
            <w:pPr>
              <w:pStyle w:val="tablecolhead"/>
            </w:pPr>
            <w:r>
              <w:t xml:space="preserve">Position</w:t>
            </w:r>
          </w:p>
        </w:tc>
        <w:tc>
          <w:tcPr>
            <w:tcW w:w="1225" w:type="pct"/>
          </w:tcPr>
          <w:p>
            <w:pPr>
              <w:pStyle w:val="tablecolhead"/>
            </w:pPr>
            <w:r>
              <w:t xml:space="preserve">Type</w:t>
            </w:r>
          </w:p>
        </w:tc>
        <w:tc>
          <w:tcPr>
            <w:tcW w:w="1225" w:type="pct"/>
          </w:tcPr>
          <w:p>
            <w:pPr>
              <w:pStyle w:val="tablecolhead"/>
            </w:pPr>
            <w:r>
              <w:t xml:space="preserve">Q-Q R²</w:t>
            </w:r>
          </w:p>
        </w:tc>
        <w:tc>
          <w:tcPr>
            <w:tcW w:w="1225" w:type="pct"/>
          </w:tcPr>
          <w:p>
            <w:pPr>
              <w:pStyle w:val="tablecolhead"/>
            </w:pPr>
            <w:r>
              <w:t xml:space="preserve">Key Property</w:t>
            </w:r>
          </w:p>
        </w:tc>
      </w:tr>
      <w:tr>
        <w:tc>
          <w:tcPr>
            <w:tcW w:w="1225" w:type="pct"/>
          </w:tcPr>
          <w:p>
            <w:pPr>
              <w:pStyle w:val="tablecopy"/>
            </w:pPr>
            <w:r>
              <w:t xml:space="preserve">QB</w:t>
            </w:r>
          </w:p>
        </w:tc>
        <w:tc>
          <w:tcPr>
            <w:tcW w:w="1225" w:type="pct"/>
          </w:tcPr>
          <w:p>
            <w:pPr>
              <w:pStyle w:val="tablecopy"/>
            </w:pPr>
            <w:r>
              <w:t xml:space="preserve">Bimodal → Unimodal</w:t>
            </w:r>
          </w:p>
        </w:tc>
        <w:tc>
          <w:tcPr>
            <w:tcW w:w="1225" w:type="pct"/>
          </w:tcPr>
          <w:p>
            <w:pPr>
              <w:pStyle w:val="tablecopy"/>
            </w:pPr>
            <w:r>
              <w:t xml:space="preserve">0.951*</w:t>
            </w:r>
          </w:p>
        </w:tc>
        <w:tc>
          <w:tcPr>
            <w:tcW w:w="1225" w:type="pct"/>
          </w:tcPr>
          <w:p>
            <w:pPr>
              <w:pStyle w:val="tablecopy"/>
            </w:pPr>
            <w:r>
              <w:t xml:space="preserve">Backup/starter separation</w:t>
            </w:r>
          </w:p>
        </w:tc>
      </w:tr>
      <w:tr>
        <w:tc>
          <w:tcPr>
            <w:tcW w:w="1225" w:type="pct"/>
          </w:tcPr>
          <w:p>
            <w:pPr>
              <w:pStyle w:val="tablecopy"/>
            </w:pPr>
            <w:r>
              <w:t xml:space="preserve">RB</w:t>
            </w:r>
          </w:p>
        </w:tc>
        <w:tc>
          <w:tcPr>
            <w:tcW w:w="1225" w:type="pct"/>
          </w:tcPr>
          <w:p>
            <w:pPr>
              <w:pStyle w:val="tablecopy"/>
            </w:pPr>
            <w:r>
              <w:t xml:space="preserve">Near-normal</w:t>
            </w:r>
          </w:p>
        </w:tc>
        <w:tc>
          <w:tcPr>
            <w:tcW w:w="1225" w:type="pct"/>
          </w:tcPr>
          <w:p>
            <w:pPr>
              <w:pStyle w:val="tablecopy"/>
            </w:pPr>
            <w:r>
              <w:t xml:space="preserve">0.990</w:t>
            </w:r>
          </w:p>
        </w:tc>
        <w:tc>
          <w:tcPr>
            <w:tcW w:w="1225" w:type="pct"/>
          </w:tcPr>
          <w:p>
            <w:pPr>
              <w:pStyle w:val="tablecopy"/>
            </w:pPr>
            <w:r>
              <w:t xml:space="preserve">Most stable for linear models</w:t>
            </w:r>
          </w:p>
        </w:tc>
      </w:tr>
      <w:tr>
        <w:tc>
          <w:tcPr>
            <w:tcW w:w="1225" w:type="pct"/>
          </w:tcPr>
          <w:p>
            <w:pPr>
              <w:pStyle w:val="tablecopy"/>
            </w:pPr>
            <w:r>
              <w:t xml:space="preserve">TE</w:t>
            </w:r>
          </w:p>
        </w:tc>
        <w:tc>
          <w:tcPr>
            <w:tcW w:w="1225" w:type="pct"/>
          </w:tcPr>
          <w:p>
            <w:pPr>
              <w:pStyle w:val="tablecopy"/>
            </w:pPr>
            <w:r>
              <w:t xml:space="preserve">Near-normal</w:t>
            </w:r>
          </w:p>
        </w:tc>
        <w:tc>
          <w:tcPr>
            <w:tcW w:w="1225" w:type="pct"/>
          </w:tcPr>
          <w:p>
            <w:pPr>
              <w:pStyle w:val="tablecopy"/>
            </w:pPr>
            <w:r>
              <w:t xml:space="preserve">0.980</w:t>
            </w:r>
          </w:p>
        </w:tc>
        <w:tc>
          <w:tcPr>
            <w:tcW w:w="1225" w:type="pct"/>
          </w:tcPr>
          <w:p>
            <w:pPr>
              <w:pStyle w:val="tablecopy"/>
            </w:pPr>
            <w:r>
              <w:t xml:space="preserve">Consistent career-long production</w:t>
            </w:r>
          </w:p>
        </w:tc>
      </w:tr>
      <w:tr>
        <w:tc>
          <w:tcPr>
            <w:tcW w:w="1225" w:type="pct"/>
          </w:tcPr>
          <w:p>
            <w:pPr>
              <w:pStyle w:val="tablecopy"/>
            </w:pPr>
            <w:r>
              <w:t xml:space="preserve">WR</w:t>
            </w:r>
          </w:p>
        </w:tc>
        <w:tc>
          <w:tcPr>
            <w:tcW w:w="1225" w:type="pct"/>
          </w:tcPr>
          <w:p>
            <w:pPr>
              <w:pStyle w:val="tablecopy"/>
            </w:pPr>
            <w:r>
              <w:t xml:space="preserve">Right-skewed</w:t>
            </w:r>
          </w:p>
        </w:tc>
        <w:tc>
          <w:tcPr>
            <w:tcW w:w="1225" w:type="pct"/>
          </w:tcPr>
          <w:p>
            <w:pPr>
              <w:pStyle w:val="tablecopy"/>
            </w:pPr>
            <w:r>
              <w:t xml:space="preserve">0.760</w:t>
            </w:r>
          </w:p>
        </w:tc>
        <w:tc>
          <w:tcPr>
            <w:tcW w:w="1225" w:type="pct"/>
          </w:tcPr>
          <w:p>
            <w:pPr>
              <w:pStyle w:val="tablecopy"/>
            </w:pPr>
            <w:r>
              <w:t xml:space="preserve">Log transform required</w:t>
            </w:r>
          </w:p>
        </w:tc>
      </w:tr>
    </w:tbl>
    <w:p>
      <w:pPr>
        <w:pStyle w:val="BodyText"/>
      </w:pPr>
      <w:r>
        <w:t xml:space="preserve">* After removing 61 QB-seasons with GS = 0 (7.2% of records).</w:t>
      </w:r>
    </w:p>
    <w:p>
      <w:pPr>
        <w:pStyle w:val="BodyText"/>
      </w:pPr>
      <w:r>
        <w:t xml:space="preserve">QB total passing yards exhibit bimodality: a dominant peak around 3,000–4,500 yards (regular starters) and a secondary peak near 0–500 yards caused by backup quarterbacks with minimal playing time (GS = 0). Removing seasons where GS = 0 eliminates the secondary peak, yielding a near-unimodal distribution with R² improving from 0.948 to 0.951. Switching to yards per game further normalizes the distribution by controlling for injury-induced missed games.</w:t>
      </w:r>
    </w:p>
    <w:p>
      <w:pPr>
        <w:pStyle w:val="BodyText"/>
      </w:pPr>
      <w:r>
        <w:t xml:space="preserve">RB and TE distributions are approximately normal on total seasonal yards, yielding high Q-Q R² values (0.990 and 0.980 respectively). These positions are the most amenable to direct application of linear regression methods without data transformations.</w:t>
      </w:r>
    </w:p>
    <w:p>
      <w:pPr>
        <w:pStyle w:val="BodyText"/>
      </w:pPr>
      <w:r>
        <w:t xml:space="preserve">WR total receiving yards follow a right-skewed distribution consistent with a power-law or heavy-tailed pattern. Lorenz curve analysis confirms that the top 20% of WR-seasons account for approximately 60% of all recorded receiving yards in the dataset, giving a Gini coefficient substantially above zero. This pattern is typical of highly competitive systems where a small elite drives aggregate production. A log transformation is applied to the WR target before model training to normalize the distribution, and all WR model evaluation metrics are computed on the back-transformed (original-scale) predictions.</w:t>
      </w:r>
    </w:p>
    <w:p>
      <w:pPr>
        <w:pStyle w:val="Heading2"/>
      </w:pPr>
      <w:r>
        <w:t xml:space="preserve">E. Outlier Detection and Treatment</w:t>
      </w:r>
    </w:p>
    <w:p>
      <w:pPr>
        <w:pStyle w:val="BodyText"/>
      </w:pPr>
      <w:r>
        <w:t xml:space="preserve">Outlier detection was applied using two complementary methods: Z-score (outlier threshold |z| &gt; 3) and IQR (outlier if below Q1 − 1.5·IQR or above Q3 + 1.5·IQR). On raw seasonal totals, neither method identifies meaningful outliers for QB or RB because the structural bimodality (QB) and broad legitimate variance (RB) expand the standard deviation and IQR to the point where extreme values fall within thresholds. For WR, IQR flags 391 records (7%) as outliers on raw totals; however, these represent legitimately elite seasons rather than data errors. The skewed WR distribution inflates the IQR-based upper fence to a value that incorrectly classifies elite but realistic outputs as anomalies.</w:t>
      </w:r>
    </w:p>
    <w:p>
      <w:pPr>
        <w:pStyle w:val="BodyText"/>
      </w:pPr>
      <w:r>
        <w:t xml:space="preserve">The position-specific treatments are as follows. For QB: backup seasons (GS = 0) are removed (61 records), and per-game normalization is applied. Per-game normalization also resolves the issue of partial seasons due to injury, since total-yard outliers caused by injury are normalized by a corresponding reduction in games played. For WR: Z-score outlier detection is applied after log transformation, correctly isolating only truly exceptional seasons (e.g., record-setting WR outputs). For RB and TE: distribution normality is confirmed via Q-Q plot, and no records are removed.</w:t>
      </w:r>
    </w:p>
    <w:p>
      <w:pPr>
        <w:pStyle w:val="Heading2"/>
      </w:pPr>
      <w:r>
        <w:t xml:space="preserve">F. Correlation Analysis</w:t>
      </w:r>
    </w:p>
    <w:p>
      <w:pPr>
        <w:pStyle w:val="BodyText"/>
      </w:pPr>
      <w:r>
        <w:t xml:space="preserve">Pearson correlation heatmaps were computed for each position between the target variable (yards per game) and all numerical features. For QB, the strongest positive correlations are with volume metrics: passing attempts (Att, r≈0.85), completions (Cmp, r≈0.84), games started (GS, r≈0.61), and first downs earned (1D, r≈0.82). Passer Rating (Rate) shows only moderate positive correlation (r≈0.45), confirming that volume dominates over efficiency in raw yard accumulation. Interceptions (Int) show near-zero correlation with passing yards, a counterintuitive result explained by the fact that high-volume QBs both attempt more passes and are exposed to more turnover opportunities. Age shows minimal correlation for QB, in contrast to RB.</w:t>
      </w:r>
    </w:p>
    <w:p>
      <w:pPr>
        <w:pStyle w:val="BodyText"/>
      </w:pPr>
      <w:r>
        <w:t xml:space="preserve">For RB, rushing yards per game correlates most strongly with rushing attempts (Rush_Att, r≈0.78) and total touches (r≈0.76). Yards per carry (Rush_Y/A) contributes modestly (r≈0.31), indicating that volume is the dominant driver rather than per-carry efficiency. Receiving metrics (Rec, Rec_Yds) show near-zero correlation with rushing yards per game, confirming that receiving and rushing contributions are statistically independent dimensions of RB usage. Age shows the strongest negative correlation among all four positions (r≈−0.22), consistent with the well-documented physical decline of RBs as they age.</w:t>
      </w:r>
    </w:p>
    <w:p>
      <w:pPr>
        <w:pStyle w:val="BodyText"/>
      </w:pPr>
      <w:r>
        <w:t xml:space="preserve">For WR, receiving yards per game correlates most strongly with targets (r≈0.82), receptions (r≈0.80), first downs (r≈0.74), and target share (r≈0.71). Air yards (total yards the ball travels in the air per target) shows strong positive correlation, while catch rate shows near-zero correlation with yards per game, indicating that involvement depth (target volume and route depth) matters substantially more than completion efficiency. A clear inverse relationship exists between catch rate and average depth of target (ADOT), and between ADOT and success rate, consistent with the route-depth efficiency tradeoff in football.</w:t>
      </w:r>
    </w:p>
    <w:p>
      <w:pPr>
        <w:pStyle w:val="BodyText"/>
      </w:pPr>
      <w:r>
        <w:t xml:space="preserve">For TE, the correlation structure closely parallels WR: targets and receptions dominate, with yards per reception (Rec_Y/R) adding moderate signal (r≈0.38). Age shows a weaker negative correlation than for RB, consistent with the longer career longevity of TEs who rely on blocking ability and route running knowledge rather than explosive athleticism.</w:t>
      </w:r>
    </w:p>
    <w:p>
      <w:pPr>
        <w:pStyle w:val="BodyText"/>
      </w:pPr>
      <w:r>
        <w:t xml:space="preserve">Critically, across all four datasets, volume metrics are highly mutually correlated (multicollinearity). For QB, Att, Cmp, and 1D form a near-collinear cluster. For RB, Rush_Att and Touches overlap substantially. This multicollinearity motivates the use of regularized regression models (Lasso, Ridge, ElasticNet), as ordinary least squares produces unstable coefficient estimates under such conditions.</w:t>
      </w:r>
    </w:p>
    <w:p>
      <w:pPr>
        <w:pStyle w:val="Heading2"/>
      </w:pPr>
      <w:r>
        <w:t xml:space="preserve">G. Seasonal Trends</w:t>
      </w:r>
    </w:p>
    <w:p>
      <w:pPr>
        <w:pStyle w:val="BodyText"/>
      </w:pPr>
      <w:r>
        <w:t xml:space="preserve">Box plots segmented by era (1985–1990, 1991–1995, 1996–2000, 2001–2005, 2006–2010, 2011–2020, 2021–2024) and per-year line plots with polynomial trend overlays were used to characterize historical production trends. QB passing yards show a clear positive secular trend, with the era median rising from approximately 3,000 yards in the late 1980s to over 3,500 yards in 2011–2020. Completion percentage and passer rating also trend upward monotonically, reflecting both rule changes protecting quarterbacks and receivers and the increasing emphasis on high-percentage passing systems. Post-2021, a slight reversal in raw passing yards (but continued increase in completion percentage) is consistent with the adoption of two-high safety coverage schemes that suppress deep passing plays while conceding shorter completions.</w:t>
      </w:r>
    </w:p>
    <w:p>
      <w:pPr>
        <w:pStyle w:val="BodyText"/>
      </w:pPr>
      <w:r>
        <w:t xml:space="preserve">RB rushing yards show a near-monotonic decline across eras, reflecting the NFL-wide shift toward pass-oriented offense. A modest uptick in the most recent seasons is plausibly explained by defensive resource reallocation toward pass coverage, which creates larger running lanes. Individual career trajectory analysis of Tom Brady, Matthew Stafford, and Kirk Cousins (QB) and Adrian Peterson, Alvin Kamara, and Saquon Barkley (RB) further illustrated the injury confound (e.g., Brady's 76-yard season in 2008 following a Week 1 knee injury) and the team change effect (e.g., Barkley's career-best 2,005 rushing yards in his 2024 season with the Philadelphia Eagles).</w:t>
      </w:r>
    </w:p>
    <w:p>
      <w:pPr>
        <w:pStyle w:val="Heading1"/>
      </w:pPr>
      <w:r>
        <w:t xml:space="preserve">IV. Method</w:t>
      </w:r>
    </w:p>
    <w:p>
      <w:pPr>
        <w:pStyle w:val="Heading2"/>
      </w:pPr>
      <w:r>
        <w:t xml:space="preserve">A. Target Variable Selection</w:t>
      </w:r>
    </w:p>
    <w:p>
      <w:pPr>
        <w:pStyle w:val="BodyText"/>
      </w:pPr>
      <w:r>
        <w:t xml:space="preserve">The target variable for each position is yards per game: passing yards per game for QB, rushing yards per game for RB, and receiving yards per game for both TE and WR. Per-game normalization serves a dual purpose: it removes the confounding effect of missed games due to injury, and it produces a more interpretable performance measure that is comparable across seasons of different lengths. Total seasonal statistics can dramatically misrepresent player quality. For example, Tom Brady's 2008 season recorded only 76 total passing yards following a Week 1 knee injury—not as a reflection of performance, but of physical absence. Using yards per game, this season correctly yields a high per-game value based on the single game Brady played.</w:t>
      </w:r>
    </w:p>
    <w:p>
      <w:pPr>
        <w:pStyle w:val="Heading2"/>
      </w:pPr>
      <w:r>
        <w:t xml:space="preserve">B. Award Feature Engineering</w:t>
      </w:r>
    </w:p>
    <w:p>
      <w:pPr>
        <w:pStyle w:val="BodyText"/>
      </w:pPr>
      <w:r>
        <w:t xml:space="preserve">Each dataset contains a categorical awards column recording post-season recognition for a given player-season. Raw award categories include Pro Bowl (PB), All-Pro 1st Team (AP-1), All-Pro 2nd Team (AP-2), Most Valuable Player (MVP), Offensive Player of the Year (OPoY), Comeback Player of the Year, and numeric voting rank annotations (e.g., '11th in MVP voting'). The latter records are insufficiently signal-rich to be predictively useful, and the Comeback Player of the Year award is excluded as it reflects recovery narrative rather than sustained skill.</w:t>
      </w:r>
    </w:p>
    <w:p>
      <w:pPr>
        <w:pStyle w:val="BodyText"/>
      </w:pPr>
      <w:r>
        <w:t xml:space="preserve">The retained award categories were transformed via multi-label binary encoding, producing five binary columns per position: award_PB (Pro Bowl selection), award_AP1 (All-Pro 1st Team), award_AP2 (All-Pro 2nd Team), award_MVP_top5 (top-5 MVP voting), and award_OPoY_top5 (top-5 Offensive Player of the Year voting). Pro Bowl is the most frequent signal (appearing in 8–12% of QB/RB/TE seasons), while All-Pro and award top-5 are rarer but represent stronger performance quality signals.</w:t>
      </w:r>
    </w:p>
    <w:p>
      <w:pPr>
        <w:pStyle w:val="Heading2"/>
      </w:pPr>
      <w:r>
        <w:t xml:space="preserve">C. Team Change Feature</w:t>
      </w:r>
    </w:p>
    <w:p>
      <w:pPr>
        <w:pStyle w:val="BodyText"/>
      </w:pPr>
      <w:r>
        <w:t xml:space="preserve">A boolean Team_Changed feature was engineered to flag player-seasons in which the player moved to a new franchise relative to the prior season. Career analyses for Tom Brady (New England Patriots to Tampa Bay Buccaneers, 2020) and Saquon Barkley (New York Giants to Philadelphia Eagles, 2024) demonstrated that team changes frequently produce statistically significant performance shifts. Brady's production increased substantially after moving to Tampa Bay (better offensive arsenal and modern passing system), while Barkley's move to Philadelphia unlocked his career-best season behind the league's top offensive line. Conversely, players moving to weaker offensive systems may show production decreases. Including this flag provides the model with context to differentiate systemic performance shifts from random variance.</w:t>
      </w:r>
    </w:p>
    <w:p>
      <w:pPr>
        <w:pStyle w:val="Heading2"/>
      </w:pPr>
      <w:r>
        <w:t xml:space="preserve">D. Lag Feature Construction</w:t>
      </w:r>
    </w:p>
    <w:p>
      <w:pPr>
        <w:pStyle w:val="BodyText"/>
      </w:pPr>
      <w:r>
        <w:t xml:space="preserve">A key methodological requirement for sports prediction is the prevention of temporal data leakage. All features used to predict season t must be derived exclusively from information available prior to season t. To enforce this, we constructed lag features: for each numerical statistic x in the feature set, two additional columns were created representing x in season t−1 (lag-1) and x in season t−2 (lag-2). Static features such as Age and Team_Changed are not lagged, as they are already inherently forward-looking in the context of each prediction season.</w:t>
      </w:r>
    </w:p>
    <w:p>
      <w:pPr>
        <w:pStyle w:val="BodyText"/>
      </w:pPr>
      <w:r>
        <w:t xml:space="preserve">Lag-2 missing values (players with fewer than two career seasons) were filled with zero. Lag-1 missing values (first-year players) were retained for imputation in the preprocessing pipeline. This construction results in a significantly expanded feature matrix that encodes each player's historical trajectory rather than only their current season statistics, providing the model with information about trend and consistency.</w:t>
      </w:r>
    </w:p>
    <w:p>
      <w:pPr>
        <w:pStyle w:val="Heading2"/>
      </w:pPr>
      <w:r>
        <w:t xml:space="preserve">E. Preprocessing Pipeline</w:t>
      </w:r>
    </w:p>
    <w:p>
      <w:pPr>
        <w:pStyle w:val="BodyText"/>
      </w:pPr>
      <w:r>
        <w:t xml:space="preserve">The preprocessing pipeline proceeds as follows. First, metadata columns (player identifiers, raw team codes) and low-signal columns (special teams snap percentages, the raw award string column, and advanced columns absent for the majority of historical seasons) are dropped. Second, multi-label binary award encoding is applied. Third, lag matrices are constructed. Fourth, a temporal split separates all seasons prior to 2024 into the training set and reserves the 2024 season as the hold-out test set. Fifth, lag-2 NaN values are filled with zero. Sixth, remaining NaN values (primarily lag-1 features for debut-season players) are imputed using training-set medians, computed before any test data is seen. Finally, numerical features are standardized using StandardScaler fitted exclusively on training data and applied identically to both training and test sets. Binary features (award flags and Team_Changed) are excluded from scaling to preserve their categorical semantics.</w:t>
      </w:r>
    </w:p>
    <w:p>
      <w:pPr>
        <w:pStyle w:val="Heading2"/>
      </w:pPr>
      <w:r>
        <w:t xml:space="preserve">F. Model Selection and Hyperparameter Optimization</w:t>
      </w:r>
    </w:p>
    <w:p>
      <w:pPr>
        <w:pStyle w:val="BodyText"/>
      </w:pPr>
      <w:r>
        <w:t xml:space="preserve">Eight regression algorithms were evaluated per position to provide a comprehensive comparison across model complexity and inductive bias. The models are: Linear Regression (OLS, no regularization), Ridge Regression (L2 penalty, α tuned), Lasso Regression (L1 penalty, α tuned), ElasticNet (L1+L2, α and l1_ratio tuned), K-Nearest Neighbors (KNN, k tuned), Random Forest (n_estimators and max_depth tuned), XGBoost (learning rate, max_depth, n_estimators tuned), and LightGBM (learning rate, num_leaves, n_estimators tuned).</w:t>
      </w:r>
    </w:p>
    <w:p>
      <w:pPr>
        <w:pStyle w:val="BodyText"/>
      </w:pPr>
      <w:r>
        <w:t xml:space="preserve">For all parameterized models, hyperparameter optimization was performed via grid search with 5-fold TimeSeriesSplit cross-validation on the training set. TimeSeriesSplit enforces chronological ordering across folds by ensuring that each validation fold contains only data from seasons after all training fold seasons, preventing any form of future information leakage during hyperparameter selection. The optimization metric is RMSE on the validation fold.</w:t>
      </w:r>
    </w:p>
    <w:p>
      <w:pPr>
        <w:pStyle w:val="Heading2"/>
      </w:pPr>
      <w:r>
        <w:t xml:space="preserve">G. Evaluation Protocol</w:t>
      </w:r>
    </w:p>
    <w:p>
      <w:pPr>
        <w:pStyle w:val="BodyText"/>
      </w:pPr>
      <w:r>
        <w:t xml:space="preserve">Two evaluation protocols are used. The primary evaluation is a single-year hold-out: models are trained on all pre-2024 seasons and evaluated on the 2024 season. This simulates the intended deployment scenario of predicting an upcoming season.</w:t>
      </w:r>
    </w:p>
    <w:p>
      <w:pPr>
        <w:pStyle w:val="BodyText"/>
      </w:pPr>
      <w:r>
        <w:t xml:space="preserve">The secondary protocol is walk-forward (rolling expanding window) validation, which provides a stability-aware performance estimate. Four temporal folds were constructed: Fold 1 (train ≤ 2020, test 2021), Fold 2 (train ≤ 2021, test 2022), Fold 3 (train ≤ 2022, test 2023), and Fold 4 (train ≤ 2023, test 2024). Average R² and RMSE across folds provide a measure of temporal generalizability that avoids the optimism bias of a single hold-out split. The best model per position in the walk-forward protocol was independently re-fitted on each fold's training set with re-optimized hyperparameters.</w:t>
      </w:r>
    </w:p>
    <w:p>
      <w:pPr>
        <w:pStyle w:val="BodyText"/>
      </w:pPr>
      <w:r>
        <w:t xml:space="preserve">Performance is reported as coefficient of determination (R²) and root mean squared error (RMSE) in units of yards per game. For WR, all metrics are computed on back-transformed (original-scale) predictions to ensure interpretability.</w:t>
      </w:r>
    </w:p>
    <w:p>
      <w:pPr>
        <w:pStyle w:val="Heading1"/>
      </w:pPr>
      <w:r>
        <w:t xml:space="preserve">V. Results and Discussion</w:t>
      </w:r>
    </w:p>
    <w:p>
      <w:pPr>
        <w:pStyle w:val="Heading2"/>
      </w:pPr>
      <w:r>
        <w:t xml:space="preserve">A. Test Set Performance on 2024 Season</w:t>
      </w:r>
    </w:p>
    <w:p>
      <w:pPr>
        <w:pStyle w:val="BodyText"/>
      </w:pPr>
      <w:r>
        <w:t xml:space="preserve">Table III presents the best-performing model per position on the 2024 hold-out test set, with R² and approximate RMSE. Table IV shows the full results across all eight models for the TE position, which yielded the strongest results.</w:t>
      </w:r>
    </w:p>
    <w:p>
      <w:pPr>
        <w:pStyle w:val="tablehead"/>
      </w:pPr>
      <w:r>
        <w:t xml:space="preserve">TABLE III. BEST MODEL PERFORMANCE ON 2024 TEST SET</w:t>
      </w:r>
    </w:p>
    <w:tbl>
      <w:tblPr>
        <w:tblStyle w:val="TableNormal"/>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80" w:type="dxa"/>
          <w:bottom w:w="60" w:type="dxa"/>
          <w:right w:w="80" w:type="dxa"/>
        </w:tblCellMar>
      </w:tblPr>
      <w:tr>
        <w:tc>
          <w:tcPr>
            <w:tcW w:w="1225" w:type="pct"/>
          </w:tcPr>
          <w:p>
            <w:pPr>
              <w:pStyle w:val="tablecolhead"/>
            </w:pPr>
            <w:r>
              <w:t xml:space="preserve">Position</w:t>
            </w:r>
          </w:p>
        </w:tc>
        <w:tc>
          <w:tcPr>
            <w:tcW w:w="1225" w:type="pct"/>
          </w:tcPr>
          <w:p>
            <w:pPr>
              <w:pStyle w:val="tablecolhead"/>
            </w:pPr>
            <w:r>
              <w:t xml:space="preserve">Best Model</w:t>
            </w:r>
          </w:p>
        </w:tc>
        <w:tc>
          <w:tcPr>
            <w:tcW w:w="1225" w:type="pct"/>
          </w:tcPr>
          <w:p>
            <w:pPr>
              <w:pStyle w:val="tablecolhead"/>
            </w:pPr>
            <w:r>
              <w:t xml:space="preserve">R²</w:t>
            </w:r>
          </w:p>
        </w:tc>
        <w:tc>
          <w:tcPr>
            <w:tcW w:w="1225" w:type="pct"/>
          </w:tcPr>
          <w:p>
            <w:pPr>
              <w:pStyle w:val="tablecolhead"/>
            </w:pPr>
            <w:r>
              <w:t xml:space="preserve">RMSE (yds/game)</w:t>
            </w:r>
          </w:p>
        </w:tc>
      </w:tr>
      <w:tr>
        <w:tc>
          <w:tcPr>
            <w:tcW w:w="1225" w:type="pct"/>
          </w:tcPr>
          <w:p>
            <w:pPr>
              <w:pStyle w:val="tablecopy"/>
            </w:pPr>
            <w:r>
              <w:t xml:space="preserve">QB</w:t>
            </w:r>
          </w:p>
        </w:tc>
        <w:tc>
          <w:tcPr>
            <w:tcW w:w="1225" w:type="pct"/>
          </w:tcPr>
          <w:p>
            <w:pPr>
              <w:pStyle w:val="tablecopy"/>
            </w:pPr>
            <w:r>
              <w:t xml:space="preserve">XGBoost</w:t>
            </w:r>
          </w:p>
        </w:tc>
        <w:tc>
          <w:tcPr>
            <w:tcW w:w="1225" w:type="pct"/>
          </w:tcPr>
          <w:p>
            <w:pPr>
              <w:pStyle w:val="tablecopy"/>
            </w:pPr>
            <w:r>
              <w:t xml:space="preserve">0.145</w:t>
            </w:r>
          </w:p>
        </w:tc>
        <w:tc>
          <w:tcPr>
            <w:tcW w:w="1225" w:type="pct"/>
          </w:tcPr>
          <w:p>
            <w:pPr>
              <w:pStyle w:val="tablecopy"/>
            </w:pPr>
            <w:r>
              <w:t xml:space="preserve">≈51.0</w:t>
            </w:r>
          </w:p>
        </w:tc>
      </w:tr>
      <w:tr>
        <w:tc>
          <w:tcPr>
            <w:tcW w:w="1225" w:type="pct"/>
          </w:tcPr>
          <w:p>
            <w:pPr>
              <w:pStyle w:val="tablecopy"/>
            </w:pPr>
            <w:r>
              <w:t xml:space="preserve">RB</w:t>
            </w:r>
          </w:p>
        </w:tc>
        <w:tc>
          <w:tcPr>
            <w:tcW w:w="1225" w:type="pct"/>
          </w:tcPr>
          <w:p>
            <w:pPr>
              <w:pStyle w:val="tablecopy"/>
            </w:pPr>
            <w:r>
              <w:t xml:space="preserve">Random Forest</w:t>
            </w:r>
          </w:p>
        </w:tc>
        <w:tc>
          <w:tcPr>
            <w:tcW w:w="1225" w:type="pct"/>
          </w:tcPr>
          <w:p>
            <w:pPr>
              <w:pStyle w:val="tablecopy"/>
            </w:pPr>
            <w:r>
              <w:t xml:space="preserve">0.150</w:t>
            </w:r>
          </w:p>
        </w:tc>
        <w:tc>
          <w:tcPr>
            <w:tcW w:w="1225" w:type="pct"/>
          </w:tcPr>
          <w:p>
            <w:pPr>
              <w:pStyle w:val="tablecopy"/>
            </w:pPr>
            <w:r>
              <w:t xml:space="preserve">≈20.3</w:t>
            </w:r>
          </w:p>
        </w:tc>
      </w:tr>
      <w:tr>
        <w:tc>
          <w:tcPr>
            <w:tcW w:w="1225" w:type="pct"/>
          </w:tcPr>
          <w:p>
            <w:pPr>
              <w:pStyle w:val="tablecopy"/>
            </w:pPr>
            <w:r>
              <w:t xml:space="preserve">TE</w:t>
            </w:r>
          </w:p>
        </w:tc>
        <w:tc>
          <w:tcPr>
            <w:tcW w:w="1225" w:type="pct"/>
          </w:tcPr>
          <w:p>
            <w:pPr>
              <w:pStyle w:val="tablecopy"/>
            </w:pPr>
            <w:r>
              <w:t xml:space="preserve">Lasso (α=1.0)</w:t>
            </w:r>
          </w:p>
        </w:tc>
        <w:tc>
          <w:tcPr>
            <w:tcW w:w="1225" w:type="pct"/>
          </w:tcPr>
          <w:p>
            <w:pPr>
              <w:pStyle w:val="tablecopy"/>
            </w:pPr>
            <w:r>
              <w:t xml:space="preserve">0.451</w:t>
            </w:r>
          </w:p>
        </w:tc>
        <w:tc>
          <w:tcPr>
            <w:tcW w:w="1225" w:type="pct"/>
          </w:tcPr>
          <w:p>
            <w:pPr>
              <w:pStyle w:val="tablecopy"/>
            </w:pPr>
            <w:r>
              <w:t xml:space="preserve">≈12.1</w:t>
            </w:r>
          </w:p>
        </w:tc>
      </w:tr>
      <w:tr>
        <w:tc>
          <w:tcPr>
            <w:tcW w:w="1225" w:type="pct"/>
          </w:tcPr>
          <w:p>
            <w:pPr>
              <w:pStyle w:val="tablecopy"/>
            </w:pPr>
            <w:r>
              <w:t xml:space="preserve">WR</w:t>
            </w:r>
          </w:p>
        </w:tc>
        <w:tc>
          <w:tcPr>
            <w:tcW w:w="1225" w:type="pct"/>
          </w:tcPr>
          <w:p>
            <w:pPr>
              <w:pStyle w:val="tablecopy"/>
            </w:pPr>
            <w:r>
              <w:t xml:space="preserve">Random Forest</w:t>
            </w:r>
          </w:p>
        </w:tc>
        <w:tc>
          <w:tcPr>
            <w:tcW w:w="1225" w:type="pct"/>
          </w:tcPr>
          <w:p>
            <w:pPr>
              <w:pStyle w:val="tablecopy"/>
            </w:pPr>
            <w:r>
              <w:t xml:space="preserve">0.325</w:t>
            </w:r>
          </w:p>
        </w:tc>
        <w:tc>
          <w:tcPr>
            <w:tcW w:w="1225" w:type="pct"/>
          </w:tcPr>
          <w:p>
            <w:pPr>
              <w:pStyle w:val="tablecopy"/>
            </w:pPr>
            <w:r>
              <w:t xml:space="preserve">≈17.0</w:t>
            </w:r>
          </w:p>
        </w:tc>
      </w:tr>
    </w:tbl>
    <w:p>
      <w:pPr>
        <w:pStyle w:val="tablehead"/>
      </w:pPr>
      <w:r>
        <w:t xml:space="preserve">TABLE IV. ALL MODEL RESULTS FOR TE (2024 TEST SET)</w:t>
      </w:r>
    </w:p>
    <w:tbl>
      <w:tblPr>
        <w:tblStyle w:val="TableNormal"/>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80" w:type="dxa"/>
          <w:bottom w:w="60" w:type="dxa"/>
          <w:right w:w="80" w:type="dxa"/>
        </w:tblCellMar>
      </w:tblPr>
      <w:tr>
        <w:tc>
          <w:tcPr>
            <w:tcW w:w="1633" w:type="pct"/>
          </w:tcPr>
          <w:p>
            <w:pPr>
              <w:pStyle w:val="tablecolhead"/>
            </w:pPr>
            <w:r>
              <w:t xml:space="preserve">Model</w:t>
            </w:r>
          </w:p>
        </w:tc>
        <w:tc>
          <w:tcPr>
            <w:tcW w:w="1633" w:type="pct"/>
          </w:tcPr>
          <w:p>
            <w:pPr>
              <w:pStyle w:val="tablecolhead"/>
            </w:pPr>
            <w:r>
              <w:t xml:space="preserve">R²</w:t>
            </w:r>
          </w:p>
        </w:tc>
        <w:tc>
          <w:tcPr>
            <w:tcW w:w="1633" w:type="pct"/>
          </w:tcPr>
          <w:p>
            <w:pPr>
              <w:pStyle w:val="tablecolhead"/>
            </w:pPr>
            <w:r>
              <w:t xml:space="preserve">RMSE (yds/g)</w:t>
            </w:r>
          </w:p>
        </w:tc>
      </w:tr>
      <w:tr>
        <w:tc>
          <w:tcPr>
            <w:tcW w:w="1633" w:type="pct"/>
          </w:tcPr>
          <w:p>
            <w:pPr>
              <w:pStyle w:val="tablecopy"/>
            </w:pPr>
            <w:r>
              <w:t xml:space="preserve">Lasso</w:t>
            </w:r>
          </w:p>
        </w:tc>
        <w:tc>
          <w:tcPr>
            <w:tcW w:w="1633" w:type="pct"/>
          </w:tcPr>
          <w:p>
            <w:pPr>
              <w:pStyle w:val="tablecopy"/>
            </w:pPr>
            <w:r>
              <w:t xml:space="preserve">0.451</w:t>
            </w:r>
          </w:p>
        </w:tc>
        <w:tc>
          <w:tcPr>
            <w:tcW w:w="1633" w:type="pct"/>
          </w:tcPr>
          <w:p>
            <w:pPr>
              <w:pStyle w:val="tablecopy"/>
            </w:pPr>
            <w:r>
              <w:t xml:space="preserve">12.1</w:t>
            </w:r>
          </w:p>
        </w:tc>
      </w:tr>
      <w:tr>
        <w:tc>
          <w:tcPr>
            <w:tcW w:w="1633" w:type="pct"/>
          </w:tcPr>
          <w:p>
            <w:pPr>
              <w:pStyle w:val="tablecopy"/>
            </w:pPr>
            <w:r>
              <w:t xml:space="preserve">LightGBM</w:t>
            </w:r>
          </w:p>
        </w:tc>
        <w:tc>
          <w:tcPr>
            <w:tcW w:w="1633" w:type="pct"/>
          </w:tcPr>
          <w:p>
            <w:pPr>
              <w:pStyle w:val="tablecopy"/>
            </w:pPr>
            <w:r>
              <w:t xml:space="preserve">0.420</w:t>
            </w:r>
          </w:p>
        </w:tc>
        <w:tc>
          <w:tcPr>
            <w:tcW w:w="1633" w:type="pct"/>
          </w:tcPr>
          <w:p>
            <w:pPr>
              <w:pStyle w:val="tablecopy"/>
            </w:pPr>
            <w:r>
              <w:t xml:space="preserve">12.5</w:t>
            </w:r>
          </w:p>
        </w:tc>
      </w:tr>
      <w:tr>
        <w:tc>
          <w:tcPr>
            <w:tcW w:w="1633" w:type="pct"/>
          </w:tcPr>
          <w:p>
            <w:pPr>
              <w:pStyle w:val="tablecopy"/>
            </w:pPr>
            <w:r>
              <w:t xml:space="preserve">XGBoost</w:t>
            </w:r>
          </w:p>
        </w:tc>
        <w:tc>
          <w:tcPr>
            <w:tcW w:w="1633" w:type="pct"/>
          </w:tcPr>
          <w:p>
            <w:pPr>
              <w:pStyle w:val="tablecopy"/>
            </w:pPr>
            <w:r>
              <w:t xml:space="preserve">0.404</w:t>
            </w:r>
          </w:p>
        </w:tc>
        <w:tc>
          <w:tcPr>
            <w:tcW w:w="1633" w:type="pct"/>
          </w:tcPr>
          <w:p>
            <w:pPr>
              <w:pStyle w:val="tablecopy"/>
            </w:pPr>
            <w:r>
              <w:t xml:space="preserve">12.7</w:t>
            </w:r>
          </w:p>
        </w:tc>
      </w:tr>
      <w:tr>
        <w:tc>
          <w:tcPr>
            <w:tcW w:w="1633" w:type="pct"/>
          </w:tcPr>
          <w:p>
            <w:pPr>
              <w:pStyle w:val="tablecopy"/>
            </w:pPr>
            <w:r>
              <w:t xml:space="preserve">Ridge</w:t>
            </w:r>
          </w:p>
        </w:tc>
        <w:tc>
          <w:tcPr>
            <w:tcW w:w="1633" w:type="pct"/>
          </w:tcPr>
          <w:p>
            <w:pPr>
              <w:pStyle w:val="tablecopy"/>
            </w:pPr>
            <w:r>
              <w:t xml:space="preserve">0.398</w:t>
            </w:r>
          </w:p>
        </w:tc>
        <w:tc>
          <w:tcPr>
            <w:tcW w:w="1633" w:type="pct"/>
          </w:tcPr>
          <w:p>
            <w:pPr>
              <w:pStyle w:val="tablecopy"/>
            </w:pPr>
            <w:r>
              <w:t xml:space="preserve">12.8</w:t>
            </w:r>
          </w:p>
        </w:tc>
      </w:tr>
      <w:tr>
        <w:tc>
          <w:tcPr>
            <w:tcW w:w="1633" w:type="pct"/>
          </w:tcPr>
          <w:p>
            <w:pPr>
              <w:pStyle w:val="tablecopy"/>
            </w:pPr>
            <w:r>
              <w:t xml:space="preserve">ElasticNet</w:t>
            </w:r>
          </w:p>
        </w:tc>
        <w:tc>
          <w:tcPr>
            <w:tcW w:w="1633" w:type="pct"/>
          </w:tcPr>
          <w:p>
            <w:pPr>
              <w:pStyle w:val="tablecopy"/>
            </w:pPr>
            <w:r>
              <w:t xml:space="preserve">0.381</w:t>
            </w:r>
          </w:p>
        </w:tc>
        <w:tc>
          <w:tcPr>
            <w:tcW w:w="1633" w:type="pct"/>
          </w:tcPr>
          <w:p>
            <w:pPr>
              <w:pStyle w:val="tablecopy"/>
            </w:pPr>
            <w:r>
              <w:t xml:space="preserve">13.0</w:t>
            </w:r>
          </w:p>
        </w:tc>
      </w:tr>
      <w:tr>
        <w:tc>
          <w:tcPr>
            <w:tcW w:w="1633" w:type="pct"/>
          </w:tcPr>
          <w:p>
            <w:pPr>
              <w:pStyle w:val="tablecopy"/>
            </w:pPr>
            <w:r>
              <w:t xml:space="preserve">Random Forest</w:t>
            </w:r>
          </w:p>
        </w:tc>
        <w:tc>
          <w:tcPr>
            <w:tcW w:w="1633" w:type="pct"/>
          </w:tcPr>
          <w:p>
            <w:pPr>
              <w:pStyle w:val="tablecopy"/>
            </w:pPr>
            <w:r>
              <w:t xml:space="preserve">0.362</w:t>
            </w:r>
          </w:p>
        </w:tc>
        <w:tc>
          <w:tcPr>
            <w:tcW w:w="1633" w:type="pct"/>
          </w:tcPr>
          <w:p>
            <w:pPr>
              <w:pStyle w:val="tablecopy"/>
            </w:pPr>
            <w:r>
              <w:t xml:space="preserve">13.2</w:t>
            </w:r>
          </w:p>
        </w:tc>
      </w:tr>
      <w:tr>
        <w:tc>
          <w:tcPr>
            <w:tcW w:w="1633" w:type="pct"/>
          </w:tcPr>
          <w:p>
            <w:pPr>
              <w:pStyle w:val="tablecopy"/>
            </w:pPr>
            <w:r>
              <w:t xml:space="preserve">KNN</w:t>
            </w:r>
          </w:p>
        </w:tc>
        <w:tc>
          <w:tcPr>
            <w:tcW w:w="1633" w:type="pct"/>
          </w:tcPr>
          <w:p>
            <w:pPr>
              <w:pStyle w:val="tablecopy"/>
            </w:pPr>
            <w:r>
              <w:t xml:space="preserve">0.211</w:t>
            </w:r>
          </w:p>
        </w:tc>
        <w:tc>
          <w:tcPr>
            <w:tcW w:w="1633" w:type="pct"/>
          </w:tcPr>
          <w:p>
            <w:pPr>
              <w:pStyle w:val="tablecopy"/>
            </w:pPr>
            <w:r>
              <w:t xml:space="preserve">14.6</w:t>
            </w:r>
          </w:p>
        </w:tc>
      </w:tr>
      <w:tr>
        <w:tc>
          <w:tcPr>
            <w:tcW w:w="1633" w:type="pct"/>
          </w:tcPr>
          <w:p>
            <w:pPr>
              <w:pStyle w:val="tablecopy"/>
            </w:pPr>
            <w:r>
              <w:t xml:space="preserve">Linear Regression</w:t>
            </w:r>
          </w:p>
        </w:tc>
        <w:tc>
          <w:tcPr>
            <w:tcW w:w="1633" w:type="pct"/>
          </w:tcPr>
          <w:p>
            <w:pPr>
              <w:pStyle w:val="tablecopy"/>
            </w:pPr>
            <w:r>
              <w:t xml:space="preserve">0.153</w:t>
            </w:r>
          </w:p>
        </w:tc>
        <w:tc>
          <w:tcPr>
            <w:tcW w:w="1633" w:type="pct"/>
          </w:tcPr>
          <w:p>
            <w:pPr>
              <w:pStyle w:val="tablecopy"/>
            </w:pPr>
            <w:r>
              <w:t xml:space="preserve">15.1</w:t>
            </w:r>
          </w:p>
        </w:tc>
      </w:tr>
    </w:tbl>
    <w:p>
      <w:pPr>
        <w:pStyle w:val="BodyText"/>
      </w:pPr>
      <w:r>
        <w:t xml:space="preserve">TE performance is the most predictable of the four positions, with Lasso achieving R² = 0.451. The dominance of L1-regularized linear regression confirms that the performance drivers for TE are largely linear and sparse: a small number of features (primarily lag-1 targets, lag-1 receptions, and the award indicators) carry most of the predictive weight, while Lasso's sparsity-inducing penalty effectively zeros out the remainder. LightGBM and XGBoost are competitive (R² = 0.420 and 0.404), but tree-based non-linearity adds only marginal value, suggesting that complex feature interactions are limited for this position.</w:t>
      </w:r>
    </w:p>
    <w:p>
      <w:pPr>
        <w:pStyle w:val="BodyText"/>
      </w:pPr>
      <w:r>
        <w:t xml:space="preserve">WR is the second most predictable position (R² = 0.325, Random Forest). The rich nflverse feature set—which includes situational splits, air yards, EPA, and target share—provides informative non-linear signal for ensemble methods. LightGBM (R² = 0.315) and XGBoost (R² = 0.313) achieve nearly identical performance. Interestingly, KNN (R² = 0.279) outperforms linear models, suggesting that locally similar player archetypes (grouped by depth of target, target share, and EPA profiles) have predictively coherent performance outcomes.</w:t>
      </w:r>
    </w:p>
    <w:p>
      <w:pPr>
        <w:pStyle w:val="BodyText"/>
      </w:pPr>
      <w:r>
        <w:t xml:space="preserve">QB (R² = 0.145, XGBoost) and RB (R² = 0.150, Random Forest) remain the least predictable positions. For QB, linear models (Ridge, ElasticNet, and OLS) yield negative R² on the 2024 test set, indicating performance below the naive constant mean predictor. This failure of linear methods on QB confirms the presence of non-linear structure that only ensemble methods partially capture. For RB, linear models are competitive (Ridge and ElasticNet achieve R² ≈ 0.10–0.12), but all models explain only around 15% of the variance. The low predictability of both positions is consistent with the interpretation that a substantial portion of QB and RB output depends on unobserved or difficult-to-quantify factors: offensive line quality, opposing defensive schemes, injury status of supporting players, and in-game play-calling tendencies.</w:t>
      </w:r>
    </w:p>
    <w:p>
      <w:pPr>
        <w:pStyle w:val="Heading2"/>
      </w:pPr>
      <w:r>
        <w:t xml:space="preserve">B. Walk-Forward Evaluation</w:t>
      </w:r>
    </w:p>
    <w:p>
      <w:pPr>
        <w:pStyle w:val="BodyText"/>
      </w:pPr>
      <w:r>
        <w:t xml:space="preserve">Walk-forward results (averaged across all four temporal folds) are presented in Table V.</w:t>
      </w:r>
    </w:p>
    <w:p>
      <w:pPr>
        <w:pStyle w:val="tablehead"/>
      </w:pPr>
      <w:r>
        <w:t xml:space="preserve">TABLE V. WALK-FORWARD AVERAGE RESULTS (FOLDS 2021–2024)</w:t>
      </w:r>
    </w:p>
    <w:tbl>
      <w:tblPr>
        <w:tblStyle w:val="TableNormal"/>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80" w:type="dxa"/>
          <w:bottom w:w="60" w:type="dxa"/>
          <w:right w:w="80" w:type="dxa"/>
        </w:tblCellMar>
      </w:tblPr>
      <w:tr>
        <w:tc>
          <w:tcPr>
            <w:tcW w:w="1225" w:type="pct"/>
          </w:tcPr>
          <w:p>
            <w:pPr>
              <w:pStyle w:val="tablecolhead"/>
            </w:pPr>
            <w:r>
              <w:t xml:space="preserve">Position</w:t>
            </w:r>
          </w:p>
        </w:tc>
        <w:tc>
          <w:tcPr>
            <w:tcW w:w="1225" w:type="pct"/>
          </w:tcPr>
          <w:p>
            <w:pPr>
              <w:pStyle w:val="tablecolhead"/>
            </w:pPr>
            <w:r>
              <w:t xml:space="preserve">Best Model</w:t>
            </w:r>
          </w:p>
        </w:tc>
        <w:tc>
          <w:tcPr>
            <w:tcW w:w="1225" w:type="pct"/>
          </w:tcPr>
          <w:p>
            <w:pPr>
              <w:pStyle w:val="tablecolhead"/>
            </w:pPr>
            <w:r>
              <w:t xml:space="preserve">Avg. R²</w:t>
            </w:r>
          </w:p>
        </w:tc>
        <w:tc>
          <w:tcPr>
            <w:tcW w:w="1225" w:type="pct"/>
          </w:tcPr>
          <w:p>
            <w:pPr>
              <w:pStyle w:val="tablecolhead"/>
            </w:pPr>
            <w:r>
              <w:t xml:space="preserve">Avg. RMSE</w:t>
            </w:r>
          </w:p>
        </w:tc>
      </w:tr>
      <w:tr>
        <w:tc>
          <w:tcPr>
            <w:tcW w:w="1225" w:type="pct"/>
          </w:tcPr>
          <w:p>
            <w:pPr>
              <w:pStyle w:val="tablecopy"/>
            </w:pPr>
            <w:r>
              <w:t xml:space="preserve">QB</w:t>
            </w:r>
          </w:p>
        </w:tc>
        <w:tc>
          <w:tcPr>
            <w:tcW w:w="1225" w:type="pct"/>
          </w:tcPr>
          <w:p>
            <w:pPr>
              <w:pStyle w:val="tablecopy"/>
            </w:pPr>
            <w:r>
              <w:t xml:space="preserve">XGBoost</w:t>
            </w:r>
          </w:p>
        </w:tc>
        <w:tc>
          <w:tcPr>
            <w:tcW w:w="1225" w:type="pct"/>
          </w:tcPr>
          <w:p>
            <w:pPr>
              <w:pStyle w:val="tablecopy"/>
            </w:pPr>
            <w:r>
              <w:t xml:space="preserve">0.176</w:t>
            </w:r>
          </w:p>
        </w:tc>
        <w:tc>
          <w:tcPr>
            <w:tcW w:w="1225" w:type="pct"/>
          </w:tcPr>
          <w:p>
            <w:pPr>
              <w:pStyle w:val="tablecopy"/>
            </w:pPr>
            <w:r>
              <w:t xml:space="preserve">51.56 yds/g</w:t>
            </w:r>
          </w:p>
        </w:tc>
      </w:tr>
      <w:tr>
        <w:tc>
          <w:tcPr>
            <w:tcW w:w="1225" w:type="pct"/>
          </w:tcPr>
          <w:p>
            <w:pPr>
              <w:pStyle w:val="tablecopy"/>
            </w:pPr>
            <w:r>
              <w:t xml:space="preserve">RB</w:t>
            </w:r>
          </w:p>
        </w:tc>
        <w:tc>
          <w:tcPr>
            <w:tcW w:w="1225" w:type="pct"/>
          </w:tcPr>
          <w:p>
            <w:pPr>
              <w:pStyle w:val="tablecopy"/>
            </w:pPr>
            <w:r>
              <w:t xml:space="preserve">ElasticNet</w:t>
            </w:r>
          </w:p>
        </w:tc>
        <w:tc>
          <w:tcPr>
            <w:tcW w:w="1225" w:type="pct"/>
          </w:tcPr>
          <w:p>
            <w:pPr>
              <w:pStyle w:val="tablecopy"/>
            </w:pPr>
            <w:r>
              <w:t xml:space="preserve">0.244</w:t>
            </w:r>
          </w:p>
        </w:tc>
        <w:tc>
          <w:tcPr>
            <w:tcW w:w="1225" w:type="pct"/>
          </w:tcPr>
          <w:p>
            <w:pPr>
              <w:pStyle w:val="tablecopy"/>
            </w:pPr>
            <w:r>
              <w:t xml:space="preserve">19.87 yds/g</w:t>
            </w:r>
          </w:p>
        </w:tc>
      </w:tr>
      <w:tr>
        <w:tc>
          <w:tcPr>
            <w:tcW w:w="1225" w:type="pct"/>
          </w:tcPr>
          <w:p>
            <w:pPr>
              <w:pStyle w:val="tablecopy"/>
            </w:pPr>
            <w:r>
              <w:t xml:space="preserve">TE</w:t>
            </w:r>
          </w:p>
        </w:tc>
        <w:tc>
          <w:tcPr>
            <w:tcW w:w="1225" w:type="pct"/>
          </w:tcPr>
          <w:p>
            <w:pPr>
              <w:pStyle w:val="tablecopy"/>
            </w:pPr>
            <w:r>
              <w:t xml:space="preserve">Ridge</w:t>
            </w:r>
          </w:p>
        </w:tc>
        <w:tc>
          <w:tcPr>
            <w:tcW w:w="1225" w:type="pct"/>
          </w:tcPr>
          <w:p>
            <w:pPr>
              <w:pStyle w:val="tablecopy"/>
            </w:pPr>
            <w:r>
              <w:t xml:space="preserve">0.502</w:t>
            </w:r>
          </w:p>
        </w:tc>
        <w:tc>
          <w:tcPr>
            <w:tcW w:w="1225" w:type="pct"/>
          </w:tcPr>
          <w:p>
            <w:pPr>
              <w:pStyle w:val="tablecopy"/>
            </w:pPr>
            <w:r>
              <w:t xml:space="preserve">13.05 yds/g</w:t>
            </w:r>
          </w:p>
        </w:tc>
      </w:tr>
      <w:tr>
        <w:tc>
          <w:tcPr>
            <w:tcW w:w="1225" w:type="pct"/>
          </w:tcPr>
          <w:p>
            <w:pPr>
              <w:pStyle w:val="tablecopy"/>
            </w:pPr>
            <w:r>
              <w:t xml:space="preserve">WR</w:t>
            </w:r>
          </w:p>
        </w:tc>
        <w:tc>
          <w:tcPr>
            <w:tcW w:w="1225" w:type="pct"/>
          </w:tcPr>
          <w:p>
            <w:pPr>
              <w:pStyle w:val="tablecopy"/>
            </w:pPr>
            <w:r>
              <w:t xml:space="preserve">LightGBM</w:t>
            </w:r>
          </w:p>
        </w:tc>
        <w:tc>
          <w:tcPr>
            <w:tcW w:w="1225" w:type="pct"/>
          </w:tcPr>
          <w:p>
            <w:pPr>
              <w:pStyle w:val="tablecopy"/>
            </w:pPr>
            <w:r>
              <w:t xml:space="preserve">0.328</w:t>
            </w:r>
          </w:p>
        </w:tc>
        <w:tc>
          <w:tcPr>
            <w:tcW w:w="1225" w:type="pct"/>
          </w:tcPr>
          <w:p>
            <w:pPr>
              <w:pStyle w:val="tablecopy"/>
            </w:pPr>
            <w:r>
              <w:t xml:space="preserve">16.41 yds/g</w:t>
            </w:r>
          </w:p>
        </w:tc>
      </w:tr>
    </w:tbl>
    <w:p>
      <w:pPr>
        <w:pStyle w:val="BodyText"/>
      </w:pPr>
      <w:r>
        <w:t xml:space="preserve">A key finding is the divergence between hold-out and walk-forward best models for RB. In the single-year 2024 hold-out, Random Forest leads; in walk-forward evaluation, ElasticNet (Avg. R² = 0.244) outperforms all ensemble methods. Ridge and OLS perform nearly identically to ElasticNet across folds. This suggests that the apparent advantage of Random Forest in 2024 may reflect overfitting to 2024-specific characteristics of the RB landscape (e.g., the emergence of Barkley's record season), while the underlying cross-fold structure of RB performance is better described by linear relationships. This finding highlights the value of multi-fold walk-forward evaluation over single-year hold-out assessment.</w:t>
      </w:r>
    </w:p>
    <w:p>
      <w:pPr>
        <w:pStyle w:val="BodyText"/>
      </w:pPr>
      <w:r>
        <w:t xml:space="preserve">QB walk-forward performance exhibits high temporal instability. While Folds 1 and 2 (test years 2021 and 2022) produce R² values around 0.28–0.30 for XGBoost, Fold 3 (test year 2023) shows near-zero or negative R² across nearly all models. This instability likely reflects the accelerating strategic evolution of the quarterback position in recent seasons: the increasing importance of quarterback mobility and rushing contribution, the widespread adoption of two-high safety schemes, and the emergence of new offensive system archetypes (e.g., RPO-heavy offenses, spread concepts). These structural shifts alter the relationship between historical lag features and current season outputs faster than the expanding-window training history can adapt.</w:t>
      </w:r>
    </w:p>
    <w:p>
      <w:pPr>
        <w:pStyle w:val="BodyText"/>
      </w:pPr>
      <w:r>
        <w:t xml:space="preserve">TE demonstrates the highest temporal stability, with fold-level R² values ranging from 0.41 to 0.67, the highest fold-level performance occurring in 2022 and 2023. Ridge and Lasso perform nearly identically in walk-forward evaluation (avg. R² of 0.502 and 0.490 respectively). The consistency of linear regularized models across temporal folds supports the interpretation that TE performance is governed by durable statistical patterns: target volume and reception consistency from prior seasons are reliable predictors across multiple years.</w:t>
      </w:r>
    </w:p>
    <w:p>
      <w:pPr>
        <w:pStyle w:val="BodyText"/>
      </w:pPr>
      <w:r>
        <w:t xml:space="preserve">WR walk-forward results (LightGBM Avg. R² = 0.328) are broadly consistent with the single-year hold-out result (Random Forest R² = 0.325), suggesting reliable generalization across seasons. The ensemble advantage is consistent and stable. A mild decline is observed in the 2024 fold, potentially due to roster turnover in top receiving corps.</w:t>
      </w:r>
    </w:p>
    <w:p>
      <w:pPr>
        <w:pStyle w:val="Heading2"/>
      </w:pPr>
      <w:r>
        <w:t xml:space="preserve">C. Model Error Analysis</w:t>
      </w:r>
    </w:p>
    <w:p>
      <w:pPr>
        <w:pStyle w:val="BodyText"/>
      </w:pPr>
      <w:r>
        <w:t xml:space="preserve">Inspection of prediction errors (predicted vs. actual scatter plots, annotated by player name) reveals systematic patterns. For QB, the largest errors occur in breakout seasons by young quarterbacks entering their first high-volume starting role—a scenario poorly captured by lag features for debut starters. For WR, errors are concentrated among receivers whose role expanded dramatically within a season due to teammate injury at their position. For RB and TE, errors are most pronounced for players who changed teams, suggesting that the binary Team_Changed flag—while valuable—does not fully capture the magnitude of system quality change.</w:t>
      </w:r>
    </w:p>
    <w:p>
      <w:pPr>
        <w:pStyle w:val="BodyText"/>
      </w:pPr>
      <w:r>
        <w:t xml:space="preserve">Predicted vs. actual plots confirm that all models tend toward the mean for players at the extreme high end of the performance distribution (elite performers are systematically underpredicted). This regression-to-the-mean bias is expected given that extreme performance seasons are partially driven by factors not captured in any historical feature (favorable defensive matchups, unusually high red-zone opportunity rates, etc.). Ensemble models show less severe regression-to-mean bias than linear models for WR and QB.</w:t>
      </w:r>
    </w:p>
    <w:p>
      <w:pPr>
        <w:pStyle w:val="Heading2"/>
      </w:pPr>
      <w:r>
        <w:t xml:space="preserve">D. Key Limitations</w:t>
      </w:r>
    </w:p>
    <w:p>
      <w:pPr>
        <w:pStyle w:val="BodyText"/>
      </w:pPr>
      <w:r>
        <w:t xml:space="preserve">Several limitations should be noted. First, opponent defensive quality is absent from the feature set; including opponent yards-allowed per game or defensive DVOA as a feature could substantially improve QB and RB predictability. Second, injury history indicators (number of games missed in prior seasons, injury type) are not encoded, despite being a major driver of yards-per-game variance. Third, the WR dataset from nflverse is richer in recent seasons (greater coverage of tracking-derived metrics post-2016), which may introduce temporal heteroscedasticity in the WR feature space. Fourth, season-level aggregation precludes modeling within-season trajectory changes such as mid-season role evolution or schedule strength variation.</w:t>
      </w:r>
    </w:p>
    <w:p>
      <w:pPr>
        <w:pStyle w:val="Heading1"/>
      </w:pPr>
      <w:r>
        <w:t xml:space="preserve">VI. Conclusion</w:t>
      </w:r>
    </w:p>
    <w:p>
      <w:pPr>
        <w:pStyle w:val="BodyText"/>
      </w:pPr>
      <w:r>
        <w:t xml:space="preserve">This paper presented NFL Granada, a position-specific machine learning framework for predicting yards per game across four offensive positions. Through a structured EDA of four multi-source datasets, we established the case for independent per-position modeling pipelines, identified distributional properties requiring targeted preprocessing (QB bimodality, WR power-law skew), and quantified feature correlation structures motivating regularization.</w:t>
      </w:r>
    </w:p>
    <w:p>
      <w:pPr>
        <w:pStyle w:val="BodyText"/>
      </w:pPr>
      <w:r>
        <w:t xml:space="preserve">The feature engineering pipeline—combining lag features (lag-1 and lag-2 historical statistics), multi-label binary award encoding, and a team change indicator—provided temporally valid predictive signal while preventing data leakage. Eight regression models were evaluated per position under both single-year hold-out and walk-forward validation protocols.</w:t>
      </w:r>
    </w:p>
    <w:p>
      <w:pPr>
        <w:pStyle w:val="BodyText"/>
      </w:pPr>
      <w:r>
        <w:t xml:space="preserve">TE performance is the most predictable (R² = 0.451/0.502 hold-out/walk-forward), governed by stable linear relationships well-captured by Lasso and Ridge regression. WR achieves moderate predictability (≈0.325/0.328), best modeled by ensemble methods leveraging the rich nflverse feature space. QB and RB remain challenging (R² ≈0.14–0.25), reflecting dependence on unobserved contextual factors. Walk-forward evaluation revealed that RB is better described by linear models in a temporally-stable sense, despite ensemble methods leading in the 2024 single-year test.</w:t>
      </w:r>
    </w:p>
    <w:p>
      <w:pPr>
        <w:pStyle w:val="BodyText"/>
      </w:pPr>
      <w:r>
        <w:t xml:space="preserve">Future work should explore opponent defensive quality metrics, injury history encoding, and game-level temporal models (LSTM, Transformer) capable of capturing within-season trajectory changes. Incorporating contract and role data (e.g., salary cap percentage, snap share designation) could provide additional signal for modeling role-driven performance shifts. Extending the framework to defensive positions and cross-position interaction modeling are further directions of interest.</w:t>
      </w:r>
    </w:p>
    <w:p>
      <w:pPr>
        <w:pStyle w:val="Heading1"/>
      </w:pPr>
      <w:r>
        <w:t xml:space="preserve">References</w:t>
      </w:r>
    </w:p>
    <w:p>
      <w:pPr>
        <w:pStyle w:val="references"/>
      </w:pPr>
      <w:r>
        <w:t xml:space="preserve">[1] Statista, “Fantasy sports users in the United States,” Statista Digital Markets, 2024. [Online]. Available: https://www.statista.com</w:t>
      </w:r>
    </w:p>
    <w:p>
      <w:pPr>
        <w:pStyle w:val="references"/>
      </w:pPr>
      <w:r>
        <w:t xml:space="preserve">[2] B. L. Boulier and H. O. Stekler, “Predicting the outcomes of National Football League games,” International Journal of Forecasting, vol. 19, no. 2, pp. 257–270, 2003.</w:t>
      </w:r>
    </w:p>
    <w:p>
      <w:pPr>
        <w:pStyle w:val="references"/>
      </w:pPr>
      <w:r>
        <w:t xml:space="preserve">[3] D. J. Berri, M. B. Schmidt, and S. L. Brook, The Wages of Wins: Taking Measure of the Many Myths in Modern Sport. Stanford, CA: Stanford University Press, 2006.</w:t>
      </w:r>
    </w:p>
    <w:p>
      <w:pPr>
        <w:pStyle w:val="references"/>
      </w:pPr>
      <w:r>
        <w:t xml:space="preserve">[4] N. Joash Fernandes, C. Yakubovsky, P. Srikanthan, H. Zargari, and J. Li, “Predicting plays in the National Football League,” in Proc. Int. Conf. Machine Learning and Applications (ICMLA), 2020, pp. 1066– 1071.</w:t>
      </w:r>
    </w:p>
    <w:p>
      <w:pPr>
        <w:pStyle w:val="references"/>
      </w:pPr>
      <w:r>
        <w:t xml:space="preserve">[5] B. Burke, “Advanced NFL stats: Expected points and win probability,” Advanced Football Analytics, 2014. [Online]. Available: http://www.advancedfootballanalytics.com</w:t>
      </w:r>
    </w:p>
    <w:p>
      <w:pPr>
        <w:pStyle w:val="references"/>
      </w:pPr>
      <w:r>
        <w:t xml:space="preserve">[6] K. Goldner, “A Markov model of football: Using stochastic processes to model a football drive,” Journal of Quantitative Analysis in Sports, vol. 8, no. 1, 2012.</w:t>
      </w:r>
    </w:p>
    <w:p>
      <w:pPr>
        <w:pStyle w:val="references"/>
      </w:pPr>
      <w:r>
        <w:t xml:space="preserve">[7] Pro Football Reference, “NFL Statistics,” Sports Reference LLC, 2024. [Online]. Available: https://www.pro-football-reference.com</w:t>
      </w:r>
    </w:p>
    <w:p>
      <w:pPr>
        <w:pStyle w:val="references"/>
      </w:pPr>
      <w:r>
        <w:t xml:space="preserve">[8] S. Andreu, “NFL WR Dataset 2025,” HuggingFace Datasets, 2025. [Online]. Available: https://huggingface.co/datasets/SebastianAndreu/24679_NFL_WR_Dataset_2025</w:t>
      </w:r>
    </w:p>
    <w:p>
      <w:pPr>
        <w:pStyle w:val="references"/>
      </w:pPr>
      <w:r>
        <w:t xml:space="preserve">[9] nfeloapp, “NFL QB Rankings and Elo Ratings,” 2024. [Online]. Available: https://www.nfeloapp.com/qb-rankings/</w:t>
      </w:r>
    </w:p>
    <w:p>
      <w:pPr>
        <w:sectPr>
          <w:pgSz w:w="595.30pt" w:h="841.90pt" w:code="9"/>
          <w:pgMar w:top="54pt" w:right="44.65pt" w:bottom="72pt" w:left="44.65pt" w:header="36pt" w:footer="36pt" w:gutter="0pt"/>
          <w:cols w:num="2" w:space="36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