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uravias-brand-kit-v2"/>
    <w:p>
      <w:pPr>
        <w:pStyle w:val="Heading1"/>
      </w:pPr>
      <w:r>
        <w:t xml:space="preserve">Curavias — Brand Kit v2</w:t>
      </w:r>
    </w:p>
    <w:p>
      <w:pPr>
        <w:pStyle w:val="FirstParagraph"/>
      </w:pPr>
      <w:r>
        <w:rPr>
          <w:b/>
          <w:bCs/>
        </w:rPr>
        <w:t xml:space="preserve">Curavias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Swiss Hospital Capacity Copilot</w:t>
      </w:r>
      <w:r>
        <w:t xml:space="preserve"> </w:t>
      </w:r>
      <w:r>
        <w:t xml:space="preserve">· curavias.ch</w:t>
      </w:r>
      <w:r>
        <w:t xml:space="preserve"> </w:t>
      </w:r>
      <w:r>
        <w:t xml:space="preserve">Tagline:</w:t>
      </w:r>
      <w:r>
        <w:t xml:space="preserve"> </w:t>
      </w:r>
      <w:r>
        <w:rPr>
          <w:i/>
          <w:iCs/>
        </w:rPr>
        <w:t xml:space="preserve">Every patient’s path, in Swiss hands.</w:t>
      </w:r>
    </w:p>
    <w:p>
      <w:pPr>
        <w:pStyle w:val="BodyText"/>
      </w:pPr>
      <w:r>
        <w:t xml:space="preserve">The official, self-contained brand kit for solution branding. Start with</w:t>
      </w:r>
      <w:r>
        <w:t xml:space="preserve"> </w:t>
      </w:r>
      <w:r>
        <w:rPr>
          <w:rStyle w:val="VerbatimChar"/>
          <w:b/>
          <w:bCs/>
        </w:rPr>
        <w:t xml:space="preserve">Curavias-Brand-Guidelines.md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</w:pPr>
            <w:r>
              <w:t xml:space="preserve">Horizontal logo, logo-with-tagline, standalone symbol (SVG + 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icon/</w:t>
            </w:r>
          </w:p>
        </w:tc>
        <w:tc>
          <w:tcPr/>
          <w:p>
            <w:pPr>
              <w:pStyle w:val="Compact"/>
            </w:pPr>
            <w:r>
              <w:t xml:space="preserve">App icon (SVG + PNG) and</w:t>
            </w:r>
            <w:r>
              <w:t xml:space="preserve"> </w:t>
            </w:r>
            <w:r>
              <w:rPr>
                <w:rStyle w:val="VerbatimChar"/>
              </w:rPr>
              <w:t xml:space="preserve">favicons/</w:t>
            </w:r>
            <w:r>
              <w:t xml:space="preserve"> </w:t>
            </w:r>
            <w:r>
              <w:t xml:space="preserve">(16–1024 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color/</w:t>
            </w:r>
          </w:p>
        </w:tc>
        <w:tc>
          <w:tcPr/>
          <w:p>
            <w:pPr>
              <w:pStyle w:val="Compact"/>
            </w:pPr>
            <w:r>
              <w:t xml:space="preserve">Fluent UI color system:</w:t>
            </w:r>
            <w:r>
              <w:t xml:space="preserve"> </w:t>
            </w:r>
            <w:r>
              <w:rPr>
                <w:rStyle w:val="VerbatimChar"/>
              </w:rPr>
              <w:t xml:space="preserve">curavias-theme.ts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curavias-tokens.json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curavias-tokens.css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curavias-powerbi-theme.json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curavias-color-swatches.png</w:t>
            </w:r>
            <w:r>
              <w:t xml:space="preserve">, and the color spec (</w:t>
            </w:r>
            <w:r>
              <w:rPr>
                <w:rStyle w:val="VerbatimChar"/>
              </w:rPr>
              <w:t xml:space="preserve">.md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Curavias-Brand-Guidelines.md/.docx</w:t>
            </w:r>
            <w:r>
              <w:t xml:space="preserve"> </w:t>
            </w:r>
            <w:r>
              <w:t xml:space="preserve">— master guidelines</w:t>
            </w:r>
          </w:p>
        </w:tc>
      </w:tr>
    </w:tbl>
    <w:bookmarkEnd w:id="9"/>
    <w:bookmarkStart w:id="10" w:name="at-a-glance"/>
    <w:p>
      <w:pPr>
        <w:pStyle w:val="Heading2"/>
      </w:pPr>
      <w:r>
        <w:t xml:space="preserve">At a glance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colour:</w:t>
      </w:r>
      <w:r>
        <w:t xml:space="preserve"> </w:t>
      </w:r>
      <w:r>
        <w:t xml:space="preserve">Success Green</w:t>
      </w:r>
      <w:r>
        <w:t xml:space="preserve"> </w:t>
      </w:r>
      <w:r>
        <w:rPr>
          <w:rStyle w:val="VerbatimChar"/>
        </w:rPr>
        <w:t xml:space="preserve">#17B890</w:t>
      </w:r>
      <w:r>
        <w:t xml:space="preserve"> </w:t>
      </w:r>
      <w:r>
        <w:t xml:space="preserve">(dark text on green — see accessibility note)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colour:</w:t>
      </w:r>
      <w:r>
        <w:t xml:space="preserve"> </w:t>
      </w:r>
      <w:r>
        <w:t xml:space="preserve">Curavias Blue</w:t>
      </w:r>
      <w:r>
        <w:t xml:space="preserve"> </w:t>
      </w:r>
      <w:r>
        <w:rPr>
          <w:rStyle w:val="VerbatimChar"/>
        </w:rPr>
        <w:t xml:space="preserve">#365B7D</w:t>
      </w:r>
      <w:r>
        <w:t xml:space="preserve"> </w:t>
      </w:r>
      <w:r>
        <w:t xml:space="preserve">(nav, white-text buttons, wordmark)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Icon story:</w:t>
      </w:r>
      <w:r>
        <w:t xml:space="preserve"> </w:t>
      </w:r>
      <w:r>
        <w:t xml:space="preserve">start → care → success (the care pathway)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Fluent v9:</w:t>
      </w:r>
      <w:r>
        <w:t xml:space="preserve"> </w:t>
      </w:r>
      <w:r>
        <w:rPr>
          <w:rStyle w:val="VerbatimChar"/>
        </w:rPr>
        <w:t xml:space="preserve">import { curaviasLightTheme } from './color/curavias-theme'</w:t>
      </w:r>
    </w:p>
    <w:p>
      <w:pPr>
        <w:pStyle w:val="FirstParagraph"/>
      </w:pPr>
      <w:r>
        <w:t xml:space="preserve">SVG files are the scalable masters; PNGs are convenience previews.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2026-07-10T14:06:31Z</dcterms:created>
  <dcterms:modified xsi:type="dcterms:W3CDTF">2026-07-10T14:06:31Z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