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1A34F" w14:textId="77777777" w:rsidR="00AC26C1" w:rsidRDefault="00000000">
      <w:pPr>
        <w:pStyle w:val="Heading1"/>
      </w:pPr>
      <w:r>
        <w:t xml:space="preserve">AMA Review Session </w:t>
      </w:r>
      <w:r w:rsidR="00AC26C1">
        <w:t>Cantonal IT CSA</w:t>
      </w:r>
    </w:p>
    <w:p w14:paraId="742E9DE2" w14:textId="0A84A4EF" w:rsidR="004036B4" w:rsidRPr="004036B4" w:rsidRDefault="004036B4" w:rsidP="004036B4">
      <w:r>
        <w:t xml:space="preserve">Date: </w:t>
      </w:r>
    </w:p>
    <w:p w14:paraId="0082C588" w14:textId="0423020D" w:rsidR="00CA5623" w:rsidRDefault="00CA5623" w:rsidP="00CA5623">
      <w:pPr>
        <w:pStyle w:val="Heading2"/>
      </w:pPr>
      <w:r>
        <w:t>Reviewer</w:t>
      </w:r>
    </w:p>
    <w:p w14:paraId="3093A71E" w14:textId="2FF832E1" w:rsidR="00AC26C1" w:rsidRDefault="00AC26C1" w:rsidP="00AC26C1">
      <w:r>
        <w:t>KANTON AARGAU</w:t>
      </w:r>
    </w:p>
    <w:p w14:paraId="2B7EF7FA" w14:textId="77777777" w:rsidR="00AC26C1" w:rsidRDefault="00AC26C1" w:rsidP="00AC26C1">
      <w:proofErr w:type="spellStart"/>
      <w:r>
        <w:t>Departement</w:t>
      </w:r>
      <w:proofErr w:type="spellEnd"/>
      <w:r>
        <w:t xml:space="preserve"> </w:t>
      </w:r>
      <w:proofErr w:type="spellStart"/>
      <w:r>
        <w:t>Finanzen</w:t>
      </w:r>
      <w:proofErr w:type="spellEnd"/>
      <w:r>
        <w:t xml:space="preserve"> und </w:t>
      </w:r>
      <w:proofErr w:type="spellStart"/>
      <w:r>
        <w:t>Ressourcen</w:t>
      </w:r>
      <w:proofErr w:type="spellEnd"/>
    </w:p>
    <w:p w14:paraId="1C251470" w14:textId="37AB7725" w:rsidR="00AC26C1" w:rsidRDefault="00CA5623" w:rsidP="00AC26C1">
      <w:r>
        <w:t>Cantonal IT CSA</w:t>
      </w:r>
    </w:p>
    <w:p w14:paraId="558DC675" w14:textId="77777777" w:rsidR="00AC26C1" w:rsidRDefault="00AC26C1" w:rsidP="00AC26C1">
      <w:r>
        <w:t>Solution Architect &amp; Microsoft Technology Advisor</w:t>
      </w:r>
    </w:p>
    <w:p w14:paraId="6CB05311" w14:textId="3B035211" w:rsidR="00AC26C1" w:rsidRPr="00AC26C1" w:rsidRDefault="00AC26C1" w:rsidP="00AC26C1">
      <w:r>
        <w:t>Informatik Aargau</w:t>
      </w:r>
    </w:p>
    <w:p w14:paraId="22EE1902" w14:textId="4662F0E7" w:rsidR="00D81221" w:rsidRDefault="00000000">
      <w:pPr>
        <w:pStyle w:val="Heading1"/>
      </w:pPr>
      <w:r>
        <w:t>Outcome Assessment</w:t>
      </w:r>
    </w:p>
    <w:p w14:paraId="22EE1903" w14:textId="77777777" w:rsidR="00D81221" w:rsidRDefault="00000000">
      <w:pPr>
        <w:pStyle w:val="Heading2"/>
      </w:pPr>
      <w:r>
        <w:t>1. Executive Summary</w:t>
      </w:r>
    </w:p>
    <w:p w14:paraId="22EE1904" w14:textId="4727E6C5" w:rsidR="00D81221" w:rsidRDefault="004B5C69">
      <w:r>
        <w:t>The AMA session shows a productive but incomplete alignment between an abstract Azure governance framework for a Swiss cantonal public-sector context and the current solution direction captured in the transcript plus the repository artefacts for. The strongest alignment points are: a clear preference for Infrastructure as Code, repository/pipeline-driven delivery instead of manual configuration, an emphasis on Zero Trust, explicit concern for traceability, and the need to separate governance controls from solution-specific implementation details.</w:t>
      </w:r>
    </w:p>
    <w:p w14:paraId="22EE1905" w14:textId="318CB2FA" w:rsidR="00D81221" w:rsidRDefault="004B5C69">
      <w:r>
        <w:t xml:space="preserve">At the same time, the review exposes several substantive gaps. The largest one is a mismatch of abstraction levels: </w:t>
      </w:r>
      <w:r w:rsidR="005C1510">
        <w:t>Cantonal IT CSA employee</w:t>
      </w:r>
      <w:r>
        <w:t xml:space="preserve"> is explicitly producing a governance paper for the cantonal Azure service, not an implementation blueprint for applications, while the repository already contains concrete architecture decisions for a provider-internal operational AI platform using services such as Microsoft Fabric, Azure Health Data Services, Azure Machine Learning, Azure OpenAI, Azure Logic Apps and Power BI. This means some repository decisions are ahead of the governance paper and risk becoming solution-first decisions without a formally approved public-sector governance baseline.</w:t>
      </w:r>
    </w:p>
    <w:p w14:paraId="22EE1906" w14:textId="67298F08" w:rsidR="00D81221" w:rsidRDefault="004B5C69">
      <w:r>
        <w:t>The most important compliance clarification from the AMA session is that Swiss federal DSG is not automatically the governing data protection basis for cantonal entities; instead, cantonal legal bases must be validated per canton. That materially changes the compliance model and means the solution cannot rely on a generic “Swiss healthcare” compliance assumption. This directly creates a validation gap for data residency, sovereign controls, and privacy/legal obligations in the current design.</w:t>
      </w:r>
    </w:p>
    <w:p w14:paraId="22EE1907" w14:textId="7A6BAD7D" w:rsidR="00D81221" w:rsidRDefault="004B5C69">
      <w:r>
        <w:lastRenderedPageBreak/>
        <w:t xml:space="preserve">My overall judgement is: the solution direction is architecturally promising, but governance, compliance validation, and control traceability are not yet mature enough for a public-sector-ready approval baseline. The next step should be to </w:t>
      </w:r>
      <w:proofErr w:type="spellStart"/>
      <w:r>
        <w:t>formalise</w:t>
      </w:r>
      <w:proofErr w:type="spellEnd"/>
      <w:r>
        <w:t xml:space="preserve"> a requirement-to-control-to-architecture traceability chain and to separate what is already decided, what is assumed, and what still requires legal, policy, or operational approval.</w:t>
      </w:r>
    </w:p>
    <w:p w14:paraId="22EE1908" w14:textId="77777777" w:rsidR="00D81221" w:rsidRDefault="00D81221">
      <w:pPr>
        <w:pBdr>
          <w:top w:val="single" w:sz="12" w:space="0" w:color="auto"/>
        </w:pBdr>
        <w:spacing w:after="0"/>
      </w:pPr>
    </w:p>
    <w:p w14:paraId="22EE1909" w14:textId="77777777" w:rsidR="00D81221" w:rsidRDefault="00000000">
      <w:pPr>
        <w:pStyle w:val="Heading2"/>
      </w:pPr>
      <w:r>
        <w:t>2. Context Overview</w:t>
      </w:r>
    </w:p>
    <w:p w14:paraId="22EE190A" w14:textId="115CEFC0" w:rsidR="00D81221" w:rsidRDefault="004B5C69">
      <w:r>
        <w:t xml:space="preserve">The review is grounded primarily in the AMA Compliance Review Session with </w:t>
      </w:r>
      <w:r w:rsidR="005C1510">
        <w:t>Cantonal IT CSA employee</w:t>
      </w:r>
      <w:r>
        <w:t xml:space="preserve">.docx transcript, which frames the discussion around the creation of an Azure governance framework for the cantonal public cloud service. The stated objective is to define how the canton should govern Azure with regard to security, compliance, cost, </w:t>
      </w:r>
      <w:proofErr w:type="spellStart"/>
      <w:r>
        <w:t>standardisation</w:t>
      </w:r>
      <w:proofErr w:type="spellEnd"/>
      <w:r>
        <w:t xml:space="preserve">, roles, responsibilities, and core technical mechanisms such as Azure Policy, Management Groups, budgets and tagging. The transcript also makes explicit that the framework is intended for the internal </w:t>
      </w:r>
      <w:proofErr w:type="spellStart"/>
      <w:r>
        <w:t>organisation</w:t>
      </w:r>
      <w:proofErr w:type="spellEnd"/>
      <w:r>
        <w:t xml:space="preserve"> and operation of the cantonal Azure base service, not for prescribing how every departmental solution must be designed.</w:t>
      </w:r>
    </w:p>
    <w:p w14:paraId="22EE190B" w14:textId="20A4CB49" w:rsidR="00D81221" w:rsidRDefault="004B5C69">
      <w:r>
        <w:t xml:space="preserve">The current solution reference in the repository is no longer described as a shared cantonal platform in the artefacts that were retrievable. Instead, the repository’s architecture and analysis documents define a provider-internal AI operational platform pattern for a single hospital provider, using USZ and LUKS as scale references, with external </w:t>
      </w:r>
      <w:proofErr w:type="spellStart"/>
      <w:r>
        <w:t>actors</w:t>
      </w:r>
      <w:proofErr w:type="spellEnd"/>
      <w:r>
        <w:t xml:space="preserve"> such as </w:t>
      </w:r>
      <w:proofErr w:type="spellStart"/>
      <w:r>
        <w:t>Spitex</w:t>
      </w:r>
      <w:proofErr w:type="spellEnd"/>
      <w:r>
        <w:t>, rehabilitation clinics, transport services and nursing homes treated as integration endpoints rather than platform users. The repository explicitly positions the platform around 72-hour emergency demand forecasting, discharge coordination AI, and a bed-management copilot.</w:t>
      </w:r>
    </w:p>
    <w:p w14:paraId="22EE190C" w14:textId="765EFC0D" w:rsidR="00D81221" w:rsidRDefault="004B5C69">
      <w:r>
        <w:t>The repository also shows a governance-first delivery style. The architecture document is marked “Reviewed”; the test strategy is documented; and the repository index shows the presence of PRD.md, COMPLIANCE.md, SECURITY.md, AI.md, ALM_PLAN.md, SD.md and additional specs artefacts. However, in this review run I could directly validate the content of ARCHITECTURE.md, TEST.md, DATA.md and the detailed analysis artefact, whereas the other documents were visible in the repository tree but not retrieved in full. Any judgement on those non-opened artefacts should therefore be seen as existence-validated, not content-validated.</w:t>
      </w:r>
    </w:p>
    <w:p w14:paraId="22EE190D" w14:textId="77777777" w:rsidR="00D81221" w:rsidRDefault="00D81221">
      <w:pPr>
        <w:pBdr>
          <w:top w:val="single" w:sz="12" w:space="0" w:color="auto"/>
        </w:pBdr>
        <w:spacing w:after="0"/>
      </w:pPr>
    </w:p>
    <w:p w14:paraId="22EE190E" w14:textId="77777777" w:rsidR="00D81221" w:rsidRDefault="00000000">
      <w:pPr>
        <w:pStyle w:val="Heading2"/>
      </w:pPr>
      <w:r>
        <w:lastRenderedPageBreak/>
        <w:t>3. Key Findings from Review Session</w:t>
      </w:r>
    </w:p>
    <w:p w14:paraId="22EE190F" w14:textId="77777777" w:rsidR="00D81221" w:rsidRDefault="00000000">
      <w:pPr>
        <w:pStyle w:val="Heading3"/>
      </w:pPr>
      <w:r>
        <w:t>3.1 Governance intent is clear, but intentionally abstract</w:t>
      </w:r>
    </w:p>
    <w:p w14:paraId="22EE1910" w14:textId="31EC3F05" w:rsidR="00D81221" w:rsidRDefault="005C1510">
      <w:r>
        <w:t>Cantonal IT CSA employee</w:t>
      </w:r>
      <w:r w:rsidR="004B5C69">
        <w:t xml:space="preserve"> repeatedly clarifies that his scope is a governance framework paper, not a technical implementation package. He wants to define the </w:t>
      </w:r>
      <w:proofErr w:type="spellStart"/>
      <w:r w:rsidR="004B5C69">
        <w:t>organisational</w:t>
      </w:r>
      <w:proofErr w:type="spellEnd"/>
      <w:r w:rsidR="004B5C69">
        <w:t xml:space="preserve"> framework, required controls, responsibilities and operating model for Azure in the canton, and he is intentionally excluding full technical implementation, application migration, or detailed service design from the current thesis scope.</w:t>
      </w:r>
    </w:p>
    <w:p w14:paraId="22EE1911" w14:textId="77777777" w:rsidR="00D81221" w:rsidRDefault="00000000">
      <w:pPr>
        <w:pStyle w:val="Heading3"/>
      </w:pPr>
      <w:r>
        <w:t>3.2 The conversation converges on Git-first, policy-driven operations</w:t>
      </w:r>
    </w:p>
    <w:p w14:paraId="22EE1912" w14:textId="589F8F26" w:rsidR="00D81221" w:rsidRDefault="004B5C69">
      <w:r>
        <w:t xml:space="preserve">Both speakers converge on a target model where manual “click-ops” should be replaced by repository-based, pipeline-driven delivery with declarative Infrastructure as Code. The discussion explicitly mentions </w:t>
      </w:r>
      <w:proofErr w:type="spellStart"/>
      <w:r>
        <w:t>IaC</w:t>
      </w:r>
      <w:proofErr w:type="spellEnd"/>
      <w:r>
        <w:t xml:space="preserve">, versioning, rollback capability, and enforcing controls through code and policies rather than relying only on manual operating discipline. This is consistent with the repository artefacts, which state a repeatable </w:t>
      </w:r>
      <w:proofErr w:type="spellStart"/>
      <w:r>
        <w:t>IaC</w:t>
      </w:r>
      <w:proofErr w:type="spellEnd"/>
      <w:r>
        <w:t xml:space="preserve"> deployment workflow, quality gates, what-if validation, and policy-baseline checks.</w:t>
      </w:r>
    </w:p>
    <w:p w14:paraId="22EE1913" w14:textId="77777777" w:rsidR="00D81221" w:rsidRDefault="00000000">
      <w:pPr>
        <w:pStyle w:val="Heading3"/>
      </w:pPr>
      <w:r>
        <w:t>3.3 Zero Trust and environment separation emerged as critical review outcomes</w:t>
      </w:r>
    </w:p>
    <w:p w14:paraId="22EE1914" w14:textId="01438A81" w:rsidR="00D81221" w:rsidRDefault="004B5C69">
      <w:r>
        <w:t xml:space="preserve">A central technical insight from the AMA session is that governance cannot stop at DevOps mechanics; security, especially Zero Trust, must be part of the baseline. The discussion then becomes more concrete: service-specific DEV/SIT/PROD separation may remain inside a tenant when properly isolated, but tenant-specific engineering and policy validation should happen in a separate tenant so that policies, RBAC </w:t>
      </w:r>
      <w:proofErr w:type="spellStart"/>
      <w:r>
        <w:t>behaviour</w:t>
      </w:r>
      <w:proofErr w:type="spellEnd"/>
      <w:r>
        <w:t xml:space="preserve"> and cross-tenant access restrictions can be tested safely before production rollout. The repository architecture document aligns with this direction through strict workload segmentation, environment progression, approval gates, and </w:t>
      </w:r>
      <w:proofErr w:type="spellStart"/>
      <w:r>
        <w:t>centralised</w:t>
      </w:r>
      <w:proofErr w:type="spellEnd"/>
      <w:r>
        <w:t xml:space="preserve"> policy enforcement.</w:t>
      </w:r>
    </w:p>
    <w:p w14:paraId="22EE1915" w14:textId="77777777" w:rsidR="00D81221" w:rsidRDefault="00000000">
      <w:pPr>
        <w:pStyle w:val="Heading3"/>
      </w:pPr>
      <w:r>
        <w:t>3.4 Compliance assumptions changed materially during the review</w:t>
      </w:r>
    </w:p>
    <w:p w14:paraId="22EE1916" w14:textId="032E46B2" w:rsidR="00D81221" w:rsidRDefault="004B5C69">
      <w:r>
        <w:t>The session produced a decisive compliance correction: the federal Swiss DSG does not automatically govern cantonal entities in the way initially assumed; cantonal legal bases and canton-specific data protection obligations must be applied. The conversation also surfaced that Swiss data location is often recommended but not necessarily always strictly mandatory in identical terms across all scenarios, and that a combination of contractual safeguards, encryption, access control and technical measures may be relevant. This means the solution needs a stricter legal-control mapping than a generic “host in Switzerland = compliant” shortcut.</w:t>
      </w:r>
    </w:p>
    <w:p w14:paraId="22EE1917" w14:textId="77777777" w:rsidR="00D81221" w:rsidRDefault="00000000">
      <w:pPr>
        <w:pStyle w:val="Heading3"/>
      </w:pPr>
      <w:r>
        <w:lastRenderedPageBreak/>
        <w:t>3.5 Traceability and risk management were explicitly identified as missing reinforcement areas</w:t>
      </w:r>
    </w:p>
    <w:p w14:paraId="22EE1918" w14:textId="704BE4BF" w:rsidR="00D81221" w:rsidRDefault="004B5C69">
      <w:r>
        <w:t xml:space="preserve">The AMA discussion explicitly calls for stronger traceability from source facts to policies and implementation outcomes. It also introduces the idea that a governance framework should include a risk management layer identifying what could go wrong, what triggers indicate risk </w:t>
      </w:r>
      <w:proofErr w:type="spellStart"/>
      <w:r>
        <w:t>materialisation</w:t>
      </w:r>
      <w:proofErr w:type="spellEnd"/>
      <w:r>
        <w:t>, which technical or contractual mitigations apply, and which fallback or contingency options exist. The repository test strategy strongly supports traceability and evidence review, but the retrieved DATA.md remains a placeholder, indicating that parts of the control model are still immature.</w:t>
      </w:r>
    </w:p>
    <w:p w14:paraId="22EE1919" w14:textId="77777777" w:rsidR="00D81221" w:rsidRDefault="00D81221">
      <w:pPr>
        <w:pBdr>
          <w:top w:val="single" w:sz="12" w:space="0" w:color="auto"/>
        </w:pBdr>
        <w:spacing w:after="0"/>
      </w:pPr>
    </w:p>
    <w:p w14:paraId="22EE191A" w14:textId="77777777" w:rsidR="00D81221" w:rsidRDefault="00000000">
      <w:pPr>
        <w:pStyle w:val="Heading2"/>
      </w:pPr>
      <w:r>
        <w:t>4. Deviation Analysis</w:t>
      </w:r>
    </w:p>
    <w:p w14:paraId="22EE191B" w14:textId="77777777" w:rsidR="00D81221" w:rsidRDefault="00000000">
      <w:pPr>
        <w:pStyle w:val="Heading3"/>
      </w:pPr>
      <w:r>
        <w:t>4.1 Deviation: governance paper scope vs repository solution maturity</w:t>
      </w:r>
    </w:p>
    <w:p w14:paraId="22EE191C" w14:textId="79C09832" w:rsidR="00D81221" w:rsidRDefault="004B5C69">
      <w:r>
        <w:t xml:space="preserve">The biggest structural deviation is not technical but methodological: the AMA scope is a public-sector governance framework, whereas the repository already contains accepted architecture decisions, GA-based decision records, AI platform decomposition, and service selections for a quite specific solution pattern. That suggests the implementation view may be maturing faster than the abstract governance model that is meant to </w:t>
      </w:r>
      <w:proofErr w:type="spellStart"/>
      <w:r>
        <w:t>authorise</w:t>
      </w:r>
      <w:proofErr w:type="spellEnd"/>
      <w:r>
        <w:t xml:space="preserve"> and constrain it. In other words, the repository is partly behaving as though key governance decisions are already settled.</w:t>
      </w:r>
    </w:p>
    <w:p w14:paraId="22EE191D" w14:textId="5C45A0E0" w:rsidR="00D81221" w:rsidRDefault="004B5C69">
      <w:r>
        <w:rPr>
          <w:b/>
          <w:bCs/>
        </w:rPr>
        <w:t>Why this matters: in a cantonal setting, especially one described as politically sensitive and subject to public scrutiny, architecture choices that appear settled before governance approval can create adoption resistance, audit friction, or policy conflict.</w:t>
      </w:r>
    </w:p>
    <w:p w14:paraId="22EE191E" w14:textId="77777777" w:rsidR="00D81221" w:rsidRDefault="00000000">
      <w:pPr>
        <w:pStyle w:val="Heading3"/>
      </w:pPr>
      <w:r>
        <w:t>4.2 Deviation: provider-internal design vs initial cantonal framing</w:t>
      </w:r>
    </w:p>
    <w:p w14:paraId="22EE191F" w14:textId="25A6282E" w:rsidR="00D81221" w:rsidRDefault="004B5C69">
      <w:r>
        <w:t>The conversation references ambulance/public-sector and cantonal contexts, while the repository analysis explicitly narrows the platform to a single-provider deployment model rather than a cantonal shared operating model. That is a rational architectural narrowing, but it is still a deviation from a broader cantonal or inter-</w:t>
      </w:r>
      <w:proofErr w:type="spellStart"/>
      <w:r>
        <w:t>organisational</w:t>
      </w:r>
      <w:proofErr w:type="spellEnd"/>
      <w:r>
        <w:t xml:space="preserve"> framing. The design now reduces shared tenancy and shared governance by pushing external actors to endpoint integrations only.</w:t>
      </w:r>
    </w:p>
    <w:p w14:paraId="22EE1920" w14:textId="35C4DFAA" w:rsidR="00D81221" w:rsidRDefault="004B5C69">
      <w:r>
        <w:rPr>
          <w:b/>
          <w:bCs/>
        </w:rPr>
        <w:t>Why this matters: this narrowing likely reduces governance complexity and sovereign risk, but it also means the solution might no longer satisfy any stakeholder expectation for a multi-provider, canton-level coordination platform unless that scope reduction is explicitly approved.</w:t>
      </w:r>
    </w:p>
    <w:p w14:paraId="22EE1921" w14:textId="77777777" w:rsidR="00D81221" w:rsidRDefault="00000000">
      <w:pPr>
        <w:pStyle w:val="Heading3"/>
      </w:pPr>
      <w:r>
        <w:lastRenderedPageBreak/>
        <w:t>4.3 Deviation: incomplete data governance baseline</w:t>
      </w:r>
    </w:p>
    <w:p w14:paraId="22EE1922" w14:textId="4C0AFDBE" w:rsidR="00D81221" w:rsidRDefault="004B5C69">
      <w:r>
        <w:t>The repository architecture expects governed datasets, traceability and operational data flows, but the retrievable DATA.md is still a placeholder with “Data Domains TBD”, “Data Contracts TBD”, and “Retention and Governance TBD”. For a healthcare-sensitive, compliance-heavy solution, that is a major maturity gap between architectural ambition and data-governance evidence.</w:t>
      </w:r>
    </w:p>
    <w:p w14:paraId="22EE1923" w14:textId="77777777" w:rsidR="00D81221" w:rsidRDefault="00000000">
      <w:pPr>
        <w:pStyle w:val="Heading3"/>
      </w:pPr>
      <w:r>
        <w:t>4.4 Deviation: controls are referenced, but not all are evidence-backed in the validated artefacts</w:t>
      </w:r>
    </w:p>
    <w:p w14:paraId="22EE1924" w14:textId="34E5A32D" w:rsidR="00D81221" w:rsidRDefault="004B5C69">
      <w:r>
        <w:t xml:space="preserve">The architecture document claims </w:t>
      </w:r>
      <w:proofErr w:type="spellStart"/>
      <w:r>
        <w:t>centralised</w:t>
      </w:r>
      <w:proofErr w:type="spellEnd"/>
      <w:r>
        <w:t xml:space="preserve"> policy enforcement, auditable chains, secure integration boundaries, managed identity defaults, and compliance evidence retention. The test strategy defines how artefacts should be validated and traced. However, the review session itself shows that several core legal and residency assumptions are still being clarified, and the full content of the repository’s compliance/security documents was not available in this review run. So, some controls are declared architecturally but not yet shown end-to-end with validated control evidence in the artefacts I could inspect.</w:t>
      </w:r>
    </w:p>
    <w:p w14:paraId="22EE1925" w14:textId="77777777" w:rsidR="00D81221" w:rsidRDefault="00D81221">
      <w:pPr>
        <w:pBdr>
          <w:top w:val="single" w:sz="12" w:space="0" w:color="auto"/>
        </w:pBdr>
        <w:spacing w:after="0"/>
      </w:pPr>
    </w:p>
    <w:p w14:paraId="22EE1926" w14:textId="77777777" w:rsidR="00D81221" w:rsidRDefault="00000000">
      <w:pPr>
        <w:pStyle w:val="Heading2"/>
      </w:pPr>
      <w:r>
        <w:t>5. New &amp; Emerging Requirements</w:t>
      </w:r>
    </w:p>
    <w:p w14:paraId="22EE1927" w14:textId="06B70983" w:rsidR="00D81221" w:rsidRPr="004B5C69" w:rsidRDefault="004B5C69">
      <w:pPr>
        <w:pStyle w:val="ListParagraph"/>
        <w:numPr>
          <w:ilvl w:val="0"/>
          <w:numId w:val="2"/>
        </w:numPr>
      </w:pPr>
      <w:r w:rsidRPr="004B5C69">
        <w:t>Canton-specific privacy and legal basis mapping is mandatory. The review makes clear that the applicable legal basis differs by canton and cannot be abstracted as one uniform Swiss federal data protection model.</w:t>
      </w:r>
    </w:p>
    <w:p w14:paraId="22EE1928" w14:textId="615CC91F" w:rsidR="00D81221" w:rsidRPr="004B5C69" w:rsidRDefault="004B5C69">
      <w:pPr>
        <w:pStyle w:val="ListParagraph"/>
        <w:numPr>
          <w:ilvl w:val="0"/>
          <w:numId w:val="2"/>
        </w:numPr>
      </w:pPr>
      <w:r w:rsidRPr="004B5C69">
        <w:t>Requirement-control traceability must be explicit. The AMA discussion and repository test strategy both imply the need for a durable chain from requirement to control to architecture decision to implementation evidence.</w:t>
      </w:r>
    </w:p>
    <w:p w14:paraId="22EE1929" w14:textId="74D4D079" w:rsidR="00D81221" w:rsidRPr="004B5C69" w:rsidRDefault="004B5C69">
      <w:pPr>
        <w:pStyle w:val="ListParagraph"/>
        <w:numPr>
          <w:ilvl w:val="0"/>
          <w:numId w:val="2"/>
        </w:numPr>
      </w:pPr>
      <w:r w:rsidRPr="004B5C69">
        <w:t>Risk register and trigger-based mitigation planning should be added. The transcript explicitly proposes a governance-level risk management model with mitigation and contingency logic.</w:t>
      </w:r>
    </w:p>
    <w:p w14:paraId="22EE192A" w14:textId="5DF2CBCF" w:rsidR="00D81221" w:rsidRPr="004B5C69" w:rsidRDefault="004B5C69">
      <w:pPr>
        <w:pStyle w:val="ListParagraph"/>
        <w:numPr>
          <w:ilvl w:val="0"/>
          <w:numId w:val="2"/>
        </w:numPr>
      </w:pPr>
      <w:r w:rsidRPr="004B5C69">
        <w:t>Tenant-specific control engineering requires separate validation space. The review introduces a practical distinction between service-level environments and tenant-level engineering/policy testing, implying an additional requirement for isolated control-validation capability.</w:t>
      </w:r>
    </w:p>
    <w:p w14:paraId="22EE192B" w14:textId="74F1FECD" w:rsidR="00D81221" w:rsidRPr="004B5C69" w:rsidRDefault="004B5C69">
      <w:pPr>
        <w:pStyle w:val="ListParagraph"/>
        <w:numPr>
          <w:ilvl w:val="0"/>
          <w:numId w:val="2"/>
        </w:numPr>
      </w:pPr>
      <w:r w:rsidRPr="004B5C69">
        <w:t>Cross-tenant access must be explicitly prohibited or heavily constrained. The discussion explicitly surfaces cross-tenant isolation as a key control principle. The repository architecture’s strict segmentation aligns with this.</w:t>
      </w:r>
    </w:p>
    <w:p w14:paraId="22EE192C" w14:textId="7520F61B" w:rsidR="00D81221" w:rsidRPr="004B5C69" w:rsidRDefault="004B5C69">
      <w:pPr>
        <w:pStyle w:val="ListParagraph"/>
        <w:numPr>
          <w:ilvl w:val="0"/>
          <w:numId w:val="2"/>
        </w:numPr>
      </w:pPr>
      <w:r w:rsidRPr="004B5C69">
        <w:t>Data governance must move from placeholder to concrete contracts. Because DATA.md is still draft/TBD, a formal requirement emerges for data domains, contracts, retention classes, ownership, and governance evidence.</w:t>
      </w:r>
    </w:p>
    <w:p w14:paraId="22EE192D" w14:textId="1623B6A3" w:rsidR="00D81221" w:rsidRPr="004B5C69" w:rsidRDefault="004B5C69">
      <w:pPr>
        <w:pStyle w:val="ListParagraph"/>
        <w:numPr>
          <w:ilvl w:val="0"/>
          <w:numId w:val="2"/>
        </w:numPr>
      </w:pPr>
      <w:r w:rsidRPr="004B5C69">
        <w:lastRenderedPageBreak/>
        <w:t>Operational AI must remain advisory and auditable. The repository analysis explicitly says the copilot remains advisory and that human operators retain decision authority. In a public healthcare context, that should be treated as a hard governance requirement, not just a design preference.</w:t>
      </w:r>
    </w:p>
    <w:p w14:paraId="22EE192E" w14:textId="77777777" w:rsidR="00D81221" w:rsidRDefault="00D81221">
      <w:pPr>
        <w:pBdr>
          <w:top w:val="single" w:sz="12" w:space="0" w:color="auto"/>
        </w:pBdr>
        <w:spacing w:after="0"/>
      </w:pPr>
    </w:p>
    <w:p w14:paraId="22EE192F" w14:textId="77777777" w:rsidR="00D81221" w:rsidRDefault="00000000">
      <w:pPr>
        <w:pStyle w:val="Heading2"/>
      </w:pPr>
      <w:r>
        <w:t>6. Risk Assessment</w:t>
      </w:r>
    </w:p>
    <w:p w14:paraId="22EE1930" w14:textId="77777777" w:rsidR="00D81221" w:rsidRDefault="00000000">
      <w:pPr>
        <w:pStyle w:val="Heading3"/>
      </w:pPr>
      <w:r>
        <w:t>6.1 Compliance risks</w:t>
      </w:r>
    </w:p>
    <w:p w14:paraId="22EE1931" w14:textId="058C49CD" w:rsidR="00D81221" w:rsidRPr="004B5C69" w:rsidRDefault="004B5C69">
      <w:pPr>
        <w:pStyle w:val="ListParagraph"/>
        <w:numPr>
          <w:ilvl w:val="0"/>
          <w:numId w:val="3"/>
        </w:numPr>
      </w:pPr>
      <w:r w:rsidRPr="004B5C69">
        <w:t>Misapplied legal basis risk: if the solution continues to rely on generic Swiss assumptions instead of canton-specific legal analysis, the privacy and residency model may be wrong from the outset.</w:t>
      </w:r>
    </w:p>
    <w:p w14:paraId="22EE1932" w14:textId="13B2C5B3" w:rsidR="00D81221" w:rsidRPr="004B5C69" w:rsidRDefault="004B5C69">
      <w:pPr>
        <w:pStyle w:val="ListParagraph"/>
        <w:numPr>
          <w:ilvl w:val="0"/>
          <w:numId w:val="3"/>
        </w:numPr>
      </w:pPr>
      <w:r w:rsidRPr="004B5C69">
        <w:t>Residency-control ambiguity risk: the session shows that Swiss hosting preference, contractual assurance and technical measures need nuanced handling. If this is simplified into a single rule without legal validation, policy implementation may be inaccurate.</w:t>
      </w:r>
    </w:p>
    <w:p w14:paraId="22EE1933" w14:textId="77777777" w:rsidR="00D81221" w:rsidRDefault="00000000">
      <w:pPr>
        <w:pStyle w:val="Heading3"/>
      </w:pPr>
      <w:r>
        <w:t>6.2 Architecture risks</w:t>
      </w:r>
    </w:p>
    <w:p w14:paraId="22EE1934" w14:textId="45839225" w:rsidR="00D81221" w:rsidRPr="004B5C69" w:rsidRDefault="004B5C69">
      <w:pPr>
        <w:pStyle w:val="ListParagraph"/>
        <w:numPr>
          <w:ilvl w:val="0"/>
          <w:numId w:val="4"/>
        </w:numPr>
      </w:pPr>
      <w:r w:rsidRPr="004B5C69">
        <w:t>Governance-before-architecture misalignment risk: the repository contains architecture decisions that may be ahead of formal public-sector governance approval.</w:t>
      </w:r>
    </w:p>
    <w:p w14:paraId="22EE1935" w14:textId="5209C140" w:rsidR="00D81221" w:rsidRPr="004B5C69" w:rsidRDefault="004B5C69">
      <w:pPr>
        <w:pStyle w:val="ListParagraph"/>
        <w:numPr>
          <w:ilvl w:val="0"/>
          <w:numId w:val="4"/>
        </w:numPr>
      </w:pPr>
      <w:r w:rsidRPr="004B5C69">
        <w:t>Incomplete data architecture risk: with data contracts and retention governance still TBD, downstream AI, analytics, and auditability may lack a defensible foundation.</w:t>
      </w:r>
    </w:p>
    <w:p w14:paraId="22EE1936" w14:textId="1C17763A" w:rsidR="00D81221" w:rsidRPr="004B5C69" w:rsidRDefault="004B5C69">
      <w:pPr>
        <w:pStyle w:val="ListParagraph"/>
        <w:numPr>
          <w:ilvl w:val="0"/>
          <w:numId w:val="4"/>
        </w:numPr>
      </w:pPr>
      <w:r w:rsidRPr="004B5C69">
        <w:t>Potential channel divergence risk: the architecture introduces a dedicated React app as a mandatory MVP experience path and treats Microsoft 365 Copilot as optional post-MVP. This is a reasonable design decision, but it adds governance, telemetry and security complexity across channels.</w:t>
      </w:r>
    </w:p>
    <w:p w14:paraId="22EE1937" w14:textId="77777777" w:rsidR="00D81221" w:rsidRDefault="00000000">
      <w:pPr>
        <w:pStyle w:val="Heading3"/>
      </w:pPr>
      <w:r>
        <w:t>6.3 Operational risks</w:t>
      </w:r>
    </w:p>
    <w:p w14:paraId="22EE1938" w14:textId="0AAD3680" w:rsidR="00D81221" w:rsidRPr="004B5C69" w:rsidRDefault="004B5C69">
      <w:pPr>
        <w:pStyle w:val="ListParagraph"/>
        <w:numPr>
          <w:ilvl w:val="0"/>
          <w:numId w:val="5"/>
        </w:numPr>
      </w:pPr>
      <w:r w:rsidRPr="004B5C69">
        <w:t xml:space="preserve">Skills and maturity risk: the AMA discussion explicitly notes limited current </w:t>
      </w:r>
      <w:proofErr w:type="spellStart"/>
      <w:r w:rsidRPr="004B5C69">
        <w:t>organisational</w:t>
      </w:r>
      <w:proofErr w:type="spellEnd"/>
      <w:r w:rsidRPr="004B5C69">
        <w:t xml:space="preserve"> maturity and the need to establish a cloud team rather than assuming advanced current-state capability.</w:t>
      </w:r>
    </w:p>
    <w:p w14:paraId="22EE1939" w14:textId="3C21C17A" w:rsidR="00D81221" w:rsidRPr="004B5C69" w:rsidRDefault="004B5C69">
      <w:pPr>
        <w:pStyle w:val="ListParagraph"/>
        <w:numPr>
          <w:ilvl w:val="0"/>
          <w:numId w:val="5"/>
        </w:numPr>
      </w:pPr>
      <w:r w:rsidRPr="004B5C69">
        <w:t>Evidence-readiness risk: the repository test strategy is strong on quality gates, but the control/evidence baseline is only as good as the artefacts populated under those gates. Placeholder artefacts weaken release readiness.</w:t>
      </w:r>
    </w:p>
    <w:p w14:paraId="22EE193A" w14:textId="36DBC903" w:rsidR="00D81221" w:rsidRPr="004B5C69" w:rsidRDefault="004B5C69">
      <w:pPr>
        <w:pStyle w:val="ListParagraph"/>
        <w:numPr>
          <w:ilvl w:val="0"/>
          <w:numId w:val="5"/>
        </w:numPr>
      </w:pPr>
      <w:r w:rsidRPr="004B5C69">
        <w:t>Political and approval risk: the transcript explicitly references political sensitivity, prior initiative stoppage, and concern about public scrutiny or interpellations. This is a real adoption risk in addition to technical risk.</w:t>
      </w:r>
    </w:p>
    <w:p w14:paraId="22EE193B" w14:textId="77777777" w:rsidR="00D81221" w:rsidRDefault="00000000">
      <w:pPr>
        <w:pStyle w:val="Heading3"/>
      </w:pPr>
      <w:r>
        <w:lastRenderedPageBreak/>
        <w:t>6.4 Recommended risk priority</w:t>
      </w:r>
    </w:p>
    <w:p w14:paraId="22EE193C" w14:textId="4D11E12F" w:rsidR="00D81221" w:rsidRDefault="004B5C69">
      <w:r>
        <w:t>The highest-priority risks to address first are:</w:t>
      </w:r>
      <w:r>
        <w:br/>
        <w:t>(1) legal basis and canton-specific compliance mapping;</w:t>
      </w:r>
      <w:r>
        <w:br/>
        <w:t>(2) formal traceability and evidence model;</w:t>
      </w:r>
      <w:r>
        <w:br/>
        <w:t>(3) data governance completion;</w:t>
      </w:r>
      <w:r>
        <w:br/>
        <w:t>(4) explicit approval boundary between governance framework and implementation blueprint.</w:t>
      </w:r>
    </w:p>
    <w:p w14:paraId="22EE193D" w14:textId="77777777" w:rsidR="00D81221" w:rsidRDefault="00D81221">
      <w:pPr>
        <w:pBdr>
          <w:top w:val="single" w:sz="12" w:space="0" w:color="auto"/>
        </w:pBdr>
        <w:spacing w:after="0"/>
      </w:pPr>
    </w:p>
    <w:p w14:paraId="22EE193E" w14:textId="77777777" w:rsidR="00D81221" w:rsidRDefault="00000000">
      <w:pPr>
        <w:pStyle w:val="Heading2"/>
      </w:pPr>
      <w:r>
        <w:t>7. Architecture &amp; Governance Alignment Review</w:t>
      </w:r>
    </w:p>
    <w:p w14:paraId="22EE193F" w14:textId="2F627BCB" w:rsidR="00D81221" w:rsidRDefault="004B5C69">
      <w:r>
        <w:t xml:space="preserve">The repository architecture is, in many respects, well aligned with </w:t>
      </w:r>
      <w:proofErr w:type="spellStart"/>
      <w:r>
        <w:t>recognised</w:t>
      </w:r>
      <w:proofErr w:type="spellEnd"/>
      <w:r>
        <w:t xml:space="preserve"> governance and cloud best-practice patterns. It cites Cloud Adoption Framework landing-zone principles, Azure Well-Architected pillars, strict segmentation, private connectivity, managed identity defaults, Key Vault, RBAC, </w:t>
      </w:r>
      <w:proofErr w:type="spellStart"/>
      <w:r>
        <w:t>centralised</w:t>
      </w:r>
      <w:proofErr w:type="spellEnd"/>
      <w:r>
        <w:t xml:space="preserve"> policy enforcement, observability, environment progression, and auditable traceability from source event to user-facing output. These are strong alignment indicators with governance-conscious Azure design.</w:t>
      </w:r>
    </w:p>
    <w:p w14:paraId="22EE1940" w14:textId="31B07AD3" w:rsidR="00D81221" w:rsidRDefault="004B5C69">
      <w:r>
        <w:t>However, the governance alignment is currently stronger at a principles level than at an evidence level. The repository states the right things, and the AMA discussion points in the same direction, but the validated artefacts do not yet prove that every abstract governance expectation has a concrete control owner, policy location, evidence artefact, and release gate. The test plan describes how validation should work, which is good, but the still-draft data document shows that not every governance domain has reached design maturity.</w:t>
      </w:r>
    </w:p>
    <w:p w14:paraId="22EE1941" w14:textId="77777777" w:rsidR="00D81221" w:rsidRDefault="00000000">
      <w:r>
        <w:t xml:space="preserve">In practical terms, the alignment can be </w:t>
      </w:r>
      <w:proofErr w:type="spellStart"/>
      <w:r>
        <w:t>summarised</w:t>
      </w:r>
      <w:proofErr w:type="spellEnd"/>
      <w:r>
        <w:t xml:space="preserve"> as follows:</w:t>
      </w:r>
    </w:p>
    <w:p w14:paraId="22EE1942" w14:textId="67519A19" w:rsidR="00D81221" w:rsidRPr="004B5C69" w:rsidRDefault="004B5C69">
      <w:pPr>
        <w:pStyle w:val="ListParagraph"/>
        <w:numPr>
          <w:ilvl w:val="0"/>
          <w:numId w:val="6"/>
        </w:numPr>
      </w:pPr>
      <w:r w:rsidRPr="004B5C69">
        <w:t xml:space="preserve">Aligned: Git-first delivery, </w:t>
      </w:r>
      <w:proofErr w:type="spellStart"/>
      <w:r w:rsidRPr="004B5C69">
        <w:t>IaC</w:t>
      </w:r>
      <w:proofErr w:type="spellEnd"/>
      <w:r w:rsidRPr="004B5C69">
        <w:t>, policy-based enforcement, Zero Trust orientation, traceability ambitions, environment segregation, managed identity, auditability.</w:t>
      </w:r>
    </w:p>
    <w:p w14:paraId="22EE1943" w14:textId="2F7658C3" w:rsidR="00D81221" w:rsidRPr="004B5C69" w:rsidRDefault="004B5C69">
      <w:pPr>
        <w:pStyle w:val="ListParagraph"/>
        <w:numPr>
          <w:ilvl w:val="0"/>
          <w:numId w:val="6"/>
        </w:numPr>
      </w:pPr>
      <w:r w:rsidRPr="004B5C69">
        <w:t>Partially aligned: compliance model, data governance, disaster recovery specifics, SLO/SLA targets, region failover approval conditions, detailed control mappings.</w:t>
      </w:r>
    </w:p>
    <w:p w14:paraId="22EE1944" w14:textId="02A28B06" w:rsidR="00D81221" w:rsidRPr="004B5C69" w:rsidRDefault="004B5C69">
      <w:pPr>
        <w:pStyle w:val="ListParagraph"/>
        <w:numPr>
          <w:ilvl w:val="0"/>
          <w:numId w:val="6"/>
        </w:numPr>
      </w:pPr>
      <w:r w:rsidRPr="004B5C69">
        <w:t>Not yet proven: end-to-end mapping from public-sector governance rules to concrete production-enforceable controls in all domains.</w:t>
      </w:r>
    </w:p>
    <w:p w14:paraId="22EE1945" w14:textId="77777777" w:rsidR="00D81221" w:rsidRDefault="00D81221">
      <w:pPr>
        <w:pBdr>
          <w:top w:val="single" w:sz="12" w:space="0" w:color="auto"/>
        </w:pBdr>
        <w:spacing w:after="0"/>
      </w:pPr>
    </w:p>
    <w:p w14:paraId="22EE1946" w14:textId="77777777" w:rsidR="00D81221" w:rsidRDefault="00000000">
      <w:pPr>
        <w:pStyle w:val="Heading2"/>
      </w:pPr>
      <w:r>
        <w:t>8. Compliance Evaluation (Swiss public sector context)</w:t>
      </w:r>
    </w:p>
    <w:p w14:paraId="22EE1947" w14:textId="0D0633F3" w:rsidR="00D81221" w:rsidRDefault="004B5C69">
      <w:r>
        <w:t xml:space="preserve">Based on the transcript, the current solution should not be presented as already compliant for the Swiss public-sector healthcare context. It should instead be </w:t>
      </w:r>
      <w:r>
        <w:lastRenderedPageBreak/>
        <w:t>described as compliance-oriented but still under legal and control validation. The session explicitly establishes that canton-specific data protection law must be considered and that legal grounds cannot simply be imported from a federal DSG reading. That alone requires a formal compliance matrix by canton and by deployment scenario.</w:t>
      </w:r>
    </w:p>
    <w:p w14:paraId="22EE1948" w14:textId="23635064" w:rsidR="00D81221" w:rsidRDefault="004B5C69">
      <w:r>
        <w:t xml:space="preserve">The repository strengthens the compliance posture by choosing a provider-internal boundary, keeping external actors as integration endpoints only, and explicitly requiring advisory copilot </w:t>
      </w:r>
      <w:proofErr w:type="spellStart"/>
      <w:r>
        <w:t>behaviour</w:t>
      </w:r>
      <w:proofErr w:type="spellEnd"/>
      <w:r>
        <w:t xml:space="preserve"> with human decision authority retained. It also includes residency-oriented controls, auditability, and a Swiss-region deployment baseline with Switzerland North as primary and Switzerland West as secondary failover according to a compliance runbook. These are positive compliance signals.</w:t>
      </w:r>
    </w:p>
    <w:p w14:paraId="22EE1949" w14:textId="77777777" w:rsidR="00D81221" w:rsidRDefault="00000000">
      <w:r>
        <w:t>Still, several compliance-critical areas require further validation before the design could be called public-sector-ready:</w:t>
      </w:r>
    </w:p>
    <w:p w14:paraId="22EE194A" w14:textId="5EF588B3" w:rsidR="00D81221" w:rsidRDefault="004B5C69">
      <w:pPr>
        <w:pStyle w:val="ListParagraph"/>
        <w:numPr>
          <w:ilvl w:val="0"/>
          <w:numId w:val="7"/>
        </w:numPr>
      </w:pPr>
      <w:r>
        <w:t>exact canton-by-canton legal basis and sovereign constraints</w:t>
      </w:r>
    </w:p>
    <w:p w14:paraId="22EE194B" w14:textId="2ACA9DBE" w:rsidR="00D81221" w:rsidRDefault="004B5C69">
      <w:pPr>
        <w:pStyle w:val="ListParagraph"/>
        <w:numPr>
          <w:ilvl w:val="0"/>
          <w:numId w:val="7"/>
        </w:numPr>
      </w:pPr>
      <w:r>
        <w:t>data classification and retention controls, currently not populated in the retrievable data artefact</w:t>
      </w:r>
    </w:p>
    <w:p w14:paraId="22EE194C" w14:textId="690850BF" w:rsidR="00D81221" w:rsidRDefault="004B5C69">
      <w:pPr>
        <w:pStyle w:val="ListParagraph"/>
        <w:numPr>
          <w:ilvl w:val="0"/>
          <w:numId w:val="7"/>
        </w:numPr>
      </w:pPr>
      <w:r>
        <w:t>full content validation of the repository’s COMPLIANCE.md, SECURITY.md, and PRD.md, which are present in the repo tree but were not opened in full in this review run</w:t>
      </w:r>
    </w:p>
    <w:p w14:paraId="22EE194D" w14:textId="6DB010D9" w:rsidR="00D81221" w:rsidRDefault="004B5C69">
      <w:pPr>
        <w:pStyle w:val="ListParagraph"/>
        <w:numPr>
          <w:ilvl w:val="0"/>
          <w:numId w:val="7"/>
        </w:numPr>
      </w:pPr>
      <w:r>
        <w:t>approved disaster recovery / failover rules tied to data classification and legal acceptability. The architecture lists this as “open for review”.</w:t>
      </w:r>
    </w:p>
    <w:p w14:paraId="22EE194E" w14:textId="77777777" w:rsidR="00D81221" w:rsidRDefault="00D81221">
      <w:pPr>
        <w:pBdr>
          <w:top w:val="single" w:sz="12" w:space="0" w:color="auto"/>
        </w:pBdr>
        <w:spacing w:after="0"/>
      </w:pPr>
    </w:p>
    <w:p w14:paraId="22EE194F" w14:textId="77777777" w:rsidR="00D81221" w:rsidRDefault="00000000">
      <w:pPr>
        <w:pStyle w:val="Heading2"/>
      </w:pPr>
      <w:r>
        <w:t>9. Recommendations &amp; Next Steps</w:t>
      </w:r>
    </w:p>
    <w:p w14:paraId="22EE1950" w14:textId="77777777" w:rsidR="00D81221" w:rsidRDefault="00000000">
      <w:pPr>
        <w:pStyle w:val="Heading3"/>
      </w:pPr>
      <w:r>
        <w:t>Immediate actions</w:t>
      </w:r>
    </w:p>
    <w:p w14:paraId="22EE1951" w14:textId="6C26DF1F" w:rsidR="00D81221" w:rsidRPr="004B5C69" w:rsidRDefault="004B5C69">
      <w:pPr>
        <w:pStyle w:val="ListParagraph"/>
        <w:numPr>
          <w:ilvl w:val="0"/>
          <w:numId w:val="8"/>
        </w:numPr>
      </w:pPr>
      <w:r w:rsidRPr="004B5C69">
        <w:t>Create a legal applicability matrix by canton and scenario. For each intended provider/canton rollout, document the legal basis, privacy obligations, sovereignty/residency expectations, and allowable control patterns. Do not reuse a generic Swiss baseline.</w:t>
      </w:r>
    </w:p>
    <w:p w14:paraId="22EE1952" w14:textId="5E5ADEB3" w:rsidR="00D81221" w:rsidRPr="004B5C69" w:rsidRDefault="004B5C69">
      <w:pPr>
        <w:pStyle w:val="ListParagraph"/>
        <w:numPr>
          <w:ilvl w:val="0"/>
          <w:numId w:val="8"/>
        </w:numPr>
      </w:pPr>
      <w:r w:rsidRPr="004B5C69">
        <w:t>Freeze a formal traceability model. Every requirement should map to a control, every control to an architecture decision, every decision to an artefact, and every artefact to review evidence. The repository quality plan already points in this direction and should be extended into a release-ready matrix.</w:t>
      </w:r>
    </w:p>
    <w:p w14:paraId="22EE1953" w14:textId="2918E36D" w:rsidR="00D81221" w:rsidRPr="004B5C69" w:rsidRDefault="004B5C69">
      <w:pPr>
        <w:pStyle w:val="ListParagraph"/>
        <w:numPr>
          <w:ilvl w:val="0"/>
          <w:numId w:val="8"/>
        </w:numPr>
      </w:pPr>
      <w:r w:rsidRPr="004B5C69">
        <w:t>Complete the data governance baseline. Replace the current TBD placeholders in DATA.md with concrete data domains, data contracts, retention classes, lifecycle owners, and evidence expectations.</w:t>
      </w:r>
    </w:p>
    <w:p w14:paraId="22EE1954" w14:textId="77191715" w:rsidR="00D81221" w:rsidRPr="004B5C69" w:rsidRDefault="004B5C69">
      <w:pPr>
        <w:pStyle w:val="ListParagraph"/>
        <w:numPr>
          <w:ilvl w:val="0"/>
          <w:numId w:val="8"/>
        </w:numPr>
      </w:pPr>
      <w:r w:rsidRPr="004B5C69">
        <w:t xml:space="preserve">Separate “architecture aspiration” from “approved baseline”. Mark which repository decisions are already governed and approved, which are proposed, </w:t>
      </w:r>
      <w:r w:rsidRPr="004B5C69">
        <w:lastRenderedPageBreak/>
        <w:t>and which depend on legal or policy validation. This reduces the risk of implicit approval by documentation tone.</w:t>
      </w:r>
    </w:p>
    <w:p w14:paraId="22EE1955" w14:textId="77777777" w:rsidR="00D81221" w:rsidRDefault="00000000">
      <w:pPr>
        <w:pStyle w:val="Heading3"/>
      </w:pPr>
      <w:r>
        <w:t>Near-term enhancements</w:t>
      </w:r>
    </w:p>
    <w:p w14:paraId="22EE1956" w14:textId="768D0533" w:rsidR="00D81221" w:rsidRPr="004B5C69" w:rsidRDefault="004B5C69">
      <w:pPr>
        <w:pStyle w:val="ListParagraph"/>
        <w:numPr>
          <w:ilvl w:val="0"/>
          <w:numId w:val="9"/>
        </w:numPr>
      </w:pPr>
      <w:r w:rsidRPr="004B5C69">
        <w:t>Add a dedicated public-sector risk register. Include political, operational, legal, technical and dependency risks; trigger points; control types; and fallback paths. This was explicitly suggested in the AMA session and would significantly strengthen governance credibility.</w:t>
      </w:r>
    </w:p>
    <w:p w14:paraId="22EE1957" w14:textId="6F281024" w:rsidR="00D81221" w:rsidRPr="004B5C69" w:rsidRDefault="004B5C69">
      <w:pPr>
        <w:pStyle w:val="ListParagraph"/>
        <w:numPr>
          <w:ilvl w:val="0"/>
          <w:numId w:val="9"/>
        </w:numPr>
      </w:pPr>
      <w:r w:rsidRPr="004B5C69">
        <w:t>Codify tenant-engineering rules. Explicitly define when isolated tenants are required for control engineering, when landing-zone isolation inside a tenant is sufficient, and how cross-tenant access is prohibited or allowed by exception.</w:t>
      </w:r>
    </w:p>
    <w:p w14:paraId="22EE1958" w14:textId="76537FFF" w:rsidR="00D81221" w:rsidRPr="004B5C69" w:rsidRDefault="004B5C69">
      <w:pPr>
        <w:pStyle w:val="ListParagraph"/>
        <w:numPr>
          <w:ilvl w:val="0"/>
          <w:numId w:val="9"/>
        </w:numPr>
      </w:pPr>
      <w:r w:rsidRPr="004B5C69">
        <w:t>Validate open architecture questions as formal decision records. The repository itself flags failover strategy, exact FHIR profile scope, concrete SLOs, and backup/DR by data-classification tier as open review points. Those should be closed or explicitly deferred.</w:t>
      </w:r>
    </w:p>
    <w:p w14:paraId="22EE1959" w14:textId="77777777" w:rsidR="00D81221" w:rsidRDefault="00000000">
      <w:pPr>
        <w:pStyle w:val="Heading3"/>
      </w:pPr>
      <w:r>
        <w:t>Management view</w:t>
      </w:r>
    </w:p>
    <w:p w14:paraId="22EE195A" w14:textId="509479DD" w:rsidR="00D81221" w:rsidRDefault="004B5C69">
      <w:r>
        <w:t xml:space="preserve">The </w:t>
      </w:r>
      <w:proofErr w:type="spellStart"/>
      <w:r>
        <w:t>programme</w:t>
      </w:r>
      <w:proofErr w:type="spellEnd"/>
      <w:r>
        <w:t xml:space="preserve"> should move forward as a governance-led architecture, not as a pure solution build. The architecture is already credible enough to guide thinking, but the approval path in a Swiss public-sector context will depend on whether governance, legal analysis and evidence traceability are made explicit before implementation claims are made.</w:t>
      </w:r>
    </w:p>
    <w:p w14:paraId="22EE195B" w14:textId="77777777" w:rsidR="00D81221" w:rsidRDefault="00D81221">
      <w:pPr>
        <w:pBdr>
          <w:top w:val="single" w:sz="12" w:space="0" w:color="auto"/>
        </w:pBdr>
        <w:spacing w:after="0"/>
      </w:pPr>
    </w:p>
    <w:p w14:paraId="22EE195C" w14:textId="77777777" w:rsidR="00D81221" w:rsidRDefault="00000000">
      <w:pPr>
        <w:pStyle w:val="Heading2"/>
      </w:pPr>
      <w:r>
        <w:t>10. Traceability Matrix (requirements → sources)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1981"/>
        <w:gridCol w:w="2225"/>
        <w:gridCol w:w="1536"/>
        <w:gridCol w:w="1589"/>
      </w:tblGrid>
      <w:tr w:rsidR="00D81221" w14:paraId="22EE1962" w14:textId="77777777" w:rsidTr="00D81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95D" w14:textId="77777777" w:rsidR="00D81221" w:rsidRDefault="00000000">
            <w:r>
              <w:t>Requirement / Expectation</w:t>
            </w:r>
          </w:p>
        </w:tc>
        <w:tc>
          <w:tcPr>
            <w:tcW w:w="0" w:type="auto"/>
            <w:vAlign w:val="center"/>
          </w:tcPr>
          <w:p w14:paraId="22EE195E" w14:textId="77777777" w:rsidR="00D81221" w:rsidRDefault="00000000">
            <w:pPr>
              <w:cnfStyle w:val="100000000000" w:firstRow="1" w:lastRow="0" w:firstColumn="0" w:lastColumn="0" w:oddVBand="0" w:evenVBand="0" w:oddHBand="0" w:evenHBand="0" w:firstRowFirstColumn="0" w:firstRowLastColumn="0" w:lastRowFirstColumn="0" w:lastRowLastColumn="0"/>
            </w:pPr>
            <w:r>
              <w:t>Control / Mechanism</w:t>
            </w:r>
          </w:p>
        </w:tc>
        <w:tc>
          <w:tcPr>
            <w:tcW w:w="0" w:type="auto"/>
            <w:vAlign w:val="center"/>
          </w:tcPr>
          <w:p w14:paraId="22EE195F" w14:textId="77777777" w:rsidR="00D81221" w:rsidRDefault="00000000">
            <w:pPr>
              <w:cnfStyle w:val="100000000000" w:firstRow="1" w:lastRow="0" w:firstColumn="0" w:lastColumn="0" w:oddVBand="0" w:evenVBand="0" w:oddHBand="0" w:evenHBand="0" w:firstRowFirstColumn="0" w:firstRowLastColumn="0" w:lastRowFirstColumn="0" w:lastRowLastColumn="0"/>
            </w:pPr>
            <w:r>
              <w:t>Architecture Decision / Implementation Direction</w:t>
            </w:r>
          </w:p>
        </w:tc>
        <w:tc>
          <w:tcPr>
            <w:tcW w:w="0" w:type="auto"/>
            <w:vAlign w:val="center"/>
          </w:tcPr>
          <w:p w14:paraId="22EE1960" w14:textId="77777777" w:rsidR="00D81221" w:rsidRDefault="00000000">
            <w:pPr>
              <w:cnfStyle w:val="100000000000" w:firstRow="1" w:lastRow="0" w:firstColumn="0" w:lastColumn="0" w:oddVBand="0" w:evenVBand="0" w:oddHBand="0" w:evenHBand="0" w:firstRowFirstColumn="0" w:firstRowLastColumn="0" w:lastRowFirstColumn="0" w:lastRowLastColumn="0"/>
            </w:pPr>
            <w:r>
              <w:t>Primary Source</w:t>
            </w:r>
          </w:p>
        </w:tc>
        <w:tc>
          <w:tcPr>
            <w:tcW w:w="0" w:type="auto"/>
            <w:vAlign w:val="center"/>
          </w:tcPr>
          <w:p w14:paraId="22EE1961" w14:textId="77777777" w:rsidR="00D81221" w:rsidRDefault="00000000">
            <w:pPr>
              <w:cnfStyle w:val="100000000000" w:firstRow="1" w:lastRow="0" w:firstColumn="0" w:lastColumn="0" w:oddVBand="0" w:evenVBand="0" w:oddHBand="0" w:evenHBand="0" w:firstRowFirstColumn="0" w:firstRowLastColumn="0" w:lastRowFirstColumn="0" w:lastRowLastColumn="0"/>
            </w:pPr>
            <w:r>
              <w:t>Status / Gap</w:t>
            </w:r>
          </w:p>
        </w:tc>
      </w:tr>
      <w:tr w:rsidR="00D81221" w14:paraId="22EE1968"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963" w14:textId="77777777" w:rsidR="00D81221" w:rsidRDefault="00000000">
            <w:r>
              <w:t>Azure governance must define roles, responsibilities, standards, security and compliance for the cantonal base service</w:t>
            </w:r>
          </w:p>
        </w:tc>
        <w:tc>
          <w:tcPr>
            <w:tcW w:w="0" w:type="auto"/>
            <w:vAlign w:val="center"/>
          </w:tcPr>
          <w:p w14:paraId="22EE1964" w14:textId="77777777" w:rsidR="00D81221" w:rsidRDefault="00000000">
            <w:pPr>
              <w:cnfStyle w:val="000000100000" w:firstRow="0" w:lastRow="0" w:firstColumn="0" w:lastColumn="0" w:oddVBand="0" w:evenVBand="0" w:oddHBand="1" w:evenHBand="0" w:firstRowFirstColumn="0" w:firstRowLastColumn="0" w:lastRowFirstColumn="0" w:lastRowLastColumn="0"/>
            </w:pPr>
            <w:r>
              <w:t xml:space="preserve">Governance framework, </w:t>
            </w:r>
            <w:proofErr w:type="spellStart"/>
            <w:r>
              <w:t>organisational</w:t>
            </w:r>
            <w:proofErr w:type="spellEnd"/>
            <w:r>
              <w:t xml:space="preserve"> operating model, cloud team</w:t>
            </w:r>
          </w:p>
        </w:tc>
        <w:tc>
          <w:tcPr>
            <w:tcW w:w="0" w:type="auto"/>
            <w:vAlign w:val="center"/>
          </w:tcPr>
          <w:p w14:paraId="22EE1965" w14:textId="77777777" w:rsidR="00D81221" w:rsidRDefault="00000000">
            <w:pPr>
              <w:cnfStyle w:val="000000100000" w:firstRow="0" w:lastRow="0" w:firstColumn="0" w:lastColumn="0" w:oddVBand="0" w:evenVBand="0" w:oddHBand="1" w:evenHBand="0" w:firstRowFirstColumn="0" w:firstRowLastColumn="0" w:lastRowFirstColumn="0" w:lastRowLastColumn="0"/>
            </w:pPr>
            <w:r>
              <w:t>Governance-first operating model, not direct application implementation</w:t>
            </w:r>
          </w:p>
        </w:tc>
        <w:tc>
          <w:tcPr>
            <w:tcW w:w="0" w:type="auto"/>
            <w:vAlign w:val="center"/>
          </w:tcPr>
          <w:p w14:paraId="22EE1966" w14:textId="474B6910" w:rsidR="00D81221" w:rsidRDefault="004B5C69">
            <w:pPr>
              <w:cnfStyle w:val="000000100000" w:firstRow="0" w:lastRow="0" w:firstColumn="0" w:lastColumn="0" w:oddVBand="0" w:evenVBand="0" w:oddHBand="1" w:evenHBand="0" w:firstRowFirstColumn="0" w:firstRowLastColumn="0" w:lastRowFirstColumn="0" w:lastRowLastColumn="0"/>
            </w:pPr>
            <w:r>
              <w:t xml:space="preserve">AMA Compliance Review Session with </w:t>
            </w:r>
            <w:r w:rsidR="005C1510">
              <w:t>Cantonal IT CSA employee</w:t>
            </w:r>
            <w:r>
              <w:t>.docx</w:t>
            </w:r>
          </w:p>
        </w:tc>
        <w:tc>
          <w:tcPr>
            <w:tcW w:w="0" w:type="auto"/>
            <w:vAlign w:val="center"/>
          </w:tcPr>
          <w:p w14:paraId="22EE1967" w14:textId="77777777" w:rsidR="00D81221" w:rsidRDefault="00000000">
            <w:pPr>
              <w:cnfStyle w:val="000000100000" w:firstRow="0" w:lastRow="0" w:firstColumn="0" w:lastColumn="0" w:oddVBand="0" w:evenVBand="0" w:oddHBand="1" w:evenHBand="0" w:firstRowFirstColumn="0" w:firstRowLastColumn="0" w:lastRowFirstColumn="0" w:lastRowLastColumn="0"/>
            </w:pPr>
            <w:r>
              <w:t>Defined at abstract level; implementation mapping still partial</w:t>
            </w:r>
          </w:p>
        </w:tc>
      </w:tr>
      <w:tr w:rsidR="00D81221" w14:paraId="22EE196E" w14:textId="77777777" w:rsidTr="00D81221">
        <w:tc>
          <w:tcPr>
            <w:cnfStyle w:val="001000000000" w:firstRow="0" w:lastRow="0" w:firstColumn="1" w:lastColumn="0" w:oddVBand="0" w:evenVBand="0" w:oddHBand="0" w:evenHBand="0" w:firstRowFirstColumn="0" w:firstRowLastColumn="0" w:lastRowFirstColumn="0" w:lastRowLastColumn="0"/>
            <w:tcW w:w="0" w:type="auto"/>
            <w:vAlign w:val="center"/>
          </w:tcPr>
          <w:p w14:paraId="22EE1969" w14:textId="77777777" w:rsidR="00D81221" w:rsidRDefault="00000000">
            <w:r>
              <w:t xml:space="preserve">Replace manual </w:t>
            </w:r>
            <w:r>
              <w:lastRenderedPageBreak/>
              <w:t>click-ops with controlled, repeatable change management</w:t>
            </w:r>
          </w:p>
        </w:tc>
        <w:tc>
          <w:tcPr>
            <w:tcW w:w="0" w:type="auto"/>
            <w:vAlign w:val="center"/>
          </w:tcPr>
          <w:p w14:paraId="22EE196A" w14:textId="77777777" w:rsidR="00D81221"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Git-first delivery, pipelines, </w:t>
            </w:r>
            <w:proofErr w:type="spellStart"/>
            <w:r>
              <w:t>IaC</w:t>
            </w:r>
            <w:proofErr w:type="spellEnd"/>
            <w:r>
              <w:t xml:space="preserve">, </w:t>
            </w:r>
            <w:r>
              <w:lastRenderedPageBreak/>
              <w:t>rollback capability</w:t>
            </w:r>
          </w:p>
        </w:tc>
        <w:tc>
          <w:tcPr>
            <w:tcW w:w="0" w:type="auto"/>
            <w:vAlign w:val="center"/>
          </w:tcPr>
          <w:p w14:paraId="22EE196B" w14:textId="77777777" w:rsidR="00D81221"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Repeatable </w:t>
            </w:r>
            <w:proofErr w:type="spellStart"/>
            <w:r>
              <w:t>IaC</w:t>
            </w:r>
            <w:proofErr w:type="spellEnd"/>
            <w:r>
              <w:t xml:space="preserve"> deployment </w:t>
            </w:r>
            <w:r>
              <w:lastRenderedPageBreak/>
              <w:t>workflow, quality gates, what-if validation</w:t>
            </w:r>
          </w:p>
        </w:tc>
        <w:tc>
          <w:tcPr>
            <w:tcW w:w="0" w:type="auto"/>
            <w:vAlign w:val="center"/>
          </w:tcPr>
          <w:p w14:paraId="22EE196C" w14:textId="755EE3D8" w:rsidR="00D81221" w:rsidRDefault="004B5C69">
            <w:pPr>
              <w:cnfStyle w:val="000000000000" w:firstRow="0" w:lastRow="0" w:firstColumn="0" w:lastColumn="0" w:oddVBand="0" w:evenVBand="0" w:oddHBand="0" w:evenHBand="0" w:firstRowFirstColumn="0" w:firstRowLastColumn="0" w:lastRowFirstColumn="0" w:lastRowLastColumn="0"/>
            </w:pPr>
            <w:r>
              <w:lastRenderedPageBreak/>
              <w:t xml:space="preserve">AMA Compliance </w:t>
            </w:r>
            <w:r>
              <w:lastRenderedPageBreak/>
              <w:t xml:space="preserve">Review Session with </w:t>
            </w:r>
            <w:r w:rsidR="005C1510">
              <w:t>Cantonal IT CSA employee</w:t>
            </w:r>
            <w:r>
              <w:t>.docx</w:t>
            </w:r>
          </w:p>
        </w:tc>
        <w:tc>
          <w:tcPr>
            <w:tcW w:w="0" w:type="auto"/>
            <w:vAlign w:val="center"/>
          </w:tcPr>
          <w:p w14:paraId="22EE196D" w14:textId="77777777" w:rsidR="00D81221" w:rsidRDefault="00000000">
            <w:pPr>
              <w:cnfStyle w:val="000000000000" w:firstRow="0" w:lastRow="0" w:firstColumn="0" w:lastColumn="0" w:oddVBand="0" w:evenVBand="0" w:oddHBand="0" w:evenHBand="0" w:firstRowFirstColumn="0" w:firstRowLastColumn="0" w:lastRowFirstColumn="0" w:lastRowLastColumn="0"/>
            </w:pPr>
            <w:r>
              <w:lastRenderedPageBreak/>
              <w:t>Strong alignment</w:t>
            </w:r>
          </w:p>
        </w:tc>
      </w:tr>
      <w:tr w:rsidR="00D81221" w14:paraId="22EE1974"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96F" w14:textId="77777777" w:rsidR="00D81221" w:rsidRDefault="00000000">
            <w:r>
              <w:t>Security must be a foundational governance component, not an afterthought</w:t>
            </w:r>
          </w:p>
        </w:tc>
        <w:tc>
          <w:tcPr>
            <w:tcW w:w="0" w:type="auto"/>
            <w:vAlign w:val="center"/>
          </w:tcPr>
          <w:p w14:paraId="22EE1970" w14:textId="77777777" w:rsidR="00D81221" w:rsidRDefault="00000000">
            <w:pPr>
              <w:cnfStyle w:val="000000100000" w:firstRow="0" w:lastRow="0" w:firstColumn="0" w:lastColumn="0" w:oddVBand="0" w:evenVBand="0" w:oddHBand="1" w:evenHBand="0" w:firstRowFirstColumn="0" w:firstRowLastColumn="0" w:lastRowFirstColumn="0" w:lastRowLastColumn="0"/>
            </w:pPr>
            <w:r>
              <w:t>Zero Trust, RBAC, managed identity, segmentation, policy enforcement</w:t>
            </w:r>
          </w:p>
        </w:tc>
        <w:tc>
          <w:tcPr>
            <w:tcW w:w="0" w:type="auto"/>
            <w:vAlign w:val="center"/>
          </w:tcPr>
          <w:p w14:paraId="22EE1971" w14:textId="77777777" w:rsidR="00D81221" w:rsidRDefault="00000000">
            <w:pPr>
              <w:cnfStyle w:val="000000100000" w:firstRow="0" w:lastRow="0" w:firstColumn="0" w:lastColumn="0" w:oddVBand="0" w:evenVBand="0" w:oddHBand="1" w:evenHBand="0" w:firstRowFirstColumn="0" w:firstRowLastColumn="0" w:lastRowFirstColumn="0" w:lastRowLastColumn="0"/>
            </w:pPr>
            <w:r>
              <w:t>Hub-spoke segmentation, managed identity default, RBAC, Key Vault, Policy</w:t>
            </w:r>
          </w:p>
        </w:tc>
        <w:tc>
          <w:tcPr>
            <w:tcW w:w="0" w:type="auto"/>
            <w:vAlign w:val="center"/>
          </w:tcPr>
          <w:p w14:paraId="22EE1972" w14:textId="614C5678" w:rsidR="00D81221" w:rsidRDefault="004B5C69">
            <w:pPr>
              <w:cnfStyle w:val="000000100000" w:firstRow="0" w:lastRow="0" w:firstColumn="0" w:lastColumn="0" w:oddVBand="0" w:evenVBand="0" w:oddHBand="1" w:evenHBand="0" w:firstRowFirstColumn="0" w:firstRowLastColumn="0" w:lastRowFirstColumn="0" w:lastRowLastColumn="0"/>
            </w:pPr>
            <w:r>
              <w:t xml:space="preserve">AMA Compliance Review Session with </w:t>
            </w:r>
            <w:r w:rsidR="005C1510">
              <w:t>Cantonal IT CSA employee</w:t>
            </w:r>
            <w:r>
              <w:t>.docx</w:t>
            </w:r>
          </w:p>
        </w:tc>
        <w:tc>
          <w:tcPr>
            <w:tcW w:w="0" w:type="auto"/>
            <w:vAlign w:val="center"/>
          </w:tcPr>
          <w:p w14:paraId="22EE1973" w14:textId="77777777" w:rsidR="00D81221" w:rsidRDefault="00000000">
            <w:pPr>
              <w:cnfStyle w:val="000000100000" w:firstRow="0" w:lastRow="0" w:firstColumn="0" w:lastColumn="0" w:oddVBand="0" w:evenVBand="0" w:oddHBand="1" w:evenHBand="0" w:firstRowFirstColumn="0" w:firstRowLastColumn="0" w:lastRowFirstColumn="0" w:lastRowLastColumn="0"/>
            </w:pPr>
            <w:r>
              <w:t>Strong principle alignment</w:t>
            </w:r>
          </w:p>
        </w:tc>
      </w:tr>
      <w:tr w:rsidR="00D81221" w14:paraId="22EE197A" w14:textId="77777777" w:rsidTr="00D81221">
        <w:tc>
          <w:tcPr>
            <w:cnfStyle w:val="001000000000" w:firstRow="0" w:lastRow="0" w:firstColumn="1" w:lastColumn="0" w:oddVBand="0" w:evenVBand="0" w:oddHBand="0" w:evenHBand="0" w:firstRowFirstColumn="0" w:firstRowLastColumn="0" w:lastRowFirstColumn="0" w:lastRowLastColumn="0"/>
            <w:tcW w:w="0" w:type="auto"/>
            <w:vAlign w:val="center"/>
          </w:tcPr>
          <w:p w14:paraId="22EE1975" w14:textId="77777777" w:rsidR="00D81221" w:rsidRDefault="00000000">
            <w:r>
              <w:t>Tenant-specific controls must be safely validated before production</w:t>
            </w:r>
          </w:p>
        </w:tc>
        <w:tc>
          <w:tcPr>
            <w:tcW w:w="0" w:type="auto"/>
            <w:vAlign w:val="center"/>
          </w:tcPr>
          <w:p w14:paraId="22EE1976" w14:textId="77777777" w:rsidR="00D81221" w:rsidRDefault="00000000">
            <w:pPr>
              <w:cnfStyle w:val="000000000000" w:firstRow="0" w:lastRow="0" w:firstColumn="0" w:lastColumn="0" w:oddVBand="0" w:evenVBand="0" w:oddHBand="0" w:evenHBand="0" w:firstRowFirstColumn="0" w:firstRowLastColumn="0" w:lastRowFirstColumn="0" w:lastRowLastColumn="0"/>
            </w:pPr>
            <w:r>
              <w:t>Separate tenant for policy/RBAC/control engineering; restricted cross-tenant access</w:t>
            </w:r>
          </w:p>
        </w:tc>
        <w:tc>
          <w:tcPr>
            <w:tcW w:w="0" w:type="auto"/>
            <w:vAlign w:val="center"/>
          </w:tcPr>
          <w:p w14:paraId="22EE1977" w14:textId="77777777" w:rsidR="00D81221" w:rsidRDefault="00000000">
            <w:pPr>
              <w:cnfStyle w:val="000000000000" w:firstRow="0" w:lastRow="0" w:firstColumn="0" w:lastColumn="0" w:oddVBand="0" w:evenVBand="0" w:oddHBand="0" w:evenHBand="0" w:firstRowFirstColumn="0" w:firstRowLastColumn="0" w:lastRowFirstColumn="0" w:lastRowLastColumn="0"/>
            </w:pPr>
            <w:r>
              <w:t>DEV/SIT/PROD progression plus strict segmentation and environment gating</w:t>
            </w:r>
          </w:p>
        </w:tc>
        <w:tc>
          <w:tcPr>
            <w:tcW w:w="0" w:type="auto"/>
            <w:vAlign w:val="center"/>
          </w:tcPr>
          <w:p w14:paraId="22EE1978" w14:textId="4CC8F91B" w:rsidR="00D81221" w:rsidRDefault="004B5C69">
            <w:pPr>
              <w:cnfStyle w:val="000000000000" w:firstRow="0" w:lastRow="0" w:firstColumn="0" w:lastColumn="0" w:oddVBand="0" w:evenVBand="0" w:oddHBand="0" w:evenHBand="0" w:firstRowFirstColumn="0" w:firstRowLastColumn="0" w:lastRowFirstColumn="0" w:lastRowLastColumn="0"/>
            </w:pPr>
            <w:r>
              <w:t xml:space="preserve">AMA Compliance Review Session with </w:t>
            </w:r>
            <w:r w:rsidR="005C1510">
              <w:t>Cantonal IT CSA employee</w:t>
            </w:r>
            <w:r>
              <w:t>.docx</w:t>
            </w:r>
          </w:p>
        </w:tc>
        <w:tc>
          <w:tcPr>
            <w:tcW w:w="0" w:type="auto"/>
            <w:vAlign w:val="center"/>
          </w:tcPr>
          <w:p w14:paraId="22EE1979" w14:textId="77777777" w:rsidR="00D81221" w:rsidRDefault="00000000">
            <w:pPr>
              <w:cnfStyle w:val="000000000000" w:firstRow="0" w:lastRow="0" w:firstColumn="0" w:lastColumn="0" w:oddVBand="0" w:evenVBand="0" w:oddHBand="0" w:evenHBand="0" w:firstRowFirstColumn="0" w:firstRowLastColumn="0" w:lastRowFirstColumn="0" w:lastRowLastColumn="0"/>
            </w:pPr>
            <w:r>
              <w:t>Needs explicit control catalogue and exception rules</w:t>
            </w:r>
          </w:p>
        </w:tc>
      </w:tr>
      <w:tr w:rsidR="00D81221" w14:paraId="22EE1980"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97B" w14:textId="77777777" w:rsidR="00D81221" w:rsidRDefault="00000000">
            <w:r>
              <w:t>Compliance basis must match cantonal law, not assumed federal default</w:t>
            </w:r>
          </w:p>
        </w:tc>
        <w:tc>
          <w:tcPr>
            <w:tcW w:w="0" w:type="auto"/>
            <w:vAlign w:val="center"/>
          </w:tcPr>
          <w:p w14:paraId="22EE197C" w14:textId="77777777" w:rsidR="00D81221" w:rsidRDefault="00000000">
            <w:pPr>
              <w:cnfStyle w:val="000000100000" w:firstRow="0" w:lastRow="0" w:firstColumn="0" w:lastColumn="0" w:oddVBand="0" w:evenVBand="0" w:oddHBand="1" w:evenHBand="0" w:firstRowFirstColumn="0" w:firstRowLastColumn="0" w:lastRowFirstColumn="0" w:lastRowLastColumn="0"/>
            </w:pPr>
            <w:r>
              <w:t>Legal basis mapping by canton, contractual + technical safeguards</w:t>
            </w:r>
          </w:p>
        </w:tc>
        <w:tc>
          <w:tcPr>
            <w:tcW w:w="0" w:type="auto"/>
            <w:vAlign w:val="center"/>
          </w:tcPr>
          <w:p w14:paraId="22EE197D" w14:textId="77777777" w:rsidR="00D81221" w:rsidRDefault="00000000">
            <w:pPr>
              <w:cnfStyle w:val="000000100000" w:firstRow="0" w:lastRow="0" w:firstColumn="0" w:lastColumn="0" w:oddVBand="0" w:evenVBand="0" w:oddHBand="1" w:evenHBand="0" w:firstRowFirstColumn="0" w:firstRowLastColumn="0" w:lastRowFirstColumn="0" w:lastRowLastColumn="0"/>
            </w:pPr>
            <w:r>
              <w:t>Residency-oriented controls and Swiss-region deployment baseline</w:t>
            </w:r>
          </w:p>
        </w:tc>
        <w:tc>
          <w:tcPr>
            <w:tcW w:w="0" w:type="auto"/>
            <w:vAlign w:val="center"/>
          </w:tcPr>
          <w:p w14:paraId="22EE197E" w14:textId="0CF62D6F" w:rsidR="00D81221" w:rsidRDefault="004B5C69">
            <w:pPr>
              <w:cnfStyle w:val="000000100000" w:firstRow="0" w:lastRow="0" w:firstColumn="0" w:lastColumn="0" w:oddVBand="0" w:evenVBand="0" w:oddHBand="1" w:evenHBand="0" w:firstRowFirstColumn="0" w:firstRowLastColumn="0" w:lastRowFirstColumn="0" w:lastRowLastColumn="0"/>
            </w:pPr>
            <w:r>
              <w:t xml:space="preserve">AMA Compliance Review Session with </w:t>
            </w:r>
            <w:r w:rsidR="005C1510">
              <w:t>Cantonal IT CSA employee</w:t>
            </w:r>
            <w:r>
              <w:t>.docx</w:t>
            </w:r>
          </w:p>
        </w:tc>
        <w:tc>
          <w:tcPr>
            <w:tcW w:w="0" w:type="auto"/>
            <w:vAlign w:val="center"/>
          </w:tcPr>
          <w:p w14:paraId="22EE197F" w14:textId="77777777" w:rsidR="00D81221" w:rsidRDefault="00000000">
            <w:pPr>
              <w:cnfStyle w:val="000000100000" w:firstRow="0" w:lastRow="0" w:firstColumn="0" w:lastColumn="0" w:oddVBand="0" w:evenVBand="0" w:oddHBand="1" w:evenHBand="0" w:firstRowFirstColumn="0" w:firstRowLastColumn="0" w:lastRowFirstColumn="0" w:lastRowLastColumn="0"/>
            </w:pPr>
            <w:r>
              <w:t>Major validation gap</w:t>
            </w:r>
          </w:p>
        </w:tc>
      </w:tr>
      <w:tr w:rsidR="00D81221" w14:paraId="22EE1986" w14:textId="77777777" w:rsidTr="00D81221">
        <w:tc>
          <w:tcPr>
            <w:cnfStyle w:val="001000000000" w:firstRow="0" w:lastRow="0" w:firstColumn="1" w:lastColumn="0" w:oddVBand="0" w:evenVBand="0" w:oddHBand="0" w:evenHBand="0" w:firstRowFirstColumn="0" w:firstRowLastColumn="0" w:lastRowFirstColumn="0" w:lastRowLastColumn="0"/>
            <w:tcW w:w="0" w:type="auto"/>
            <w:vAlign w:val="center"/>
          </w:tcPr>
          <w:p w14:paraId="22EE1981" w14:textId="77777777" w:rsidR="00D81221" w:rsidRDefault="00000000">
            <w:r>
              <w:t>AI solution should remain provider-internal and keep external actors at integration boundary</w:t>
            </w:r>
          </w:p>
        </w:tc>
        <w:tc>
          <w:tcPr>
            <w:tcW w:w="0" w:type="auto"/>
            <w:vAlign w:val="center"/>
          </w:tcPr>
          <w:p w14:paraId="22EE1982" w14:textId="77777777" w:rsidR="00D81221" w:rsidRDefault="00000000">
            <w:pPr>
              <w:cnfStyle w:val="000000000000" w:firstRow="0" w:lastRow="0" w:firstColumn="0" w:lastColumn="0" w:oddVBand="0" w:evenVBand="0" w:oddHBand="0" w:evenHBand="0" w:firstRowFirstColumn="0" w:firstRowLastColumn="0" w:lastRowFirstColumn="0" w:lastRowLastColumn="0"/>
            </w:pPr>
            <w:r>
              <w:t>Controlled integrations, endpoint-only external participation</w:t>
            </w:r>
          </w:p>
        </w:tc>
        <w:tc>
          <w:tcPr>
            <w:tcW w:w="0" w:type="auto"/>
            <w:vAlign w:val="center"/>
          </w:tcPr>
          <w:p w14:paraId="22EE1983" w14:textId="77777777" w:rsidR="00D81221" w:rsidRDefault="00000000">
            <w:pPr>
              <w:cnfStyle w:val="000000000000" w:firstRow="0" w:lastRow="0" w:firstColumn="0" w:lastColumn="0" w:oddVBand="0" w:evenVBand="0" w:oddHBand="0" w:evenHBand="0" w:firstRowFirstColumn="0" w:firstRowLastColumn="0" w:lastRowFirstColumn="0" w:lastRowLastColumn="0"/>
            </w:pPr>
            <w:r>
              <w:t>Single-provider deployment boundary; Logic Apps for partner orchestration</w:t>
            </w:r>
          </w:p>
        </w:tc>
        <w:tc>
          <w:tcPr>
            <w:tcW w:w="0" w:type="auto"/>
            <w:vAlign w:val="center"/>
          </w:tcPr>
          <w:p w14:paraId="22EE1984" w14:textId="2F92233E" w:rsidR="00D81221" w:rsidRDefault="00D81221">
            <w:pPr>
              <w:cnfStyle w:val="000000000000" w:firstRow="0" w:lastRow="0" w:firstColumn="0" w:lastColumn="0" w:oddVBand="0" w:evenVBand="0" w:oddHBand="0" w:evenHBand="0" w:firstRowFirstColumn="0" w:firstRowLastColumn="0" w:lastRowFirstColumn="0" w:lastRowLastColumn="0"/>
            </w:pPr>
          </w:p>
        </w:tc>
        <w:tc>
          <w:tcPr>
            <w:tcW w:w="0" w:type="auto"/>
            <w:vAlign w:val="center"/>
          </w:tcPr>
          <w:p w14:paraId="22EE1985" w14:textId="77777777" w:rsidR="00D81221" w:rsidRDefault="00000000">
            <w:pPr>
              <w:cnfStyle w:val="000000000000" w:firstRow="0" w:lastRow="0" w:firstColumn="0" w:lastColumn="0" w:oddVBand="0" w:evenVBand="0" w:oddHBand="0" w:evenHBand="0" w:firstRowFirstColumn="0" w:firstRowLastColumn="0" w:lastRowFirstColumn="0" w:lastRowLastColumn="0"/>
            </w:pPr>
            <w:r>
              <w:t>Architecturally consistent; requires stakeholder sign-off on narrowed scope</w:t>
            </w:r>
          </w:p>
        </w:tc>
      </w:tr>
      <w:tr w:rsidR="00D81221" w14:paraId="22EE198C"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987" w14:textId="77777777" w:rsidR="00D81221" w:rsidRDefault="00000000">
            <w:r>
              <w:t>Every requirement and control needs auditable evidence</w:t>
            </w:r>
          </w:p>
        </w:tc>
        <w:tc>
          <w:tcPr>
            <w:tcW w:w="0" w:type="auto"/>
            <w:vAlign w:val="center"/>
          </w:tcPr>
          <w:p w14:paraId="22EE1988" w14:textId="77777777" w:rsidR="00D81221" w:rsidRDefault="00000000">
            <w:pPr>
              <w:cnfStyle w:val="000000100000" w:firstRow="0" w:lastRow="0" w:firstColumn="0" w:lastColumn="0" w:oddVBand="0" w:evenVBand="0" w:oddHBand="1" w:evenHBand="0" w:firstRowFirstColumn="0" w:firstRowLastColumn="0" w:lastRowFirstColumn="0" w:lastRowLastColumn="0"/>
            </w:pPr>
            <w:r>
              <w:t>Requirement-to-artefact mapping, quality gates, review evidence</w:t>
            </w:r>
          </w:p>
        </w:tc>
        <w:tc>
          <w:tcPr>
            <w:tcW w:w="0" w:type="auto"/>
            <w:vAlign w:val="center"/>
          </w:tcPr>
          <w:p w14:paraId="22EE1989" w14:textId="77777777" w:rsidR="00D81221" w:rsidRDefault="00000000">
            <w:pPr>
              <w:cnfStyle w:val="000000100000" w:firstRow="0" w:lastRow="0" w:firstColumn="0" w:lastColumn="0" w:oddVBand="0" w:evenVBand="0" w:oddHBand="1" w:evenHBand="0" w:firstRowFirstColumn="0" w:firstRowLastColumn="0" w:lastRowFirstColumn="0" w:lastRowLastColumn="0"/>
            </w:pPr>
            <w:r>
              <w:t xml:space="preserve">Test gates for docs, agents, </w:t>
            </w:r>
            <w:proofErr w:type="spellStart"/>
            <w:r>
              <w:t>IaC</w:t>
            </w:r>
            <w:proofErr w:type="spellEnd"/>
            <w:r>
              <w:t>, release evidence completeness</w:t>
            </w:r>
          </w:p>
        </w:tc>
        <w:tc>
          <w:tcPr>
            <w:tcW w:w="0" w:type="auto"/>
            <w:vAlign w:val="center"/>
          </w:tcPr>
          <w:p w14:paraId="22EE198A" w14:textId="7D62DAA1" w:rsidR="00D81221" w:rsidRDefault="004B5C69">
            <w:pPr>
              <w:cnfStyle w:val="000000100000" w:firstRow="0" w:lastRow="0" w:firstColumn="0" w:lastColumn="0" w:oddVBand="0" w:evenVBand="0" w:oddHBand="1" w:evenHBand="0" w:firstRowFirstColumn="0" w:firstRowLastColumn="0" w:lastRowFirstColumn="0" w:lastRowLastColumn="0"/>
            </w:pPr>
            <w:r>
              <w:t xml:space="preserve">AMA Compliance Review Session with </w:t>
            </w:r>
            <w:r w:rsidR="005C1510">
              <w:t xml:space="preserve">Cantonal IT CSA </w:t>
            </w:r>
            <w:r w:rsidR="005C1510">
              <w:lastRenderedPageBreak/>
              <w:t>employee</w:t>
            </w:r>
            <w:r>
              <w:t>.docx</w:t>
            </w:r>
          </w:p>
        </w:tc>
        <w:tc>
          <w:tcPr>
            <w:tcW w:w="0" w:type="auto"/>
            <w:vAlign w:val="center"/>
          </w:tcPr>
          <w:p w14:paraId="22EE198B" w14:textId="77777777" w:rsidR="00D81221" w:rsidRDefault="00000000">
            <w:pPr>
              <w:cnfStyle w:val="000000100000" w:firstRow="0" w:lastRow="0" w:firstColumn="0" w:lastColumn="0" w:oddVBand="0" w:evenVBand="0" w:oddHBand="1" w:evenHBand="0" w:firstRowFirstColumn="0" w:firstRowLastColumn="0" w:lastRowFirstColumn="0" w:lastRowLastColumn="0"/>
            </w:pPr>
            <w:r>
              <w:lastRenderedPageBreak/>
              <w:t>Strong method, but not all artefacts are mature</w:t>
            </w:r>
          </w:p>
        </w:tc>
      </w:tr>
      <w:tr w:rsidR="00D81221" w14:paraId="22EE1992" w14:textId="77777777" w:rsidTr="00D81221">
        <w:tc>
          <w:tcPr>
            <w:cnfStyle w:val="001000000000" w:firstRow="0" w:lastRow="0" w:firstColumn="1" w:lastColumn="0" w:oddVBand="0" w:evenVBand="0" w:oddHBand="0" w:evenHBand="0" w:firstRowFirstColumn="0" w:firstRowLastColumn="0" w:lastRowFirstColumn="0" w:lastRowLastColumn="0"/>
            <w:tcW w:w="0" w:type="auto"/>
            <w:vAlign w:val="center"/>
          </w:tcPr>
          <w:p w14:paraId="22EE198D" w14:textId="77777777" w:rsidR="00D81221" w:rsidRDefault="00000000">
            <w:r>
              <w:t>Data governance must support protected operational and AI workloads</w:t>
            </w:r>
          </w:p>
        </w:tc>
        <w:tc>
          <w:tcPr>
            <w:tcW w:w="0" w:type="auto"/>
            <w:vAlign w:val="center"/>
          </w:tcPr>
          <w:p w14:paraId="22EE198E" w14:textId="77777777" w:rsidR="00D81221" w:rsidRDefault="00000000">
            <w:pPr>
              <w:cnfStyle w:val="000000000000" w:firstRow="0" w:lastRow="0" w:firstColumn="0" w:lastColumn="0" w:oddVBand="0" w:evenVBand="0" w:oddHBand="0" w:evenHBand="0" w:firstRowFirstColumn="0" w:firstRowLastColumn="0" w:lastRowFirstColumn="0" w:lastRowLastColumn="0"/>
            </w:pPr>
            <w:r>
              <w:t>Data domains, contracts, retention, governance ownership</w:t>
            </w:r>
          </w:p>
        </w:tc>
        <w:tc>
          <w:tcPr>
            <w:tcW w:w="0" w:type="auto"/>
            <w:vAlign w:val="center"/>
          </w:tcPr>
          <w:p w14:paraId="22EE198F" w14:textId="77777777" w:rsidR="00D81221" w:rsidRDefault="00000000">
            <w:pPr>
              <w:cnfStyle w:val="000000000000" w:firstRow="0" w:lastRow="0" w:firstColumn="0" w:lastColumn="0" w:oddVBand="0" w:evenVBand="0" w:oddHBand="0" w:evenHBand="0" w:firstRowFirstColumn="0" w:firstRowLastColumn="0" w:lastRowFirstColumn="0" w:lastRowLastColumn="0"/>
            </w:pPr>
            <w:r>
              <w:t>Data platform uses Fabric/</w:t>
            </w:r>
            <w:proofErr w:type="spellStart"/>
            <w:r>
              <w:t>OneLake</w:t>
            </w:r>
            <w:proofErr w:type="spellEnd"/>
            <w:r>
              <w:t>/AHDS, but data governance document is still TBD</w:t>
            </w:r>
          </w:p>
        </w:tc>
        <w:tc>
          <w:tcPr>
            <w:tcW w:w="0" w:type="auto"/>
            <w:vAlign w:val="center"/>
          </w:tcPr>
          <w:p w14:paraId="22EE1990" w14:textId="51F0C5B3" w:rsidR="00D81221" w:rsidRDefault="00D81221">
            <w:pPr>
              <w:cnfStyle w:val="000000000000" w:firstRow="0" w:lastRow="0" w:firstColumn="0" w:lastColumn="0" w:oddVBand="0" w:evenVBand="0" w:oddHBand="0" w:evenHBand="0" w:firstRowFirstColumn="0" w:firstRowLastColumn="0" w:lastRowFirstColumn="0" w:lastRowLastColumn="0"/>
            </w:pPr>
          </w:p>
        </w:tc>
        <w:tc>
          <w:tcPr>
            <w:tcW w:w="0" w:type="auto"/>
            <w:vAlign w:val="center"/>
          </w:tcPr>
          <w:p w14:paraId="22EE1991" w14:textId="77777777" w:rsidR="00D81221" w:rsidRDefault="00000000">
            <w:pPr>
              <w:cnfStyle w:val="000000000000" w:firstRow="0" w:lastRow="0" w:firstColumn="0" w:lastColumn="0" w:oddVBand="0" w:evenVBand="0" w:oddHBand="0" w:evenHBand="0" w:firstRowFirstColumn="0" w:firstRowLastColumn="0" w:lastRowFirstColumn="0" w:lastRowLastColumn="0"/>
            </w:pPr>
            <w:r>
              <w:t>Critical gap</w:t>
            </w:r>
          </w:p>
        </w:tc>
      </w:tr>
      <w:tr w:rsidR="00D81221" w14:paraId="22EE1998"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993" w14:textId="77777777" w:rsidR="00D81221" w:rsidRDefault="00000000">
            <w:r>
              <w:t>Copilot responses and AI outputs must be explainable and advisory</w:t>
            </w:r>
          </w:p>
        </w:tc>
        <w:tc>
          <w:tcPr>
            <w:tcW w:w="0" w:type="auto"/>
            <w:vAlign w:val="center"/>
          </w:tcPr>
          <w:p w14:paraId="22EE1994" w14:textId="77777777" w:rsidR="00D81221" w:rsidRDefault="00000000">
            <w:pPr>
              <w:cnfStyle w:val="000000100000" w:firstRow="0" w:lastRow="0" w:firstColumn="0" w:lastColumn="0" w:oddVBand="0" w:evenVBand="0" w:oddHBand="1" w:evenHBand="0" w:firstRowFirstColumn="0" w:firstRowLastColumn="0" w:lastRowFirstColumn="0" w:lastRowLastColumn="0"/>
            </w:pPr>
            <w:r>
              <w:t>Auditable chain, human decision authority, response traceability</w:t>
            </w:r>
          </w:p>
        </w:tc>
        <w:tc>
          <w:tcPr>
            <w:tcW w:w="0" w:type="auto"/>
            <w:vAlign w:val="center"/>
          </w:tcPr>
          <w:p w14:paraId="22EE1995" w14:textId="77777777" w:rsidR="00D81221" w:rsidRDefault="00000000">
            <w:pPr>
              <w:cnfStyle w:val="000000100000" w:firstRow="0" w:lastRow="0" w:firstColumn="0" w:lastColumn="0" w:oddVBand="0" w:evenVBand="0" w:oddHBand="1" w:evenHBand="0" w:firstRowFirstColumn="0" w:firstRowLastColumn="0" w:lastRowFirstColumn="0" w:lastRowLastColumn="0"/>
            </w:pPr>
            <w:r>
              <w:t>Copilot grounded on governed data; advisory only; traceable outputs</w:t>
            </w:r>
          </w:p>
        </w:tc>
        <w:tc>
          <w:tcPr>
            <w:tcW w:w="0" w:type="auto"/>
            <w:vAlign w:val="center"/>
          </w:tcPr>
          <w:p w14:paraId="22EE1996" w14:textId="1CDD5685" w:rsidR="00D81221" w:rsidRDefault="00D81221">
            <w:pPr>
              <w:cnfStyle w:val="000000100000" w:firstRow="0" w:lastRow="0" w:firstColumn="0" w:lastColumn="0" w:oddVBand="0" w:evenVBand="0" w:oddHBand="1" w:evenHBand="0" w:firstRowFirstColumn="0" w:firstRowLastColumn="0" w:lastRowFirstColumn="0" w:lastRowLastColumn="0"/>
            </w:pPr>
          </w:p>
        </w:tc>
        <w:tc>
          <w:tcPr>
            <w:tcW w:w="0" w:type="auto"/>
            <w:vAlign w:val="center"/>
          </w:tcPr>
          <w:p w14:paraId="22EE1997" w14:textId="77777777" w:rsidR="00D81221" w:rsidRDefault="00000000">
            <w:pPr>
              <w:cnfStyle w:val="000000100000" w:firstRow="0" w:lastRow="0" w:firstColumn="0" w:lastColumn="0" w:oddVBand="0" w:evenVBand="0" w:oddHBand="1" w:evenHBand="0" w:firstRowFirstColumn="0" w:firstRowLastColumn="0" w:lastRowFirstColumn="0" w:lastRowLastColumn="0"/>
            </w:pPr>
            <w:r>
              <w:t>Strong alignment</w:t>
            </w:r>
          </w:p>
        </w:tc>
      </w:tr>
      <w:tr w:rsidR="00D81221" w14:paraId="22EE199E" w14:textId="77777777" w:rsidTr="00D81221">
        <w:tc>
          <w:tcPr>
            <w:cnfStyle w:val="001000000000" w:firstRow="0" w:lastRow="0" w:firstColumn="1" w:lastColumn="0" w:oddVBand="0" w:evenVBand="0" w:oddHBand="0" w:evenHBand="0" w:firstRowFirstColumn="0" w:firstRowLastColumn="0" w:lastRowFirstColumn="0" w:lastRowLastColumn="0"/>
            <w:tcW w:w="0" w:type="auto"/>
            <w:vAlign w:val="center"/>
          </w:tcPr>
          <w:p w14:paraId="22EE1999" w14:textId="77777777" w:rsidR="00D81221" w:rsidRDefault="00000000">
            <w:r>
              <w:t>Repository governance artefacts should cover PRD, SD, security and compliance</w:t>
            </w:r>
          </w:p>
        </w:tc>
        <w:tc>
          <w:tcPr>
            <w:tcW w:w="0" w:type="auto"/>
            <w:vAlign w:val="center"/>
          </w:tcPr>
          <w:p w14:paraId="22EE199A" w14:textId="77777777" w:rsidR="00D81221" w:rsidRDefault="00000000">
            <w:pPr>
              <w:cnfStyle w:val="000000000000" w:firstRow="0" w:lastRow="0" w:firstColumn="0" w:lastColumn="0" w:oddVBand="0" w:evenVBand="0" w:oddHBand="0" w:evenHBand="0" w:firstRowFirstColumn="0" w:firstRowLastColumn="0" w:lastRowFirstColumn="0" w:lastRowLastColumn="0"/>
            </w:pPr>
            <w:r>
              <w:t>Artefact completeness and versioned documentation</w:t>
            </w:r>
          </w:p>
        </w:tc>
        <w:tc>
          <w:tcPr>
            <w:tcW w:w="0" w:type="auto"/>
            <w:vAlign w:val="center"/>
          </w:tcPr>
          <w:p w14:paraId="22EE199B" w14:textId="77777777" w:rsidR="00D81221" w:rsidRDefault="00000000">
            <w:pPr>
              <w:cnfStyle w:val="000000000000" w:firstRow="0" w:lastRow="0" w:firstColumn="0" w:lastColumn="0" w:oddVBand="0" w:evenVBand="0" w:oddHBand="0" w:evenHBand="0" w:firstRowFirstColumn="0" w:firstRowLastColumn="0" w:lastRowFirstColumn="0" w:lastRowLastColumn="0"/>
            </w:pPr>
            <w:r>
              <w:t>Repo tree contains PRD.md, SD.md, SECURITY.md, COMPLIANCE.md, AI.md, ALM_PLAN.md</w:t>
            </w:r>
          </w:p>
        </w:tc>
        <w:tc>
          <w:tcPr>
            <w:tcW w:w="0" w:type="auto"/>
            <w:vAlign w:val="center"/>
          </w:tcPr>
          <w:p w14:paraId="22EE199C" w14:textId="0D571C36" w:rsidR="00D81221" w:rsidRDefault="004B5C69">
            <w:pPr>
              <w:cnfStyle w:val="000000000000" w:firstRow="0" w:lastRow="0" w:firstColumn="0" w:lastColumn="0" w:oddVBand="0" w:evenVBand="0" w:oddHBand="0" w:evenHBand="0" w:firstRowFirstColumn="0" w:firstRowLastColumn="0" w:lastRowFirstColumn="0" w:lastRowLastColumn="0"/>
            </w:pPr>
            <w:r>
              <w:t>. I’ve kept it precise and marked where validation is still required because some repository documents were discoverable by name but not fully inspectable in the available results.</w:t>
            </w:r>
          </w:p>
        </w:tc>
        <w:tc>
          <w:tcPr>
            <w:tcW w:w="0" w:type="auto"/>
            <w:vAlign w:val="center"/>
          </w:tcPr>
          <w:p w14:paraId="22EE199D" w14:textId="77777777" w:rsidR="00D81221" w:rsidRDefault="00D81221">
            <w:pPr>
              <w:cnfStyle w:val="000000000000" w:firstRow="0" w:lastRow="0" w:firstColumn="0" w:lastColumn="0" w:oddVBand="0" w:evenVBand="0" w:oddHBand="0" w:evenHBand="0" w:firstRowFirstColumn="0" w:firstRowLastColumn="0" w:lastRowFirstColumn="0" w:lastRowLastColumn="0"/>
            </w:pPr>
          </w:p>
        </w:tc>
      </w:tr>
    </w:tbl>
    <w:p w14:paraId="22EE199F" w14:textId="018851DC" w:rsidR="00D81221" w:rsidRDefault="004B5C69">
      <w:pPr>
        <w:pStyle w:val="Heading1"/>
      </w:pPr>
      <w:r>
        <w:t xml:space="preserve">Solution Review — AMA Outcomes for AMA Compliance Review Session with </w:t>
      </w:r>
      <w:r w:rsidR="005C1510">
        <w:t>Cantonal IT CSA employee</w:t>
      </w:r>
    </w:p>
    <w:p w14:paraId="22EE19A0" w14:textId="77777777" w:rsidR="00D81221" w:rsidRDefault="00000000">
      <w:pPr>
        <w:pStyle w:val="Heading2"/>
      </w:pPr>
      <w:r>
        <w:t>1. Executive Summary</w:t>
      </w:r>
    </w:p>
    <w:p w14:paraId="22EE19A1" w14:textId="408C854F" w:rsidR="00D81221" w:rsidRDefault="004B5C69">
      <w:r>
        <w:t xml:space="preserve">The review session between Urs Rüegg and </w:t>
      </w:r>
      <w:r w:rsidR="005C1510">
        <w:t>Cantonal IT CSA employee</w:t>
      </w:r>
      <w:r>
        <w:t xml:space="preserve"> surfaced a fundamental tension between abstract governance design and enforceable technical implementation. The transcript shows that </w:t>
      </w:r>
      <w:r w:rsidR="005C1510">
        <w:t>Cantonal IT CSA employee</w:t>
      </w:r>
      <w:r>
        <w:t xml:space="preserve"> is intentionally </w:t>
      </w:r>
      <w:r>
        <w:lastRenderedPageBreak/>
        <w:t>producing a governance paper for cantonal Azure operations, while Urs Rüegg is working from a more implementation-oriented, policy-as-code and infrastructure-as-code perspective. This creates a useful but incomplete alignment: the direction is consistent, but the control model is not yet fully translated into verifiable engineering artefacts, especially for compliance, environment isolation, and risk handling.</w:t>
      </w:r>
    </w:p>
    <w:p w14:paraId="22EE19A2" w14:textId="3BA73D69" w:rsidR="00D81221" w:rsidRDefault="004B5C69">
      <w:r>
        <w:t>The current repository baseline in is materially more concrete than the governance discussion. It defines a provider-internal deployment model, a single-provider governance boundary, Swiss region deployment (Switzerland North / Switzerland West), DEV/SIT/PROD progression, a hub-spoke network model, and a layered architecture using services such as Microsoft Fabric, Azure Health Data Services, Azure Machine Learning, Azure OpenAI, Logic Apps, Entra ID, Key Vault, Purview, Monitor, and Azure Policy. However, the repository also exposes clear incompleteness: is still a placeholder, and the full contents of PRD, SD, COMPLIANCE, and SECURITY were not directly inspectable from the retrieved results.</w:t>
      </w:r>
    </w:p>
    <w:p w14:paraId="22EE19A3" w14:textId="5BB9E098" w:rsidR="00D81221" w:rsidRDefault="004B5C69">
      <w:r>
        <w:t>The most important outcome of this review is therefore: the solution direction is credible, but governance, data, and compliance evidence need to be tightened before it can be considered review-ready for a public sector or regulated healthcare setting. In particular, cantonal legal scoping, traceability, risk treatment, tenancy strategy, and evidence-backed controls require strengthening.</w:t>
      </w:r>
    </w:p>
    <w:p w14:paraId="22EE19A4" w14:textId="77777777" w:rsidR="00D81221" w:rsidRDefault="00D81221">
      <w:pPr>
        <w:pBdr>
          <w:top w:val="single" w:sz="12" w:space="0" w:color="auto"/>
        </w:pBdr>
        <w:spacing w:after="0"/>
      </w:pPr>
    </w:p>
    <w:p w14:paraId="22EE19A5" w14:textId="77777777" w:rsidR="00D81221" w:rsidRDefault="00000000">
      <w:pPr>
        <w:pStyle w:val="Heading2"/>
      </w:pPr>
      <w:r>
        <w:t>2. Context Overview</w:t>
      </w:r>
    </w:p>
    <w:p w14:paraId="22EE19A6" w14:textId="00E36185" w:rsidR="00D81221" w:rsidRDefault="004B5C69">
      <w:r>
        <w:t xml:space="preserve">The transcript establishes that the primary review objective was not to approve a technical build, but to validate the completeness of a governance approach for Azure in a cantonal public-sector context. </w:t>
      </w:r>
      <w:r w:rsidR="005C1510">
        <w:t>Cantonal IT CSA employee</w:t>
      </w:r>
      <w:r>
        <w:t xml:space="preserve"> explicitly states that his thesis scope is the governance framework for </w:t>
      </w:r>
      <w:r w:rsidR="005C1510">
        <w:t>Cantonal IT CSA employee</w:t>
      </w:r>
      <w:r>
        <w:t xml:space="preserve">’s </w:t>
      </w:r>
      <w:proofErr w:type="spellStart"/>
      <w:r>
        <w:t>organisation</w:t>
      </w:r>
      <w:proofErr w:type="spellEnd"/>
      <w:r>
        <w:t xml:space="preserve"> and not the implementation of a technical platform. He also clarifies that the result is intended for the cantonal administration and not for municipalities or hospitals directly.</w:t>
      </w:r>
    </w:p>
    <w:p w14:paraId="22EE19A7" w14:textId="388867D3" w:rsidR="00D81221" w:rsidRDefault="004B5C69">
      <w:r>
        <w:t>In parallel, the repository artefacts describe a healthcare-focused architecture pattern for a hospital operations platform, but the newer analysis artefact narrows this significantly: the platform is not a cantonal shared operating model, not a multi-provider shared tenancy, and not a shared governance model across providers. Instead, it is a provider-internal platform pattern that can be instantiated one hospital provider at a time, with external actors treated as integration endpoints only. That scope reduction is explicit in.</w:t>
      </w:r>
    </w:p>
    <w:p w14:paraId="22EE19A8" w14:textId="77777777" w:rsidR="00D81221" w:rsidRDefault="00000000">
      <w:r>
        <w:t>This means the review must assess two overlapping but non-identical perspectives:</w:t>
      </w:r>
    </w:p>
    <w:p w14:paraId="22EE19A9" w14:textId="77777777" w:rsidR="00D81221" w:rsidRDefault="00000000">
      <w:pPr>
        <w:pStyle w:val="ListParagraph"/>
        <w:numPr>
          <w:ilvl w:val="0"/>
          <w:numId w:val="10"/>
        </w:numPr>
      </w:pPr>
      <w:r>
        <w:t xml:space="preserve">the </w:t>
      </w:r>
      <w:r>
        <w:rPr>
          <w:b/>
          <w:bCs/>
        </w:rPr>
        <w:t>cantonal governance abstraction</w:t>
      </w:r>
      <w:r>
        <w:t xml:space="preserve"> discussed in the AMA session; and</w:t>
      </w:r>
    </w:p>
    <w:p w14:paraId="22EE19AA" w14:textId="04E1E2F3" w:rsidR="00D81221" w:rsidRDefault="004B5C69">
      <w:pPr>
        <w:pStyle w:val="ListParagraph"/>
        <w:numPr>
          <w:ilvl w:val="0"/>
          <w:numId w:val="10"/>
        </w:numPr>
      </w:pPr>
      <w:r>
        <w:t>the provider-internal technical pattern described in the repository.</w:t>
      </w:r>
    </w:p>
    <w:p w14:paraId="22EE19AB" w14:textId="77777777" w:rsidR="00D81221" w:rsidRDefault="00D81221">
      <w:pPr>
        <w:pBdr>
          <w:top w:val="single" w:sz="12" w:space="0" w:color="auto"/>
        </w:pBdr>
        <w:spacing w:after="0"/>
      </w:pPr>
    </w:p>
    <w:p w14:paraId="22EE19AC" w14:textId="77777777" w:rsidR="00D81221" w:rsidRDefault="00000000">
      <w:pPr>
        <w:pStyle w:val="Heading2"/>
      </w:pPr>
      <w:r>
        <w:t>3. Key Findings from Review Session</w:t>
      </w:r>
    </w:p>
    <w:p w14:paraId="22EE19AD" w14:textId="77777777" w:rsidR="00D81221" w:rsidRDefault="00000000">
      <w:pPr>
        <w:pStyle w:val="Heading3"/>
      </w:pPr>
      <w:r>
        <w:t>3.1 Governance intent is clear, but implementation is intentionally deferred</w:t>
      </w:r>
    </w:p>
    <w:p w14:paraId="22EE19AE" w14:textId="0BDBF6B7" w:rsidR="00D81221" w:rsidRDefault="004B5C69">
      <w:r>
        <w:t xml:space="preserve">The transcript makes it explicit that </w:t>
      </w:r>
      <w:r w:rsidR="005C1510">
        <w:t>Cantonal IT CSA employee</w:t>
      </w:r>
      <w:r>
        <w:t xml:space="preserve"> is producing a governance paper, not an implementation package. He repeatedly limits scope to </w:t>
      </w:r>
      <w:proofErr w:type="spellStart"/>
      <w:r>
        <w:t>organisational</w:t>
      </w:r>
      <w:proofErr w:type="spellEnd"/>
      <w:r>
        <w:t xml:space="preserve"> controls, responsibilities, and required mechanisms, while excluding direct implementation, migration, or physical platform rollout.</w:t>
      </w:r>
    </w:p>
    <w:p w14:paraId="22EE19AF" w14:textId="77777777" w:rsidR="00D81221" w:rsidRDefault="00000000">
      <w:pPr>
        <w:pStyle w:val="Heading3"/>
      </w:pPr>
      <w:r>
        <w:t xml:space="preserve">3.2 Policy-as-code and infrastructure-as-code are </w:t>
      </w:r>
      <w:proofErr w:type="spellStart"/>
      <w:r>
        <w:t>recognised</w:t>
      </w:r>
      <w:proofErr w:type="spellEnd"/>
      <w:r>
        <w:t xml:space="preserve"> as the target operating model</w:t>
      </w:r>
    </w:p>
    <w:p w14:paraId="22EE19B0" w14:textId="1E49502D" w:rsidR="00D81221" w:rsidRDefault="004B5C69">
      <w:r>
        <w:t xml:space="preserve">Both participants converge on the idea that “click-ops” should be replaced by repository-driven, pipeline-based delivery. The discussion explicitly references Bicep rather than Terraform and </w:t>
      </w:r>
      <w:proofErr w:type="spellStart"/>
      <w:r>
        <w:t>emphasises</w:t>
      </w:r>
      <w:proofErr w:type="spellEnd"/>
      <w:r>
        <w:t xml:space="preserve"> declarative controls derived from non-functional requirements.</w:t>
      </w:r>
    </w:p>
    <w:p w14:paraId="22EE19B1" w14:textId="77777777" w:rsidR="00D81221" w:rsidRDefault="00000000">
      <w:pPr>
        <w:pStyle w:val="Heading3"/>
      </w:pPr>
      <w:r>
        <w:t>3.3 Security and Zero Trust are treated as mandatory, not optional</w:t>
      </w:r>
    </w:p>
    <w:p w14:paraId="22EE19B2" w14:textId="6204A0DA" w:rsidR="00D81221" w:rsidRDefault="004B5C69">
      <w:r>
        <w:t>Urs Rüegg explicitly states that governance should not focus only on DevOps; security and Zero Trust should be built into the target model. The repository architecture reinforces that with strict segmentation, private connectivity, minimal public exposure, central policy enforcement, managed identity, RBAC, and auditable operations.</w:t>
      </w:r>
    </w:p>
    <w:p w14:paraId="22EE19B3" w14:textId="77777777" w:rsidR="00D81221" w:rsidRDefault="00000000">
      <w:pPr>
        <w:pStyle w:val="Heading3"/>
      </w:pPr>
      <w:r>
        <w:t>3.4 Cantonal compliance is more specific than “Swiss compliance”</w:t>
      </w:r>
    </w:p>
    <w:p w14:paraId="22EE19B4" w14:textId="427561CC" w:rsidR="00D81221" w:rsidRDefault="004B5C69">
      <w:r>
        <w:t>A critical transcript outcome is the legal clarification that the Swiss federal DSG does not simply apply to cantons in the same way; cantonal entities must follow cantonal data protection law. This is one of the most important compliance findings because it prevents over-</w:t>
      </w:r>
      <w:proofErr w:type="spellStart"/>
      <w:r>
        <w:t>generalised</w:t>
      </w:r>
      <w:proofErr w:type="spellEnd"/>
      <w:r>
        <w:t xml:space="preserve"> “Swiss compliance” claims.</w:t>
      </w:r>
    </w:p>
    <w:p w14:paraId="22EE19B5" w14:textId="77777777" w:rsidR="00D81221" w:rsidRDefault="00000000">
      <w:pPr>
        <w:pStyle w:val="Heading3"/>
      </w:pPr>
      <w:r>
        <w:t>3.5 Tenancy and environment isolation emerged as a concrete architectural requirement</w:t>
      </w:r>
    </w:p>
    <w:p w14:paraId="22EE19B6" w14:textId="317B9AB9" w:rsidR="00D81221" w:rsidRDefault="004B5C69">
      <w:r>
        <w:t xml:space="preserve">The transcript discusses a distinction between service-specific engineering and tenant-specific engineering. For tenant-level policies and identity controls, a separate tenant for safe positive/negative testing is recommended before promotion to production. The repository baseline currently states DEV/SIT/PROD progression and approval gates, but it does not, in the directly retrieved snippets, fully </w:t>
      </w:r>
      <w:proofErr w:type="spellStart"/>
      <w:r>
        <w:t>formalise</w:t>
      </w:r>
      <w:proofErr w:type="spellEnd"/>
      <w:r>
        <w:t xml:space="preserve"> when separate tenants are mandatory versus when subscriptions or landing zones are sufficient.</w:t>
      </w:r>
    </w:p>
    <w:p w14:paraId="22EE19B7" w14:textId="77777777" w:rsidR="00D81221" w:rsidRDefault="00000000">
      <w:pPr>
        <w:pStyle w:val="Heading3"/>
      </w:pPr>
      <w:r>
        <w:lastRenderedPageBreak/>
        <w:t>3.6 Traceability and risk management were explicitly highlighted as missing but needed</w:t>
      </w:r>
    </w:p>
    <w:p w14:paraId="22EE19B8" w14:textId="036452A2" w:rsidR="00D81221" w:rsidRDefault="004B5C69">
      <w:r>
        <w:t>The transcript calls out the need to trace source → requirement → policy/control, and additionally suggests a more formal risk-management model with trigger points, treatment paths, and fallback plans. The repository test strategy partially supports this by requiring requirement traceability, quality gates, compliance impact statements, residual gap notes, and validation evidence per change.</w:t>
      </w:r>
    </w:p>
    <w:p w14:paraId="22EE19B9" w14:textId="77777777" w:rsidR="00D81221" w:rsidRDefault="00D81221">
      <w:pPr>
        <w:pBdr>
          <w:top w:val="single" w:sz="12" w:space="0" w:color="auto"/>
        </w:pBdr>
        <w:spacing w:after="0"/>
      </w:pPr>
    </w:p>
    <w:p w14:paraId="22EE19BA" w14:textId="77777777" w:rsidR="00D81221" w:rsidRDefault="00000000">
      <w:pPr>
        <w:pStyle w:val="Heading2"/>
      </w:pPr>
      <w:r>
        <w:t>4. Deviation Analysis</w:t>
      </w:r>
    </w:p>
    <w:p w14:paraId="22EE19BB" w14:textId="77777777" w:rsidR="00D81221" w:rsidRDefault="00000000">
      <w:pPr>
        <w:pStyle w:val="Heading3"/>
      </w:pPr>
      <w:r>
        <w:t>4.1 Scope deviation: “cantonal/shared” versus “provider-internal”</w:t>
      </w:r>
    </w:p>
    <w:p w14:paraId="22EE19BC" w14:textId="2D8F4BD2" w:rsidR="00D81221" w:rsidRDefault="004B5C69">
      <w:r>
        <w:t>The repository’s refined analysis explicitly rejects a cantonal shared operating model and shared multi-provider tenancy, whereas the broader case framing and some transcript discussion still speak in public-sector/cantonal terms. This is not necessarily a flaw, but it is a major scope shift that must be made explicit in governance documentation and PRD/SD artefacts. Right now, the technical pattern is narrower than the public-sector framing.</w:t>
      </w:r>
    </w:p>
    <w:p w14:paraId="22EE19BD" w14:textId="77777777" w:rsidR="00D81221" w:rsidRDefault="00000000">
      <w:pPr>
        <w:pStyle w:val="Heading3"/>
      </w:pPr>
      <w:r>
        <w:t>4.2 Compliance model deviation: abstract legal framing versus enforceable controls</w:t>
      </w:r>
    </w:p>
    <w:p w14:paraId="22EE19BE" w14:textId="443F38CF" w:rsidR="00D81221" w:rsidRDefault="004B5C69">
      <w:r>
        <w:t>The conversation distinguishes cantonal law from federal law, and also notes that Swiss data location may be recommended or contractually/technically compensated rather than always strictly mandated. The repository architecture chooses a stricter implementation baseline — Switzerland North primary, Switzerland West secondary. That is defensible, but the direct legal rationale per canton is not yet shown in the retrieved artefacts.</w:t>
      </w:r>
    </w:p>
    <w:p w14:paraId="22EE19BF" w14:textId="77777777" w:rsidR="00D81221" w:rsidRDefault="00000000">
      <w:pPr>
        <w:pStyle w:val="Heading3"/>
      </w:pPr>
      <w:r>
        <w:t>4.3 Data governance deviation: architecture is concrete, data governance is not</w:t>
      </w:r>
    </w:p>
    <w:p w14:paraId="22EE19C0" w14:textId="63031445" w:rsidR="00D81221" w:rsidRDefault="004B5C69">
      <w:r>
        <w:t>The solution architecture is relatively mature, but is still draft/placeholder with “Data Domains TBD”, “Data Contracts TBD”, and “Retention and Governance TBD”. This is a significant deviation because many compliance and operational controls depend on data classification, lineage, retention, contract boundaries, and dataset ownership.</w:t>
      </w:r>
    </w:p>
    <w:p w14:paraId="22EE19C1" w14:textId="77777777" w:rsidR="00D81221" w:rsidRDefault="00000000">
      <w:pPr>
        <w:pStyle w:val="Heading3"/>
      </w:pPr>
      <w:r>
        <w:t>4.4 Quality/evidence maturity exceeds data maturity</w:t>
      </w:r>
    </w:p>
    <w:p w14:paraId="22EE19C2" w14:textId="153DF2BC" w:rsidR="00D81221" w:rsidRDefault="004B5C69">
      <w:r>
        <w:t xml:space="preserve">The repository includes a surprisingly strong quality plan in, including documentation integrity, agent safety, infrastructure fitness, release evidence completeness, traceability review, and residual-gap reporting. However, that evidence model appears </w:t>
      </w:r>
      <w:r>
        <w:lastRenderedPageBreak/>
        <w:t>ahead of the actual data governance content. In other words, the project has an audit frame but not yet all the auditable domain content.</w:t>
      </w:r>
    </w:p>
    <w:p w14:paraId="22EE19C3" w14:textId="77777777" w:rsidR="00D81221" w:rsidRDefault="00D81221">
      <w:pPr>
        <w:pBdr>
          <w:top w:val="single" w:sz="12" w:space="0" w:color="auto"/>
        </w:pBdr>
        <w:spacing w:after="0"/>
      </w:pPr>
    </w:p>
    <w:p w14:paraId="22EE19C4" w14:textId="77777777" w:rsidR="00D81221" w:rsidRDefault="00000000">
      <w:pPr>
        <w:pStyle w:val="Heading2"/>
      </w:pPr>
      <w:r>
        <w:t>5. New &amp; Emerging Requirements</w:t>
      </w:r>
    </w:p>
    <w:p w14:paraId="22EE19C5" w14:textId="0111669D" w:rsidR="00D81221" w:rsidRPr="00EA1511" w:rsidRDefault="004B5C69">
      <w:pPr>
        <w:pStyle w:val="ListParagraph"/>
        <w:numPr>
          <w:ilvl w:val="0"/>
          <w:numId w:val="11"/>
        </w:numPr>
      </w:pPr>
      <w:r w:rsidRPr="00EA1511">
        <w:t>Cantonal legal mapping must become an explicit requirement: each target deployment must map legal obligations to the specific canton rather than relying on generic Swiss wording.</w:t>
      </w:r>
    </w:p>
    <w:p w14:paraId="22EE19C6" w14:textId="22B1262F" w:rsidR="00D81221" w:rsidRPr="00EA1511" w:rsidRDefault="004B5C69">
      <w:pPr>
        <w:pStyle w:val="ListParagraph"/>
        <w:numPr>
          <w:ilvl w:val="0"/>
          <w:numId w:val="11"/>
        </w:numPr>
      </w:pPr>
      <w:r w:rsidRPr="00EA1511">
        <w:t xml:space="preserve">Tenant/isolation decision rules must be </w:t>
      </w:r>
      <w:proofErr w:type="spellStart"/>
      <w:r w:rsidRPr="00EA1511">
        <w:t>formalised</w:t>
      </w:r>
      <w:proofErr w:type="spellEnd"/>
      <w:r w:rsidRPr="00EA1511">
        <w:t>: when tenant-level testing is required versus when landing-zone/subscription isolation is sufficient.</w:t>
      </w:r>
    </w:p>
    <w:p w14:paraId="22EE19C7" w14:textId="44204B5C" w:rsidR="00D81221" w:rsidRPr="00EA1511" w:rsidRDefault="004B5C69">
      <w:pPr>
        <w:pStyle w:val="ListParagraph"/>
        <w:numPr>
          <w:ilvl w:val="0"/>
          <w:numId w:val="11"/>
        </w:numPr>
      </w:pPr>
      <w:r w:rsidRPr="00EA1511">
        <w:t>Risk treatment and trigger logic must be documented: not only preventive controls, but also fallback decisions, incident triggers, and recovery plans.</w:t>
      </w:r>
    </w:p>
    <w:p w14:paraId="22EE19C8" w14:textId="2FDA06A9" w:rsidR="00D81221" w:rsidRPr="00EA1511" w:rsidRDefault="004B5C69">
      <w:pPr>
        <w:pStyle w:val="ListParagraph"/>
        <w:numPr>
          <w:ilvl w:val="0"/>
          <w:numId w:val="11"/>
        </w:numPr>
      </w:pPr>
      <w:r w:rsidRPr="00EA1511">
        <w:t>Data contracts, retention, and governance must be completed before design sign-off because the current data document is incomplete.</w:t>
      </w:r>
    </w:p>
    <w:p w14:paraId="22EE19C9" w14:textId="21FD43FA" w:rsidR="00D81221" w:rsidRPr="00EA1511" w:rsidRDefault="004B5C69">
      <w:pPr>
        <w:pStyle w:val="ListParagraph"/>
        <w:numPr>
          <w:ilvl w:val="0"/>
          <w:numId w:val="11"/>
        </w:numPr>
      </w:pPr>
      <w:r w:rsidRPr="00EA1511">
        <w:t>Advisory AI control requirements must be explicit: the repository already states the copilot is advisory and human operators retain decision authority, which should be lifted into governance and compliance artefacts as a formal control requirement.</w:t>
      </w:r>
    </w:p>
    <w:p w14:paraId="22EE19CA" w14:textId="16AD08F9" w:rsidR="00D81221" w:rsidRPr="00EA1511" w:rsidRDefault="004B5C69">
      <w:pPr>
        <w:pStyle w:val="ListParagraph"/>
        <w:numPr>
          <w:ilvl w:val="0"/>
          <w:numId w:val="11"/>
        </w:numPr>
      </w:pPr>
      <w:r w:rsidRPr="00EA1511">
        <w:t>Evidence-backed release governance is now an implicit requirement because the repository test strategy expects compliance impact statements, requirement IDs, risk statements, and validation output per PR.</w:t>
      </w:r>
    </w:p>
    <w:p w14:paraId="22EE19CB" w14:textId="77777777" w:rsidR="00D81221" w:rsidRDefault="00D81221">
      <w:pPr>
        <w:pBdr>
          <w:top w:val="single" w:sz="12" w:space="0" w:color="auto"/>
        </w:pBdr>
        <w:spacing w:after="0"/>
      </w:pPr>
    </w:p>
    <w:p w14:paraId="22EE19CC" w14:textId="77777777" w:rsidR="00D81221" w:rsidRDefault="00000000">
      <w:pPr>
        <w:pStyle w:val="Heading2"/>
      </w:pPr>
      <w:r>
        <w:t>6. Risk Assessment</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5"/>
        <w:gridCol w:w="1508"/>
        <w:gridCol w:w="1565"/>
        <w:gridCol w:w="3778"/>
      </w:tblGrid>
      <w:tr w:rsidR="00D81221" w14:paraId="22EE19D1" w14:textId="77777777" w:rsidTr="00D81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9CD" w14:textId="77777777" w:rsidR="00D81221" w:rsidRDefault="00000000">
            <w:r>
              <w:t>Risk</w:t>
            </w:r>
          </w:p>
        </w:tc>
        <w:tc>
          <w:tcPr>
            <w:tcW w:w="0" w:type="auto"/>
            <w:vAlign w:val="center"/>
          </w:tcPr>
          <w:p w14:paraId="22EE19CE" w14:textId="77777777" w:rsidR="00D81221" w:rsidRDefault="00000000">
            <w:pPr>
              <w:cnfStyle w:val="100000000000" w:firstRow="1" w:lastRow="0" w:firstColumn="0" w:lastColumn="0" w:oddVBand="0" w:evenVBand="0" w:oddHBand="0" w:evenHBand="0" w:firstRowFirstColumn="0" w:firstRowLastColumn="0" w:lastRowFirstColumn="0" w:lastRowLastColumn="0"/>
            </w:pPr>
            <w:r>
              <w:t>Category</w:t>
            </w:r>
          </w:p>
        </w:tc>
        <w:tc>
          <w:tcPr>
            <w:tcW w:w="0" w:type="auto"/>
            <w:vAlign w:val="center"/>
          </w:tcPr>
          <w:p w14:paraId="22EE19CF" w14:textId="77777777" w:rsidR="00D81221" w:rsidRDefault="00000000">
            <w:pPr>
              <w:cnfStyle w:val="100000000000" w:firstRow="1" w:lastRow="0" w:firstColumn="0" w:lastColumn="0" w:oddVBand="0" w:evenVBand="0" w:oddHBand="0" w:evenHBand="0" w:firstRowFirstColumn="0" w:firstRowLastColumn="0" w:lastRowFirstColumn="0" w:lastRowLastColumn="0"/>
            </w:pPr>
            <w:r>
              <w:t>Assessment</w:t>
            </w:r>
          </w:p>
        </w:tc>
        <w:tc>
          <w:tcPr>
            <w:tcW w:w="0" w:type="auto"/>
            <w:vAlign w:val="center"/>
          </w:tcPr>
          <w:p w14:paraId="22EE19D0" w14:textId="77777777" w:rsidR="00D81221"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D81221" w14:paraId="22EE19D6"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9D2" w14:textId="77777777" w:rsidR="00D81221" w:rsidRDefault="00000000">
            <w:r>
              <w:t>Legal scoping error between federal and cantonal requirements</w:t>
            </w:r>
          </w:p>
        </w:tc>
        <w:tc>
          <w:tcPr>
            <w:tcW w:w="0" w:type="auto"/>
            <w:vAlign w:val="center"/>
          </w:tcPr>
          <w:p w14:paraId="22EE19D3" w14:textId="77777777" w:rsidR="00D81221" w:rsidRDefault="00000000">
            <w:pPr>
              <w:cnfStyle w:val="000000100000" w:firstRow="0" w:lastRow="0" w:firstColumn="0" w:lastColumn="0" w:oddVBand="0" w:evenVBand="0" w:oddHBand="1" w:evenHBand="0" w:firstRowFirstColumn="0" w:firstRowLastColumn="0" w:lastRowFirstColumn="0" w:lastRowLastColumn="0"/>
            </w:pPr>
            <w:r>
              <w:t>Compliance</w:t>
            </w:r>
          </w:p>
        </w:tc>
        <w:tc>
          <w:tcPr>
            <w:tcW w:w="0" w:type="auto"/>
            <w:vAlign w:val="center"/>
          </w:tcPr>
          <w:p w14:paraId="22EE19D4" w14:textId="77777777" w:rsidR="00D81221" w:rsidRDefault="00000000">
            <w:pPr>
              <w:cnfStyle w:val="000000100000" w:firstRow="0" w:lastRow="0" w:firstColumn="0" w:lastColumn="0" w:oddVBand="0" w:evenVBand="0" w:oddHBand="1" w:evenHBand="0" w:firstRowFirstColumn="0" w:firstRowLastColumn="0" w:lastRowFirstColumn="0" w:lastRowLastColumn="0"/>
            </w:pPr>
            <w:r>
              <w:t>High</w:t>
            </w:r>
          </w:p>
        </w:tc>
        <w:tc>
          <w:tcPr>
            <w:tcW w:w="0" w:type="auto"/>
            <w:vAlign w:val="center"/>
          </w:tcPr>
          <w:p w14:paraId="22EE19D5" w14:textId="6F06B0AE" w:rsidR="00D81221" w:rsidRDefault="004B5C69">
            <w:pPr>
              <w:cnfStyle w:val="000000100000" w:firstRow="0" w:lastRow="0" w:firstColumn="0" w:lastColumn="0" w:oddVBand="0" w:evenVBand="0" w:oddHBand="1" w:evenHBand="0" w:firstRowFirstColumn="0" w:firstRowLastColumn="0" w:lastRowFirstColumn="0" w:lastRowLastColumn="0"/>
            </w:pPr>
            <w:r>
              <w:t>The transcript explicitly corrected the assumption that DSG can simply be applied to cantonal entities.</w:t>
            </w:r>
          </w:p>
        </w:tc>
      </w:tr>
      <w:tr w:rsidR="00D81221" w14:paraId="22EE19DB" w14:textId="77777777" w:rsidTr="00D81221">
        <w:tc>
          <w:tcPr>
            <w:cnfStyle w:val="001000000000" w:firstRow="0" w:lastRow="0" w:firstColumn="1" w:lastColumn="0" w:oddVBand="0" w:evenVBand="0" w:oddHBand="0" w:evenHBand="0" w:firstRowFirstColumn="0" w:firstRowLastColumn="0" w:lastRowFirstColumn="0" w:lastRowLastColumn="0"/>
            <w:tcW w:w="0" w:type="auto"/>
            <w:vAlign w:val="center"/>
          </w:tcPr>
          <w:p w14:paraId="22EE19D7" w14:textId="77777777" w:rsidR="00D81221" w:rsidRDefault="00000000">
            <w:r>
              <w:t>Incomplete data governance model</w:t>
            </w:r>
          </w:p>
        </w:tc>
        <w:tc>
          <w:tcPr>
            <w:tcW w:w="0" w:type="auto"/>
            <w:vAlign w:val="center"/>
          </w:tcPr>
          <w:p w14:paraId="22EE19D8" w14:textId="77777777" w:rsidR="00D81221" w:rsidRDefault="00000000">
            <w:pPr>
              <w:cnfStyle w:val="000000000000" w:firstRow="0" w:lastRow="0" w:firstColumn="0" w:lastColumn="0" w:oddVBand="0" w:evenVBand="0" w:oddHBand="0" w:evenHBand="0" w:firstRowFirstColumn="0" w:firstRowLastColumn="0" w:lastRowFirstColumn="0" w:lastRowLastColumn="0"/>
            </w:pPr>
            <w:r>
              <w:t>Compliance / Operational</w:t>
            </w:r>
          </w:p>
        </w:tc>
        <w:tc>
          <w:tcPr>
            <w:tcW w:w="0" w:type="auto"/>
            <w:vAlign w:val="center"/>
          </w:tcPr>
          <w:p w14:paraId="22EE19D9" w14:textId="77777777" w:rsidR="00D81221" w:rsidRDefault="00000000">
            <w:pPr>
              <w:cnfStyle w:val="000000000000" w:firstRow="0" w:lastRow="0" w:firstColumn="0" w:lastColumn="0" w:oddVBand="0" w:evenVBand="0" w:oddHBand="0" w:evenHBand="0" w:firstRowFirstColumn="0" w:firstRowLastColumn="0" w:lastRowFirstColumn="0" w:lastRowLastColumn="0"/>
            </w:pPr>
            <w:r>
              <w:t>High</w:t>
            </w:r>
          </w:p>
        </w:tc>
        <w:tc>
          <w:tcPr>
            <w:tcW w:w="0" w:type="auto"/>
            <w:vAlign w:val="center"/>
          </w:tcPr>
          <w:p w14:paraId="22EE19DA" w14:textId="317349B4" w:rsidR="00D81221" w:rsidRDefault="004B5C69">
            <w:pPr>
              <w:cnfStyle w:val="000000000000" w:firstRow="0" w:lastRow="0" w:firstColumn="0" w:lastColumn="0" w:oddVBand="0" w:evenVBand="0" w:oddHBand="0" w:evenHBand="0" w:firstRowFirstColumn="0" w:firstRowLastColumn="0" w:lastRowFirstColumn="0" w:lastRowLastColumn="0"/>
            </w:pPr>
            <w:r>
              <w:t>Data domains, contracts, retention, and governance are still TBD in.</w:t>
            </w:r>
          </w:p>
        </w:tc>
      </w:tr>
      <w:tr w:rsidR="00D81221" w14:paraId="22EE19E0"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9DC" w14:textId="77777777" w:rsidR="00D81221" w:rsidRDefault="00000000">
            <w:r>
              <w:t>Ambiguous tenancy/isolation strategy</w:t>
            </w:r>
          </w:p>
        </w:tc>
        <w:tc>
          <w:tcPr>
            <w:tcW w:w="0" w:type="auto"/>
            <w:vAlign w:val="center"/>
          </w:tcPr>
          <w:p w14:paraId="22EE19DD" w14:textId="77777777" w:rsidR="00D81221" w:rsidRDefault="00000000">
            <w:pPr>
              <w:cnfStyle w:val="000000100000" w:firstRow="0" w:lastRow="0" w:firstColumn="0" w:lastColumn="0" w:oddVBand="0" w:evenVBand="0" w:oddHBand="1" w:evenHBand="0" w:firstRowFirstColumn="0" w:firstRowLastColumn="0" w:lastRowFirstColumn="0" w:lastRowLastColumn="0"/>
            </w:pPr>
            <w:r>
              <w:t>Architecture / Security</w:t>
            </w:r>
          </w:p>
        </w:tc>
        <w:tc>
          <w:tcPr>
            <w:tcW w:w="0" w:type="auto"/>
            <w:vAlign w:val="center"/>
          </w:tcPr>
          <w:p w14:paraId="22EE19DE" w14:textId="77777777" w:rsidR="00D81221" w:rsidRDefault="00000000">
            <w:pPr>
              <w:cnfStyle w:val="000000100000" w:firstRow="0" w:lastRow="0" w:firstColumn="0" w:lastColumn="0" w:oddVBand="0" w:evenVBand="0" w:oddHBand="1" w:evenHBand="0" w:firstRowFirstColumn="0" w:firstRowLastColumn="0" w:lastRowFirstColumn="0" w:lastRowLastColumn="0"/>
            </w:pPr>
            <w:r>
              <w:t>Medium-High</w:t>
            </w:r>
          </w:p>
        </w:tc>
        <w:tc>
          <w:tcPr>
            <w:tcW w:w="0" w:type="auto"/>
            <w:vAlign w:val="center"/>
          </w:tcPr>
          <w:p w14:paraId="22EE19DF" w14:textId="489C28DD" w:rsidR="00D81221" w:rsidRDefault="004B5C69">
            <w:pPr>
              <w:cnfStyle w:val="000000100000" w:firstRow="0" w:lastRow="0" w:firstColumn="0" w:lastColumn="0" w:oddVBand="0" w:evenVBand="0" w:oddHBand="1" w:evenHBand="0" w:firstRowFirstColumn="0" w:firstRowLastColumn="0" w:lastRowFirstColumn="0" w:lastRowLastColumn="0"/>
            </w:pPr>
            <w:r>
              <w:t>The discussion raises separate-tenant testing as important for tenant-level controls, but retrieved architecture snippets do not yet define a full decision framework.</w:t>
            </w:r>
          </w:p>
        </w:tc>
      </w:tr>
      <w:tr w:rsidR="00D81221" w14:paraId="22EE19E5" w14:textId="77777777" w:rsidTr="00D81221">
        <w:tc>
          <w:tcPr>
            <w:cnfStyle w:val="001000000000" w:firstRow="0" w:lastRow="0" w:firstColumn="1" w:lastColumn="0" w:oddVBand="0" w:evenVBand="0" w:oddHBand="0" w:evenHBand="0" w:firstRowFirstColumn="0" w:firstRowLastColumn="0" w:lastRowFirstColumn="0" w:lastRowLastColumn="0"/>
            <w:tcW w:w="0" w:type="auto"/>
            <w:vAlign w:val="center"/>
          </w:tcPr>
          <w:p w14:paraId="22EE19E1" w14:textId="77777777" w:rsidR="00D81221" w:rsidRDefault="00000000">
            <w:r>
              <w:t>Governance-to-implementation gap</w:t>
            </w:r>
          </w:p>
        </w:tc>
        <w:tc>
          <w:tcPr>
            <w:tcW w:w="0" w:type="auto"/>
            <w:vAlign w:val="center"/>
          </w:tcPr>
          <w:p w14:paraId="22EE19E2" w14:textId="77777777" w:rsidR="00D81221" w:rsidRDefault="00000000">
            <w:pPr>
              <w:cnfStyle w:val="000000000000" w:firstRow="0" w:lastRow="0" w:firstColumn="0" w:lastColumn="0" w:oddVBand="0" w:evenVBand="0" w:oddHBand="0" w:evenHBand="0" w:firstRowFirstColumn="0" w:firstRowLastColumn="0" w:lastRowFirstColumn="0" w:lastRowLastColumn="0"/>
            </w:pPr>
            <w:r>
              <w:t>Operational</w:t>
            </w:r>
          </w:p>
        </w:tc>
        <w:tc>
          <w:tcPr>
            <w:tcW w:w="0" w:type="auto"/>
            <w:vAlign w:val="center"/>
          </w:tcPr>
          <w:p w14:paraId="22EE19E3" w14:textId="77777777" w:rsidR="00D81221" w:rsidRDefault="00000000">
            <w:pPr>
              <w:cnfStyle w:val="000000000000" w:firstRow="0" w:lastRow="0" w:firstColumn="0" w:lastColumn="0" w:oddVBand="0" w:evenVBand="0" w:oddHBand="0" w:evenHBand="0" w:firstRowFirstColumn="0" w:firstRowLastColumn="0" w:lastRowFirstColumn="0" w:lastRowLastColumn="0"/>
            </w:pPr>
            <w:r>
              <w:t>High</w:t>
            </w:r>
          </w:p>
        </w:tc>
        <w:tc>
          <w:tcPr>
            <w:tcW w:w="0" w:type="auto"/>
            <w:vAlign w:val="center"/>
          </w:tcPr>
          <w:p w14:paraId="22EE19E4" w14:textId="74364095" w:rsidR="00D81221" w:rsidRDefault="004B5C69">
            <w:pPr>
              <w:cnfStyle w:val="000000000000" w:firstRow="0" w:lastRow="0" w:firstColumn="0" w:lastColumn="0" w:oddVBand="0" w:evenVBand="0" w:oddHBand="0" w:evenHBand="0" w:firstRowFirstColumn="0" w:firstRowLastColumn="0" w:lastRowFirstColumn="0" w:lastRowLastColumn="0"/>
            </w:pPr>
            <w:r>
              <w:t xml:space="preserve">The governance paper intentionally excludes implementation, but the target </w:t>
            </w:r>
            <w:r>
              <w:lastRenderedPageBreak/>
              <w:t>operating model depends on enforceable policy/code patterns.</w:t>
            </w:r>
          </w:p>
        </w:tc>
      </w:tr>
      <w:tr w:rsidR="00D81221" w14:paraId="22EE19EA"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9E6" w14:textId="77777777" w:rsidR="00D81221" w:rsidRDefault="00000000">
            <w:r>
              <w:lastRenderedPageBreak/>
              <w:t>Scope drift between cantonal vision and provider-internal solution</w:t>
            </w:r>
          </w:p>
        </w:tc>
        <w:tc>
          <w:tcPr>
            <w:tcW w:w="0" w:type="auto"/>
            <w:vAlign w:val="center"/>
          </w:tcPr>
          <w:p w14:paraId="22EE19E7" w14:textId="77777777" w:rsidR="00D81221" w:rsidRDefault="00000000">
            <w:pPr>
              <w:cnfStyle w:val="000000100000" w:firstRow="0" w:lastRow="0" w:firstColumn="0" w:lastColumn="0" w:oddVBand="0" w:evenVBand="0" w:oddHBand="1" w:evenHBand="0" w:firstRowFirstColumn="0" w:firstRowLastColumn="0" w:lastRowFirstColumn="0" w:lastRowLastColumn="0"/>
            </w:pPr>
            <w:r>
              <w:t>Product / Governance</w:t>
            </w:r>
          </w:p>
        </w:tc>
        <w:tc>
          <w:tcPr>
            <w:tcW w:w="0" w:type="auto"/>
            <w:vAlign w:val="center"/>
          </w:tcPr>
          <w:p w14:paraId="22EE19E8" w14:textId="77777777" w:rsidR="00D81221" w:rsidRDefault="00000000">
            <w:pPr>
              <w:cnfStyle w:val="000000100000" w:firstRow="0" w:lastRow="0" w:firstColumn="0" w:lastColumn="0" w:oddVBand="0" w:evenVBand="0" w:oddHBand="1" w:evenHBand="0" w:firstRowFirstColumn="0" w:firstRowLastColumn="0" w:lastRowFirstColumn="0" w:lastRowLastColumn="0"/>
            </w:pPr>
            <w:r>
              <w:t>Medium-High</w:t>
            </w:r>
          </w:p>
        </w:tc>
        <w:tc>
          <w:tcPr>
            <w:tcW w:w="0" w:type="auto"/>
            <w:vAlign w:val="center"/>
          </w:tcPr>
          <w:p w14:paraId="22EE19E9" w14:textId="420E4950" w:rsidR="00D81221" w:rsidRDefault="004B5C69">
            <w:pPr>
              <w:cnfStyle w:val="000000100000" w:firstRow="0" w:lastRow="0" w:firstColumn="0" w:lastColumn="0" w:oddVBand="0" w:evenVBand="0" w:oddHBand="1" w:evenHBand="0" w:firstRowFirstColumn="0" w:firstRowLastColumn="0" w:lastRowFirstColumn="0" w:lastRowLastColumn="0"/>
            </w:pPr>
            <w:r>
              <w:t>The repository narrows to provider-internal deployment while the broader framing still references cantonal/public-sector use.</w:t>
            </w:r>
          </w:p>
        </w:tc>
      </w:tr>
      <w:tr w:rsidR="00D81221" w14:paraId="22EE19EF" w14:textId="77777777" w:rsidTr="00D81221">
        <w:tc>
          <w:tcPr>
            <w:cnfStyle w:val="001000000000" w:firstRow="0" w:lastRow="0" w:firstColumn="1" w:lastColumn="0" w:oddVBand="0" w:evenVBand="0" w:oddHBand="0" w:evenHBand="0" w:firstRowFirstColumn="0" w:firstRowLastColumn="0" w:lastRowFirstColumn="0" w:lastRowLastColumn="0"/>
            <w:tcW w:w="0" w:type="auto"/>
            <w:vAlign w:val="center"/>
          </w:tcPr>
          <w:p w14:paraId="22EE19EB" w14:textId="77777777" w:rsidR="00D81221" w:rsidRDefault="00000000">
            <w:r>
              <w:t>Evidence model without full artefact content</w:t>
            </w:r>
          </w:p>
        </w:tc>
        <w:tc>
          <w:tcPr>
            <w:tcW w:w="0" w:type="auto"/>
            <w:vAlign w:val="center"/>
          </w:tcPr>
          <w:p w14:paraId="22EE19EC" w14:textId="77777777" w:rsidR="00D81221" w:rsidRDefault="00000000">
            <w:pPr>
              <w:cnfStyle w:val="000000000000" w:firstRow="0" w:lastRow="0" w:firstColumn="0" w:lastColumn="0" w:oddVBand="0" w:evenVBand="0" w:oddHBand="0" w:evenHBand="0" w:firstRowFirstColumn="0" w:firstRowLastColumn="0" w:lastRowFirstColumn="0" w:lastRowLastColumn="0"/>
            </w:pPr>
            <w:r>
              <w:t>Delivery / Audit</w:t>
            </w:r>
          </w:p>
        </w:tc>
        <w:tc>
          <w:tcPr>
            <w:tcW w:w="0" w:type="auto"/>
            <w:vAlign w:val="center"/>
          </w:tcPr>
          <w:p w14:paraId="22EE19ED" w14:textId="77777777" w:rsidR="00D81221" w:rsidRDefault="00000000">
            <w:pPr>
              <w:cnfStyle w:val="000000000000" w:firstRow="0" w:lastRow="0" w:firstColumn="0" w:lastColumn="0" w:oddVBand="0" w:evenVBand="0" w:oddHBand="0" w:evenHBand="0" w:firstRowFirstColumn="0" w:firstRowLastColumn="0" w:lastRowFirstColumn="0" w:lastRowLastColumn="0"/>
            </w:pPr>
            <w:r>
              <w:t>Medium</w:t>
            </w:r>
          </w:p>
        </w:tc>
        <w:tc>
          <w:tcPr>
            <w:tcW w:w="0" w:type="auto"/>
            <w:vAlign w:val="center"/>
          </w:tcPr>
          <w:p w14:paraId="22EE19EE" w14:textId="059681C1" w:rsidR="00D81221" w:rsidRDefault="004B5C69">
            <w:pPr>
              <w:cnfStyle w:val="000000000000" w:firstRow="0" w:lastRow="0" w:firstColumn="0" w:lastColumn="0" w:oddVBand="0" w:evenVBand="0" w:oddHBand="0" w:evenHBand="0" w:firstRowFirstColumn="0" w:firstRowLastColumn="0" w:lastRowFirstColumn="0" w:lastRowLastColumn="0"/>
            </w:pPr>
            <w:r>
              <w:t>TEST quality gates are strong, but full inspectable PRD/SD/COMPLIANCE/SECURITY content was not available in the retrieved results.</w:t>
            </w:r>
          </w:p>
        </w:tc>
      </w:tr>
    </w:tbl>
    <w:p w14:paraId="22EE19F0" w14:textId="77777777" w:rsidR="00D81221" w:rsidRDefault="00D81221">
      <w:pPr>
        <w:pBdr>
          <w:top w:val="single" w:sz="12" w:space="0" w:color="auto"/>
        </w:pBdr>
        <w:spacing w:after="0"/>
      </w:pPr>
    </w:p>
    <w:p w14:paraId="22EE19F1" w14:textId="77777777" w:rsidR="00D81221" w:rsidRDefault="00000000">
      <w:pPr>
        <w:pStyle w:val="Heading2"/>
      </w:pPr>
      <w:r>
        <w:t>7. Architecture &amp; Governance Alignment Review</w:t>
      </w:r>
    </w:p>
    <w:p w14:paraId="22EE19F2" w14:textId="3F63E2A6" w:rsidR="00D81221" w:rsidRDefault="004B5C69">
      <w:r>
        <w:t>There is partial but not complete alignment between governance and architecture. The alignment is strongest in the operating principles: Git-first delivery, policy-as-code, approval gates, IAM discipline, auditability, and Zero Trust-style segmentation are consistent across transcript and repository.</w:t>
      </w:r>
    </w:p>
    <w:p w14:paraId="22EE19F3" w14:textId="77777777" w:rsidR="00D81221" w:rsidRDefault="00000000">
      <w:r>
        <w:t>The misalignment appears where governance remains abstract but architecture has already taken hard positions. The clearest examples are:</w:t>
      </w:r>
    </w:p>
    <w:p w14:paraId="22EE19F4" w14:textId="77777777" w:rsidR="00D81221" w:rsidRDefault="00000000">
      <w:pPr>
        <w:pStyle w:val="ListParagraph"/>
        <w:numPr>
          <w:ilvl w:val="0"/>
          <w:numId w:val="12"/>
        </w:numPr>
      </w:pPr>
      <w:r>
        <w:t>single-provider deployment boundary;</w:t>
      </w:r>
    </w:p>
    <w:p w14:paraId="22EE19F5" w14:textId="77777777" w:rsidR="00D81221" w:rsidRDefault="00000000">
      <w:pPr>
        <w:pStyle w:val="ListParagraph"/>
        <w:numPr>
          <w:ilvl w:val="0"/>
          <w:numId w:val="12"/>
        </w:numPr>
      </w:pPr>
      <w:r>
        <w:t>Swiss-region primary/secondary placement;</w:t>
      </w:r>
    </w:p>
    <w:p w14:paraId="22EE19F6" w14:textId="77777777" w:rsidR="00D81221" w:rsidRDefault="00000000">
      <w:pPr>
        <w:pStyle w:val="ListParagraph"/>
        <w:numPr>
          <w:ilvl w:val="0"/>
          <w:numId w:val="12"/>
        </w:numPr>
      </w:pPr>
      <w:r>
        <w:t>dedicated React web app as MVP-safe channel;</w:t>
      </w:r>
    </w:p>
    <w:p w14:paraId="22EE19F7" w14:textId="32EB7E24" w:rsidR="00D81221" w:rsidRDefault="004B5C69">
      <w:pPr>
        <w:pStyle w:val="ListParagraph"/>
        <w:numPr>
          <w:ilvl w:val="0"/>
          <w:numId w:val="12"/>
        </w:numPr>
      </w:pPr>
      <w:r>
        <w:t>exclusion of preview services from regulated MVP critical path.</w:t>
      </w:r>
    </w:p>
    <w:p w14:paraId="22EE19F8" w14:textId="7C2D5CDB" w:rsidR="00D81221" w:rsidRDefault="004B5C69">
      <w:r>
        <w:t>Those architecture decisions are valuable, but they need to be reflected back into governance artefacts as approved constraints, otherwise they remain implementation opinions rather than governed decisions.</w:t>
      </w:r>
    </w:p>
    <w:p w14:paraId="22EE19F9" w14:textId="77777777" w:rsidR="00D81221" w:rsidRDefault="00D81221">
      <w:pPr>
        <w:pBdr>
          <w:top w:val="single" w:sz="12" w:space="0" w:color="auto"/>
        </w:pBdr>
        <w:spacing w:after="0"/>
      </w:pPr>
    </w:p>
    <w:p w14:paraId="22EE19FA" w14:textId="77777777" w:rsidR="00D81221" w:rsidRDefault="00000000">
      <w:pPr>
        <w:pStyle w:val="Heading2"/>
      </w:pPr>
      <w:r>
        <w:t>8. Compliance Evaluation (Swiss public sector context)</w:t>
      </w:r>
    </w:p>
    <w:p w14:paraId="22EE19FB" w14:textId="64FFDA62" w:rsidR="00D81221" w:rsidRDefault="004B5C69">
      <w:r>
        <w:t>The strongest compliance insight from the AMA session is that cantonal deployments require canton-specific legal analysis, not just a generic Swiss or federal checklist. That should become the compliance baseline for public-sector governance.</w:t>
      </w:r>
    </w:p>
    <w:p w14:paraId="22EE19FC" w14:textId="1CA6874B" w:rsidR="00D81221" w:rsidRDefault="004B5C69">
      <w:r>
        <w:t>The repository architecture is conservative and therefore directionally sound for regulated workloads: Swiss regions, minimal public exposure, managed identity, RBAC, Key Vault, Purview, Monitor, policy enforcement, and auditable end-to-end traceability all align with a controlled public-sector posture.</w:t>
      </w:r>
    </w:p>
    <w:p w14:paraId="22EE19FD" w14:textId="7C30C987" w:rsidR="00D81221" w:rsidRDefault="004B5C69">
      <w:r>
        <w:lastRenderedPageBreak/>
        <w:t>However, full compliance judgement cannot yet be final because the directly retrieved evidence does not expose the detailed contents of COMPLIANCE.md, SECURITY.md, PRD.md, or SD.md. Additionally, DATA.md is incomplete, and therefore retention, classification, lineage, and contract obligations are not yet evidenced end-to-end.</w:t>
      </w:r>
    </w:p>
    <w:p w14:paraId="22EE19FE" w14:textId="77777777" w:rsidR="00D81221" w:rsidRDefault="00D81221">
      <w:pPr>
        <w:pBdr>
          <w:top w:val="single" w:sz="12" w:space="0" w:color="auto"/>
        </w:pBdr>
        <w:spacing w:after="0"/>
      </w:pPr>
    </w:p>
    <w:p w14:paraId="22EE19FF" w14:textId="77777777" w:rsidR="00D81221" w:rsidRDefault="00000000">
      <w:pPr>
        <w:pStyle w:val="Heading2"/>
      </w:pPr>
      <w:r>
        <w:t>9. Recommendations &amp; Next Steps</w:t>
      </w:r>
    </w:p>
    <w:p w14:paraId="22EE1A00" w14:textId="63723910" w:rsidR="00D81221" w:rsidRPr="005C1510" w:rsidRDefault="004B5C69">
      <w:pPr>
        <w:pStyle w:val="ListParagraph"/>
        <w:numPr>
          <w:ilvl w:val="0"/>
          <w:numId w:val="13"/>
        </w:numPr>
      </w:pPr>
      <w:proofErr w:type="spellStart"/>
      <w:r w:rsidRPr="005C1510">
        <w:t>Normalise</w:t>
      </w:r>
      <w:proofErr w:type="spellEnd"/>
      <w:r w:rsidRPr="005C1510">
        <w:t xml:space="preserve"> scope immediately: explicitly state whether the review target is a cantonal governance framework, a provider-internal hospital platform, or a mapped relationship between the two.</w:t>
      </w:r>
    </w:p>
    <w:p w14:paraId="22EE1A01" w14:textId="24152D99" w:rsidR="00D81221" w:rsidRPr="005C1510" w:rsidRDefault="004B5C69">
      <w:pPr>
        <w:pStyle w:val="ListParagraph"/>
        <w:numPr>
          <w:ilvl w:val="0"/>
          <w:numId w:val="13"/>
        </w:numPr>
      </w:pPr>
      <w:r w:rsidRPr="005C1510">
        <w:t>Add a formal compliance basis table per target canton: law, control objective, technical enforcement, contractual control, validation evidence.</w:t>
      </w:r>
    </w:p>
    <w:p w14:paraId="22EE1A02" w14:textId="4F0431FA" w:rsidR="00D81221" w:rsidRPr="005C1510" w:rsidRDefault="004B5C69">
      <w:pPr>
        <w:pStyle w:val="ListParagraph"/>
        <w:numPr>
          <w:ilvl w:val="0"/>
          <w:numId w:val="13"/>
        </w:numPr>
      </w:pPr>
      <w:r w:rsidRPr="005C1510">
        <w:t>Complete the data artefacts before further architectural review: data domains, contracts, retention, ownership, classification, and lineage.</w:t>
      </w:r>
    </w:p>
    <w:p w14:paraId="22EE1A03" w14:textId="26BBE2F2" w:rsidR="00D81221" w:rsidRPr="005C1510" w:rsidRDefault="004B5C69">
      <w:pPr>
        <w:pStyle w:val="ListParagraph"/>
        <w:numPr>
          <w:ilvl w:val="0"/>
          <w:numId w:val="13"/>
        </w:numPr>
      </w:pPr>
      <w:r w:rsidRPr="005C1510">
        <w:t>Promote tenant/isolation rules into a decision record: tenant-level controls, service-level environments, permitted cross-tenant patterns, and test-before-prod rules.</w:t>
      </w:r>
    </w:p>
    <w:p w14:paraId="22EE1A04" w14:textId="023DC958" w:rsidR="00D81221" w:rsidRPr="005C1510" w:rsidRDefault="004B5C69">
      <w:pPr>
        <w:pStyle w:val="ListParagraph"/>
        <w:numPr>
          <w:ilvl w:val="0"/>
          <w:numId w:val="13"/>
        </w:numPr>
      </w:pPr>
      <w:r w:rsidRPr="005C1510">
        <w:t>Create a linked governance-to-architecture traceability table as a first-class artefact rather than leaving it implicit in review discussion.</w:t>
      </w:r>
    </w:p>
    <w:p w14:paraId="22EE1A05" w14:textId="209E006C" w:rsidR="00D81221" w:rsidRPr="005C1510" w:rsidRDefault="004B5C69">
      <w:pPr>
        <w:pStyle w:val="ListParagraph"/>
        <w:numPr>
          <w:ilvl w:val="0"/>
          <w:numId w:val="13"/>
        </w:numPr>
      </w:pPr>
      <w:r w:rsidRPr="005C1510">
        <w:t>Extend risk management beyond DR/backup to include compliance trigger points, political escalation, sovereign control trade-offs, and release-blocking decision criteria.</w:t>
      </w:r>
    </w:p>
    <w:p w14:paraId="22EE1A06" w14:textId="77777777" w:rsidR="00D81221" w:rsidRDefault="00D81221">
      <w:pPr>
        <w:pBdr>
          <w:top w:val="single" w:sz="12" w:space="0" w:color="auto"/>
        </w:pBdr>
        <w:spacing w:after="0"/>
      </w:pPr>
    </w:p>
    <w:p w14:paraId="22EE1A07" w14:textId="77777777" w:rsidR="00D81221" w:rsidRDefault="00000000">
      <w:pPr>
        <w:pStyle w:val="Heading2"/>
      </w:pPr>
      <w:r>
        <w:t>10. Traceability Matrix (initial draft)</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1894"/>
        <w:gridCol w:w="2339"/>
        <w:gridCol w:w="2087"/>
      </w:tblGrid>
      <w:tr w:rsidR="00D81221" w14:paraId="22EE1A0C" w14:textId="77777777" w:rsidTr="00D81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A08" w14:textId="77777777" w:rsidR="00D81221" w:rsidRDefault="00000000">
            <w:r>
              <w:t>Requirement</w:t>
            </w:r>
          </w:p>
        </w:tc>
        <w:tc>
          <w:tcPr>
            <w:tcW w:w="0" w:type="auto"/>
            <w:vAlign w:val="center"/>
          </w:tcPr>
          <w:p w14:paraId="22EE1A09" w14:textId="77777777" w:rsidR="00D81221" w:rsidRDefault="00000000">
            <w:pPr>
              <w:cnfStyle w:val="100000000000" w:firstRow="1" w:lastRow="0" w:firstColumn="0" w:lastColumn="0" w:oddVBand="0" w:evenVBand="0" w:oddHBand="0" w:evenHBand="0" w:firstRowFirstColumn="0" w:firstRowLastColumn="0" w:lastRowFirstColumn="0" w:lastRowLastColumn="0"/>
            </w:pPr>
            <w:r>
              <w:t>Control / Principle</w:t>
            </w:r>
          </w:p>
        </w:tc>
        <w:tc>
          <w:tcPr>
            <w:tcW w:w="0" w:type="auto"/>
            <w:vAlign w:val="center"/>
          </w:tcPr>
          <w:p w14:paraId="22EE1A0A" w14:textId="77777777" w:rsidR="00D81221" w:rsidRDefault="00000000">
            <w:pPr>
              <w:cnfStyle w:val="100000000000" w:firstRow="1" w:lastRow="0" w:firstColumn="0" w:lastColumn="0" w:oddVBand="0" w:evenVBand="0" w:oddHBand="0" w:evenHBand="0" w:firstRowFirstColumn="0" w:firstRowLastColumn="0" w:lastRowFirstColumn="0" w:lastRowLastColumn="0"/>
            </w:pPr>
            <w:r>
              <w:t>Architecture Decision</w:t>
            </w:r>
          </w:p>
        </w:tc>
        <w:tc>
          <w:tcPr>
            <w:tcW w:w="0" w:type="auto"/>
            <w:vAlign w:val="center"/>
          </w:tcPr>
          <w:p w14:paraId="22EE1A0B" w14:textId="77777777" w:rsidR="00D81221" w:rsidRDefault="00000000">
            <w:pPr>
              <w:cnfStyle w:val="100000000000" w:firstRow="1" w:lastRow="0" w:firstColumn="0" w:lastColumn="0" w:oddVBand="0" w:evenVBand="0" w:oddHBand="0" w:evenHBand="0" w:firstRowFirstColumn="0" w:firstRowLastColumn="0" w:lastRowFirstColumn="0" w:lastRowLastColumn="0"/>
            </w:pPr>
            <w:r>
              <w:t>Source</w:t>
            </w:r>
          </w:p>
        </w:tc>
      </w:tr>
      <w:tr w:rsidR="00D81221" w14:paraId="22EE1A11"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A0D" w14:textId="77777777" w:rsidR="00D81221" w:rsidRDefault="00000000">
            <w:r>
              <w:t xml:space="preserve">Azure operations must be governed centrally for </w:t>
            </w:r>
            <w:proofErr w:type="spellStart"/>
            <w:r>
              <w:t>decentralised</w:t>
            </w:r>
            <w:proofErr w:type="spellEnd"/>
            <w:r>
              <w:t xml:space="preserve"> departments</w:t>
            </w:r>
          </w:p>
        </w:tc>
        <w:tc>
          <w:tcPr>
            <w:tcW w:w="0" w:type="auto"/>
            <w:vAlign w:val="center"/>
          </w:tcPr>
          <w:p w14:paraId="22EE1A0E" w14:textId="77777777" w:rsidR="00D81221" w:rsidRDefault="00000000">
            <w:pPr>
              <w:cnfStyle w:val="000000100000" w:firstRow="0" w:lastRow="0" w:firstColumn="0" w:lastColumn="0" w:oddVBand="0" w:evenVBand="0" w:oddHBand="1" w:evenHBand="0" w:firstRowFirstColumn="0" w:firstRowLastColumn="0" w:lastRowFirstColumn="0" w:lastRowLastColumn="0"/>
            </w:pPr>
            <w:r>
              <w:t>Governance-first operating model</w:t>
            </w:r>
          </w:p>
        </w:tc>
        <w:tc>
          <w:tcPr>
            <w:tcW w:w="0" w:type="auto"/>
            <w:vAlign w:val="center"/>
          </w:tcPr>
          <w:p w14:paraId="22EE1A0F" w14:textId="77777777" w:rsidR="00D81221" w:rsidRDefault="00000000">
            <w:pPr>
              <w:cnfStyle w:val="000000100000" w:firstRow="0" w:lastRow="0" w:firstColumn="0" w:lastColumn="0" w:oddVBand="0" w:evenVBand="0" w:oddHBand="1" w:evenHBand="0" w:firstRowFirstColumn="0" w:firstRowLastColumn="0" w:lastRowFirstColumn="0" w:lastRowLastColumn="0"/>
            </w:pPr>
            <w:r>
              <w:t>Central policy enforcement, approval gates, auditable release evidence</w:t>
            </w:r>
          </w:p>
        </w:tc>
        <w:tc>
          <w:tcPr>
            <w:tcW w:w="0" w:type="auto"/>
            <w:vAlign w:val="center"/>
          </w:tcPr>
          <w:p w14:paraId="22EE1A10" w14:textId="7031C5C3" w:rsidR="00D81221" w:rsidRDefault="004B5C69">
            <w:pPr>
              <w:cnfStyle w:val="000000100000" w:firstRow="0" w:lastRow="0" w:firstColumn="0" w:lastColumn="0" w:oddVBand="0" w:evenVBand="0" w:oddHBand="1" w:evenHBand="0" w:firstRowFirstColumn="0" w:firstRowLastColumn="0" w:lastRowFirstColumn="0" w:lastRowLastColumn="0"/>
            </w:pPr>
            <w:r>
              <w:t xml:space="preserve">AMA Compliance Review Session with </w:t>
            </w:r>
            <w:r w:rsidR="005C1510">
              <w:t>Cantonal IT CSA employee</w:t>
            </w:r>
            <w:r>
              <w:t>.docx</w:t>
            </w:r>
          </w:p>
        </w:tc>
      </w:tr>
      <w:tr w:rsidR="00D81221" w14:paraId="22EE1A16" w14:textId="77777777" w:rsidTr="00D81221">
        <w:tc>
          <w:tcPr>
            <w:cnfStyle w:val="001000000000" w:firstRow="0" w:lastRow="0" w:firstColumn="1" w:lastColumn="0" w:oddVBand="0" w:evenVBand="0" w:oddHBand="0" w:evenHBand="0" w:firstRowFirstColumn="0" w:firstRowLastColumn="0" w:lastRowFirstColumn="0" w:lastRowLastColumn="0"/>
            <w:tcW w:w="0" w:type="auto"/>
            <w:vAlign w:val="center"/>
          </w:tcPr>
          <w:p w14:paraId="22EE1A12" w14:textId="77777777" w:rsidR="00D81221" w:rsidRDefault="00000000">
            <w:r>
              <w:t>Replace click-ops with repository/pipeline-driven delivery</w:t>
            </w:r>
          </w:p>
        </w:tc>
        <w:tc>
          <w:tcPr>
            <w:tcW w:w="0" w:type="auto"/>
            <w:vAlign w:val="center"/>
          </w:tcPr>
          <w:p w14:paraId="22EE1A13" w14:textId="77777777" w:rsidR="00D81221" w:rsidRDefault="00000000">
            <w:pPr>
              <w:cnfStyle w:val="000000000000" w:firstRow="0" w:lastRow="0" w:firstColumn="0" w:lastColumn="0" w:oddVBand="0" w:evenVBand="0" w:oddHBand="0" w:evenHBand="0" w:firstRowFirstColumn="0" w:firstRowLastColumn="0" w:lastRowFirstColumn="0" w:lastRowLastColumn="0"/>
            </w:pPr>
            <w:r>
              <w:t xml:space="preserve">Policy-as-code / </w:t>
            </w:r>
            <w:proofErr w:type="spellStart"/>
            <w:r>
              <w:t>IaC</w:t>
            </w:r>
            <w:proofErr w:type="spellEnd"/>
          </w:p>
        </w:tc>
        <w:tc>
          <w:tcPr>
            <w:tcW w:w="0" w:type="auto"/>
            <w:vAlign w:val="center"/>
          </w:tcPr>
          <w:p w14:paraId="22EE1A14" w14:textId="77777777" w:rsidR="00D81221" w:rsidRDefault="00000000">
            <w:pPr>
              <w:cnfStyle w:val="000000000000" w:firstRow="0" w:lastRow="0" w:firstColumn="0" w:lastColumn="0" w:oddVBand="0" w:evenVBand="0" w:oddHBand="0" w:evenHBand="0" w:firstRowFirstColumn="0" w:firstRowLastColumn="0" w:lastRowFirstColumn="0" w:lastRowLastColumn="0"/>
            </w:pPr>
            <w:r>
              <w:t xml:space="preserve">Repeatable </w:t>
            </w:r>
            <w:proofErr w:type="spellStart"/>
            <w:r>
              <w:t>IaC</w:t>
            </w:r>
            <w:proofErr w:type="spellEnd"/>
            <w:r>
              <w:t xml:space="preserve"> deployment workflow; Bicep validation and what-if checks</w:t>
            </w:r>
          </w:p>
        </w:tc>
        <w:tc>
          <w:tcPr>
            <w:tcW w:w="0" w:type="auto"/>
            <w:vAlign w:val="center"/>
          </w:tcPr>
          <w:p w14:paraId="22EE1A15" w14:textId="6869EB5C" w:rsidR="00D81221" w:rsidRDefault="004B5C69">
            <w:pPr>
              <w:cnfStyle w:val="000000000000" w:firstRow="0" w:lastRow="0" w:firstColumn="0" w:lastColumn="0" w:oddVBand="0" w:evenVBand="0" w:oddHBand="0" w:evenHBand="0" w:firstRowFirstColumn="0" w:firstRowLastColumn="0" w:lastRowFirstColumn="0" w:lastRowLastColumn="0"/>
            </w:pPr>
            <w:r>
              <w:t xml:space="preserve">AMA Compliance Review Session with </w:t>
            </w:r>
            <w:r w:rsidR="005C1510">
              <w:t>Cantonal IT CSA employee</w:t>
            </w:r>
            <w:r>
              <w:t>.docx</w:t>
            </w:r>
          </w:p>
        </w:tc>
      </w:tr>
      <w:tr w:rsidR="00D81221" w14:paraId="22EE1A1B"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A17" w14:textId="77777777" w:rsidR="00D81221" w:rsidRDefault="00000000">
            <w:r>
              <w:t>Security must be built in, including Zero Trust principles</w:t>
            </w:r>
          </w:p>
        </w:tc>
        <w:tc>
          <w:tcPr>
            <w:tcW w:w="0" w:type="auto"/>
            <w:vAlign w:val="center"/>
          </w:tcPr>
          <w:p w14:paraId="22EE1A18" w14:textId="77777777" w:rsidR="00D81221" w:rsidRDefault="00000000">
            <w:pPr>
              <w:cnfStyle w:val="000000100000" w:firstRow="0" w:lastRow="0" w:firstColumn="0" w:lastColumn="0" w:oddVBand="0" w:evenVBand="0" w:oddHBand="1" w:evenHBand="0" w:firstRowFirstColumn="0" w:firstRowLastColumn="0" w:lastRowFirstColumn="0" w:lastRowLastColumn="0"/>
            </w:pPr>
            <w:r>
              <w:t>Least privilege, segmentation, private connectivity</w:t>
            </w:r>
          </w:p>
        </w:tc>
        <w:tc>
          <w:tcPr>
            <w:tcW w:w="0" w:type="auto"/>
            <w:vAlign w:val="center"/>
          </w:tcPr>
          <w:p w14:paraId="22EE1A19" w14:textId="77777777" w:rsidR="00D81221" w:rsidRDefault="00000000">
            <w:pPr>
              <w:cnfStyle w:val="000000100000" w:firstRow="0" w:lastRow="0" w:firstColumn="0" w:lastColumn="0" w:oddVBand="0" w:evenVBand="0" w:oddHBand="1" w:evenHBand="0" w:firstRowFirstColumn="0" w:firstRowLastColumn="0" w:lastRowFirstColumn="0" w:lastRowLastColumn="0"/>
            </w:pPr>
            <w:r>
              <w:t xml:space="preserve">Hub-spoke segmentation, minimal public exposure, managed </w:t>
            </w:r>
            <w:r>
              <w:lastRenderedPageBreak/>
              <w:t>identity, RBAC, Key Vault</w:t>
            </w:r>
          </w:p>
        </w:tc>
        <w:tc>
          <w:tcPr>
            <w:tcW w:w="0" w:type="auto"/>
            <w:vAlign w:val="center"/>
          </w:tcPr>
          <w:p w14:paraId="22EE1A1A" w14:textId="340083B8" w:rsidR="00D81221" w:rsidRDefault="004B5C69">
            <w:pPr>
              <w:cnfStyle w:val="000000100000" w:firstRow="0" w:lastRow="0" w:firstColumn="0" w:lastColumn="0" w:oddVBand="0" w:evenVBand="0" w:oddHBand="1" w:evenHBand="0" w:firstRowFirstColumn="0" w:firstRowLastColumn="0" w:lastRowFirstColumn="0" w:lastRowLastColumn="0"/>
            </w:pPr>
            <w:r>
              <w:lastRenderedPageBreak/>
              <w:t xml:space="preserve">AMA Compliance Review Session with </w:t>
            </w:r>
            <w:r w:rsidR="005C1510">
              <w:t>Cantonal IT CSA employee</w:t>
            </w:r>
            <w:r>
              <w:t>.docx</w:t>
            </w:r>
          </w:p>
        </w:tc>
      </w:tr>
      <w:tr w:rsidR="00D81221" w14:paraId="22EE1A20" w14:textId="77777777" w:rsidTr="00D81221">
        <w:tc>
          <w:tcPr>
            <w:cnfStyle w:val="001000000000" w:firstRow="0" w:lastRow="0" w:firstColumn="1" w:lastColumn="0" w:oddVBand="0" w:evenVBand="0" w:oddHBand="0" w:evenHBand="0" w:firstRowFirstColumn="0" w:firstRowLastColumn="0" w:lastRowFirstColumn="0" w:lastRowLastColumn="0"/>
            <w:tcW w:w="0" w:type="auto"/>
            <w:vAlign w:val="center"/>
          </w:tcPr>
          <w:p w14:paraId="22EE1A1C" w14:textId="77777777" w:rsidR="00D81221" w:rsidRDefault="00000000">
            <w:r>
              <w:t xml:space="preserve">Cantonal compliance must not be </w:t>
            </w:r>
            <w:proofErr w:type="spellStart"/>
            <w:r>
              <w:t>generalised</w:t>
            </w:r>
            <w:proofErr w:type="spellEnd"/>
            <w:r>
              <w:t xml:space="preserve"> from federal DSG</w:t>
            </w:r>
          </w:p>
        </w:tc>
        <w:tc>
          <w:tcPr>
            <w:tcW w:w="0" w:type="auto"/>
            <w:vAlign w:val="center"/>
          </w:tcPr>
          <w:p w14:paraId="22EE1A1D" w14:textId="77777777" w:rsidR="00D81221" w:rsidRDefault="00000000">
            <w:pPr>
              <w:cnfStyle w:val="000000000000" w:firstRow="0" w:lastRow="0" w:firstColumn="0" w:lastColumn="0" w:oddVBand="0" w:evenVBand="0" w:oddHBand="0" w:evenHBand="0" w:firstRowFirstColumn="0" w:firstRowLastColumn="0" w:lastRowFirstColumn="0" w:lastRowLastColumn="0"/>
            </w:pPr>
            <w:r>
              <w:t>Jurisdiction-specific compliance mapping</w:t>
            </w:r>
          </w:p>
        </w:tc>
        <w:tc>
          <w:tcPr>
            <w:tcW w:w="0" w:type="auto"/>
            <w:vAlign w:val="center"/>
          </w:tcPr>
          <w:p w14:paraId="22EE1A1E" w14:textId="77777777" w:rsidR="00D81221" w:rsidRDefault="00000000">
            <w:pPr>
              <w:cnfStyle w:val="000000000000" w:firstRow="0" w:lastRow="0" w:firstColumn="0" w:lastColumn="0" w:oddVBand="0" w:evenVBand="0" w:oddHBand="0" w:evenHBand="0" w:firstRowFirstColumn="0" w:firstRowLastColumn="0" w:lastRowFirstColumn="0" w:lastRowLastColumn="0"/>
            </w:pPr>
            <w:r>
              <w:t>Swiss-region deployment is implemented conservatively, but legal mapping still needs explicit basis</w:t>
            </w:r>
          </w:p>
        </w:tc>
        <w:tc>
          <w:tcPr>
            <w:tcW w:w="0" w:type="auto"/>
            <w:vAlign w:val="center"/>
          </w:tcPr>
          <w:p w14:paraId="22EE1A1F" w14:textId="777FE7EA" w:rsidR="00D81221" w:rsidRDefault="004B5C69">
            <w:pPr>
              <w:cnfStyle w:val="000000000000" w:firstRow="0" w:lastRow="0" w:firstColumn="0" w:lastColumn="0" w:oddVBand="0" w:evenVBand="0" w:oddHBand="0" w:evenHBand="0" w:firstRowFirstColumn="0" w:firstRowLastColumn="0" w:lastRowFirstColumn="0" w:lastRowLastColumn="0"/>
            </w:pPr>
            <w:r>
              <w:t xml:space="preserve">AMA Compliance Review Session with </w:t>
            </w:r>
            <w:r w:rsidR="005C1510">
              <w:t>Cantonal IT CSA employee</w:t>
            </w:r>
            <w:r>
              <w:t>.docx</w:t>
            </w:r>
          </w:p>
        </w:tc>
      </w:tr>
      <w:tr w:rsidR="00D81221" w14:paraId="22EE1A25"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A21" w14:textId="77777777" w:rsidR="00D81221" w:rsidRDefault="00000000">
            <w:r>
              <w:t>External actors should not become shared platform operators</w:t>
            </w:r>
          </w:p>
        </w:tc>
        <w:tc>
          <w:tcPr>
            <w:tcW w:w="0" w:type="auto"/>
            <w:vAlign w:val="center"/>
          </w:tcPr>
          <w:p w14:paraId="22EE1A22" w14:textId="77777777" w:rsidR="00D81221" w:rsidRDefault="00000000">
            <w:pPr>
              <w:cnfStyle w:val="000000100000" w:firstRow="0" w:lastRow="0" w:firstColumn="0" w:lastColumn="0" w:oddVBand="0" w:evenVBand="0" w:oddHBand="1" w:evenHBand="0" w:firstRowFirstColumn="0" w:firstRowLastColumn="0" w:lastRowFirstColumn="0" w:lastRowLastColumn="0"/>
            </w:pPr>
            <w:r>
              <w:t>Controlled integration boundary</w:t>
            </w:r>
          </w:p>
        </w:tc>
        <w:tc>
          <w:tcPr>
            <w:tcW w:w="0" w:type="auto"/>
            <w:vAlign w:val="center"/>
          </w:tcPr>
          <w:p w14:paraId="22EE1A23" w14:textId="77777777" w:rsidR="00D81221" w:rsidRDefault="00000000">
            <w:pPr>
              <w:cnfStyle w:val="000000100000" w:firstRow="0" w:lastRow="0" w:firstColumn="0" w:lastColumn="0" w:oddVBand="0" w:evenVBand="0" w:oddHBand="1" w:evenHBand="0" w:firstRowFirstColumn="0" w:firstRowLastColumn="0" w:lastRowFirstColumn="0" w:lastRowLastColumn="0"/>
            </w:pPr>
            <w:r>
              <w:t>External partners handled through Logic Apps endpoints, not direct shared platform access</w:t>
            </w:r>
          </w:p>
        </w:tc>
        <w:tc>
          <w:tcPr>
            <w:tcW w:w="0" w:type="auto"/>
            <w:vAlign w:val="center"/>
          </w:tcPr>
          <w:p w14:paraId="22EE1A24" w14:textId="10486705" w:rsidR="00D81221" w:rsidRDefault="00D81221">
            <w:pPr>
              <w:cnfStyle w:val="000000100000" w:firstRow="0" w:lastRow="0" w:firstColumn="0" w:lastColumn="0" w:oddVBand="0" w:evenVBand="0" w:oddHBand="1" w:evenHBand="0" w:firstRowFirstColumn="0" w:firstRowLastColumn="0" w:lastRowFirstColumn="0" w:lastRowLastColumn="0"/>
            </w:pPr>
          </w:p>
        </w:tc>
      </w:tr>
      <w:tr w:rsidR="00D81221" w14:paraId="22EE1A2A" w14:textId="77777777" w:rsidTr="00D81221">
        <w:tc>
          <w:tcPr>
            <w:cnfStyle w:val="001000000000" w:firstRow="0" w:lastRow="0" w:firstColumn="1" w:lastColumn="0" w:oddVBand="0" w:evenVBand="0" w:oddHBand="0" w:evenHBand="0" w:firstRowFirstColumn="0" w:firstRowLastColumn="0" w:lastRowFirstColumn="0" w:lastRowLastColumn="0"/>
            <w:tcW w:w="0" w:type="auto"/>
            <w:vAlign w:val="center"/>
          </w:tcPr>
          <w:p w14:paraId="22EE1A26" w14:textId="77777777" w:rsidR="00D81221" w:rsidRDefault="00000000">
            <w:r>
              <w:t>Operational AI must remain auditable and advisory</w:t>
            </w:r>
          </w:p>
        </w:tc>
        <w:tc>
          <w:tcPr>
            <w:tcW w:w="0" w:type="auto"/>
            <w:vAlign w:val="center"/>
          </w:tcPr>
          <w:p w14:paraId="22EE1A27" w14:textId="77777777" w:rsidR="00D81221" w:rsidRDefault="00000000">
            <w:pPr>
              <w:cnfStyle w:val="000000000000" w:firstRow="0" w:lastRow="0" w:firstColumn="0" w:lastColumn="0" w:oddVBand="0" w:evenVBand="0" w:oddHBand="0" w:evenHBand="0" w:firstRowFirstColumn="0" w:firstRowLastColumn="0" w:lastRowFirstColumn="0" w:lastRowLastColumn="0"/>
            </w:pPr>
            <w:r>
              <w:t>Human-in-the-loop / traceability</w:t>
            </w:r>
          </w:p>
        </w:tc>
        <w:tc>
          <w:tcPr>
            <w:tcW w:w="0" w:type="auto"/>
            <w:vAlign w:val="center"/>
          </w:tcPr>
          <w:p w14:paraId="22EE1A28" w14:textId="77777777" w:rsidR="00D81221" w:rsidRDefault="00000000">
            <w:pPr>
              <w:cnfStyle w:val="000000000000" w:firstRow="0" w:lastRow="0" w:firstColumn="0" w:lastColumn="0" w:oddVBand="0" w:evenVBand="0" w:oddHBand="0" w:evenHBand="0" w:firstRowFirstColumn="0" w:firstRowLastColumn="0" w:lastRowFirstColumn="0" w:lastRowLastColumn="0"/>
            </w:pPr>
            <w:r>
              <w:t>Copilot grounded on operational truth; auditable chain from source to response/action</w:t>
            </w:r>
          </w:p>
        </w:tc>
        <w:tc>
          <w:tcPr>
            <w:tcW w:w="0" w:type="auto"/>
            <w:vAlign w:val="center"/>
          </w:tcPr>
          <w:p w14:paraId="22EE1A29" w14:textId="44A4E184" w:rsidR="00D81221" w:rsidRDefault="00D81221">
            <w:pPr>
              <w:cnfStyle w:val="000000000000" w:firstRow="0" w:lastRow="0" w:firstColumn="0" w:lastColumn="0" w:oddVBand="0" w:evenVBand="0" w:oddHBand="0" w:evenHBand="0" w:firstRowFirstColumn="0" w:firstRowLastColumn="0" w:lastRowFirstColumn="0" w:lastRowLastColumn="0"/>
            </w:pPr>
          </w:p>
        </w:tc>
      </w:tr>
      <w:tr w:rsidR="00D81221" w14:paraId="22EE1A2F" w14:textId="77777777" w:rsidTr="00D81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EE1A2B" w14:textId="77777777" w:rsidR="00D81221" w:rsidRDefault="00000000">
            <w:r>
              <w:t>Data governance must define domains, contracts, retention, governance</w:t>
            </w:r>
          </w:p>
        </w:tc>
        <w:tc>
          <w:tcPr>
            <w:tcW w:w="0" w:type="auto"/>
            <w:vAlign w:val="center"/>
          </w:tcPr>
          <w:p w14:paraId="22EE1A2C" w14:textId="77777777" w:rsidR="00D81221" w:rsidRDefault="00000000">
            <w:pPr>
              <w:cnfStyle w:val="000000100000" w:firstRow="0" w:lastRow="0" w:firstColumn="0" w:lastColumn="0" w:oddVBand="0" w:evenVBand="0" w:oddHBand="1" w:evenHBand="0" w:firstRowFirstColumn="0" w:firstRowLastColumn="0" w:lastRowFirstColumn="0" w:lastRowLastColumn="0"/>
            </w:pPr>
            <w:r>
              <w:t>Data control baseline</w:t>
            </w:r>
          </w:p>
        </w:tc>
        <w:tc>
          <w:tcPr>
            <w:tcW w:w="0" w:type="auto"/>
            <w:vAlign w:val="center"/>
          </w:tcPr>
          <w:p w14:paraId="22EE1A2D" w14:textId="77777777" w:rsidR="00D81221" w:rsidRDefault="00000000">
            <w:pPr>
              <w:cnfStyle w:val="000000100000" w:firstRow="0" w:lastRow="0" w:firstColumn="0" w:lastColumn="0" w:oddVBand="0" w:evenVBand="0" w:oddHBand="1" w:evenHBand="0" w:firstRowFirstColumn="0" w:firstRowLastColumn="0" w:lastRowFirstColumn="0" w:lastRowLastColumn="0"/>
            </w:pPr>
            <w:r>
              <w:rPr>
                <w:b/>
                <w:bCs/>
              </w:rPr>
              <w:t>Gap:</w:t>
            </w:r>
            <w:r>
              <w:t xml:space="preserve"> current data artefact still placeholder</w:t>
            </w:r>
          </w:p>
        </w:tc>
        <w:tc>
          <w:tcPr>
            <w:tcW w:w="0" w:type="auto"/>
            <w:vAlign w:val="center"/>
          </w:tcPr>
          <w:p w14:paraId="22EE1A2E" w14:textId="046C4F5C" w:rsidR="00D81221" w:rsidRDefault="00D81221">
            <w:pPr>
              <w:cnfStyle w:val="000000100000" w:firstRow="0" w:lastRow="0" w:firstColumn="0" w:lastColumn="0" w:oddVBand="0" w:evenVBand="0" w:oddHBand="1" w:evenHBand="0" w:firstRowFirstColumn="0" w:firstRowLastColumn="0" w:lastRowFirstColumn="0" w:lastRowLastColumn="0"/>
            </w:pPr>
          </w:p>
        </w:tc>
      </w:tr>
    </w:tbl>
    <w:p w14:paraId="22EE1A30" w14:textId="708DA17E" w:rsidR="00D81221" w:rsidRDefault="00D81221"/>
    <w:sectPr w:rsidR="00D812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2F5C"/>
    <w:multiLevelType w:val="hybridMultilevel"/>
    <w:tmpl w:val="0C183F38"/>
    <w:lvl w:ilvl="0" w:tplc="DAAEE050">
      <w:start w:val="1"/>
      <w:numFmt w:val="decimal"/>
      <w:lvlText w:val="%1."/>
      <w:lvlJc w:val="left"/>
      <w:pPr>
        <w:ind w:left="720" w:hanging="360"/>
      </w:pPr>
    </w:lvl>
    <w:lvl w:ilvl="1" w:tplc="1E38C8C6">
      <w:start w:val="1"/>
      <w:numFmt w:val="lowerLetter"/>
      <w:lvlText w:val="%2."/>
      <w:lvlJc w:val="left"/>
      <w:pPr>
        <w:ind w:left="1440" w:hanging="360"/>
      </w:pPr>
    </w:lvl>
    <w:lvl w:ilvl="2" w:tplc="D6644726">
      <w:start w:val="1"/>
      <w:numFmt w:val="lowerRoman"/>
      <w:lvlText w:val="%3."/>
      <w:lvlJc w:val="right"/>
      <w:pPr>
        <w:ind w:left="2160" w:hanging="180"/>
      </w:pPr>
    </w:lvl>
    <w:lvl w:ilvl="3" w:tplc="F89E8182">
      <w:start w:val="1"/>
      <w:numFmt w:val="decimal"/>
      <w:lvlText w:val="%4."/>
      <w:lvlJc w:val="left"/>
      <w:pPr>
        <w:ind w:left="2880" w:hanging="360"/>
      </w:pPr>
    </w:lvl>
    <w:lvl w:ilvl="4" w:tplc="F17012DC">
      <w:start w:val="1"/>
      <w:numFmt w:val="lowerLetter"/>
      <w:lvlText w:val="%5."/>
      <w:lvlJc w:val="left"/>
      <w:pPr>
        <w:ind w:left="3600" w:hanging="360"/>
      </w:pPr>
    </w:lvl>
    <w:lvl w:ilvl="5" w:tplc="BF86EDF6">
      <w:start w:val="1"/>
      <w:numFmt w:val="lowerRoman"/>
      <w:lvlText w:val="%6."/>
      <w:lvlJc w:val="right"/>
      <w:pPr>
        <w:ind w:left="4320" w:hanging="180"/>
      </w:pPr>
    </w:lvl>
    <w:lvl w:ilvl="6" w:tplc="8990E330">
      <w:start w:val="1"/>
      <w:numFmt w:val="decimal"/>
      <w:lvlText w:val="%7."/>
      <w:lvlJc w:val="left"/>
      <w:pPr>
        <w:ind w:left="5040" w:hanging="360"/>
      </w:pPr>
    </w:lvl>
    <w:lvl w:ilvl="7" w:tplc="5306618E">
      <w:start w:val="1"/>
      <w:numFmt w:val="lowerLetter"/>
      <w:lvlText w:val="%8."/>
      <w:lvlJc w:val="left"/>
      <w:pPr>
        <w:ind w:left="5760" w:hanging="360"/>
      </w:pPr>
    </w:lvl>
    <w:lvl w:ilvl="8" w:tplc="1806E9DC">
      <w:start w:val="1"/>
      <w:numFmt w:val="lowerRoman"/>
      <w:lvlText w:val="%9."/>
      <w:lvlJc w:val="right"/>
      <w:pPr>
        <w:ind w:left="6480" w:hanging="180"/>
      </w:pPr>
    </w:lvl>
  </w:abstractNum>
  <w:abstractNum w:abstractNumId="1" w15:restartNumberingAfterBreak="0">
    <w:nsid w:val="21F73325"/>
    <w:multiLevelType w:val="hybridMultilevel"/>
    <w:tmpl w:val="7CBA8576"/>
    <w:lvl w:ilvl="0" w:tplc="5FB891CA">
      <w:start w:val="1"/>
      <w:numFmt w:val="decimal"/>
      <w:lvlText w:val="%1."/>
      <w:lvlJc w:val="left"/>
      <w:pPr>
        <w:ind w:left="720" w:hanging="360"/>
      </w:pPr>
    </w:lvl>
    <w:lvl w:ilvl="1" w:tplc="6798AEE6">
      <w:start w:val="1"/>
      <w:numFmt w:val="lowerLetter"/>
      <w:lvlText w:val="%2."/>
      <w:lvlJc w:val="left"/>
      <w:pPr>
        <w:ind w:left="1440" w:hanging="360"/>
      </w:pPr>
    </w:lvl>
    <w:lvl w:ilvl="2" w:tplc="1834EBEE">
      <w:start w:val="1"/>
      <w:numFmt w:val="lowerRoman"/>
      <w:lvlText w:val="%3."/>
      <w:lvlJc w:val="right"/>
      <w:pPr>
        <w:ind w:left="2160" w:hanging="180"/>
      </w:pPr>
    </w:lvl>
    <w:lvl w:ilvl="3" w:tplc="ACAE288E">
      <w:start w:val="1"/>
      <w:numFmt w:val="decimal"/>
      <w:lvlText w:val="%4."/>
      <w:lvlJc w:val="left"/>
      <w:pPr>
        <w:ind w:left="2880" w:hanging="360"/>
      </w:pPr>
    </w:lvl>
    <w:lvl w:ilvl="4" w:tplc="5E38EAD8">
      <w:start w:val="1"/>
      <w:numFmt w:val="lowerLetter"/>
      <w:lvlText w:val="%5."/>
      <w:lvlJc w:val="left"/>
      <w:pPr>
        <w:ind w:left="3600" w:hanging="360"/>
      </w:pPr>
    </w:lvl>
    <w:lvl w:ilvl="5" w:tplc="0DDE7CD4">
      <w:start w:val="1"/>
      <w:numFmt w:val="lowerRoman"/>
      <w:lvlText w:val="%6."/>
      <w:lvlJc w:val="right"/>
      <w:pPr>
        <w:ind w:left="4320" w:hanging="180"/>
      </w:pPr>
    </w:lvl>
    <w:lvl w:ilvl="6" w:tplc="38ACA434">
      <w:start w:val="1"/>
      <w:numFmt w:val="decimal"/>
      <w:lvlText w:val="%7."/>
      <w:lvlJc w:val="left"/>
      <w:pPr>
        <w:ind w:left="5040" w:hanging="360"/>
      </w:pPr>
    </w:lvl>
    <w:lvl w:ilvl="7" w:tplc="DE841E14">
      <w:start w:val="1"/>
      <w:numFmt w:val="lowerLetter"/>
      <w:lvlText w:val="%8."/>
      <w:lvlJc w:val="left"/>
      <w:pPr>
        <w:ind w:left="5760" w:hanging="360"/>
      </w:pPr>
    </w:lvl>
    <w:lvl w:ilvl="8" w:tplc="3A2041C8">
      <w:start w:val="1"/>
      <w:numFmt w:val="lowerRoman"/>
      <w:lvlText w:val="%9."/>
      <w:lvlJc w:val="right"/>
      <w:pPr>
        <w:ind w:left="6480" w:hanging="180"/>
      </w:pPr>
    </w:lvl>
  </w:abstractNum>
  <w:abstractNum w:abstractNumId="2" w15:restartNumberingAfterBreak="0">
    <w:nsid w:val="23413606"/>
    <w:multiLevelType w:val="hybridMultilevel"/>
    <w:tmpl w:val="78A6D70C"/>
    <w:lvl w:ilvl="0" w:tplc="99003ACE">
      <w:start w:val="1"/>
      <w:numFmt w:val="bullet"/>
      <w:lvlText w:val="●"/>
      <w:lvlJc w:val="left"/>
      <w:pPr>
        <w:ind w:left="720" w:hanging="360"/>
      </w:pPr>
    </w:lvl>
    <w:lvl w:ilvl="1" w:tplc="65282D24">
      <w:start w:val="1"/>
      <w:numFmt w:val="bullet"/>
      <w:lvlText w:val="○"/>
      <w:lvlJc w:val="left"/>
      <w:pPr>
        <w:ind w:left="1440" w:hanging="360"/>
      </w:pPr>
    </w:lvl>
    <w:lvl w:ilvl="2" w:tplc="31BEC472">
      <w:start w:val="1"/>
      <w:numFmt w:val="bullet"/>
      <w:lvlText w:val="■"/>
      <w:lvlJc w:val="left"/>
      <w:pPr>
        <w:ind w:left="2160" w:hanging="360"/>
      </w:pPr>
    </w:lvl>
    <w:lvl w:ilvl="3" w:tplc="F3F456FE">
      <w:start w:val="1"/>
      <w:numFmt w:val="bullet"/>
      <w:lvlText w:val="●"/>
      <w:lvlJc w:val="left"/>
      <w:pPr>
        <w:ind w:left="2880" w:hanging="360"/>
      </w:pPr>
    </w:lvl>
    <w:lvl w:ilvl="4" w:tplc="C60679D6">
      <w:start w:val="1"/>
      <w:numFmt w:val="bullet"/>
      <w:lvlText w:val="○"/>
      <w:lvlJc w:val="left"/>
      <w:pPr>
        <w:ind w:left="3600" w:hanging="360"/>
      </w:pPr>
    </w:lvl>
    <w:lvl w:ilvl="5" w:tplc="A1B2BE46">
      <w:start w:val="1"/>
      <w:numFmt w:val="bullet"/>
      <w:lvlText w:val="■"/>
      <w:lvlJc w:val="left"/>
      <w:pPr>
        <w:ind w:left="4320" w:hanging="360"/>
      </w:pPr>
    </w:lvl>
    <w:lvl w:ilvl="6" w:tplc="0EF065E8">
      <w:start w:val="1"/>
      <w:numFmt w:val="bullet"/>
      <w:lvlText w:val="●"/>
      <w:lvlJc w:val="left"/>
      <w:pPr>
        <w:ind w:left="5040" w:hanging="360"/>
      </w:pPr>
    </w:lvl>
    <w:lvl w:ilvl="7" w:tplc="D1FC6BB0">
      <w:start w:val="1"/>
      <w:numFmt w:val="bullet"/>
      <w:lvlText w:val="●"/>
      <w:lvlJc w:val="left"/>
      <w:pPr>
        <w:ind w:left="5760" w:hanging="360"/>
      </w:pPr>
    </w:lvl>
    <w:lvl w:ilvl="8" w:tplc="99A4CD28">
      <w:start w:val="1"/>
      <w:numFmt w:val="bullet"/>
      <w:lvlText w:val="●"/>
      <w:lvlJc w:val="left"/>
      <w:pPr>
        <w:ind w:left="6480" w:hanging="360"/>
      </w:pPr>
    </w:lvl>
  </w:abstractNum>
  <w:abstractNum w:abstractNumId="3" w15:restartNumberingAfterBreak="0">
    <w:nsid w:val="25FB3B61"/>
    <w:multiLevelType w:val="hybridMultilevel"/>
    <w:tmpl w:val="66AA04AA"/>
    <w:lvl w:ilvl="0" w:tplc="3B4A1374">
      <w:start w:val="1"/>
      <w:numFmt w:val="decimal"/>
      <w:lvlText w:val="%1."/>
      <w:lvlJc w:val="left"/>
      <w:pPr>
        <w:ind w:left="720" w:hanging="360"/>
      </w:pPr>
    </w:lvl>
    <w:lvl w:ilvl="1" w:tplc="B98E3110">
      <w:start w:val="1"/>
      <w:numFmt w:val="lowerLetter"/>
      <w:lvlText w:val="%2."/>
      <w:lvlJc w:val="left"/>
      <w:pPr>
        <w:ind w:left="1440" w:hanging="360"/>
      </w:pPr>
    </w:lvl>
    <w:lvl w:ilvl="2" w:tplc="9DEAA422">
      <w:start w:val="1"/>
      <w:numFmt w:val="lowerRoman"/>
      <w:lvlText w:val="%3."/>
      <w:lvlJc w:val="right"/>
      <w:pPr>
        <w:ind w:left="2160" w:hanging="180"/>
      </w:pPr>
    </w:lvl>
    <w:lvl w:ilvl="3" w:tplc="3492395A">
      <w:start w:val="1"/>
      <w:numFmt w:val="decimal"/>
      <w:lvlText w:val="%4."/>
      <w:lvlJc w:val="left"/>
      <w:pPr>
        <w:ind w:left="2880" w:hanging="360"/>
      </w:pPr>
    </w:lvl>
    <w:lvl w:ilvl="4" w:tplc="903028F6">
      <w:start w:val="1"/>
      <w:numFmt w:val="lowerLetter"/>
      <w:lvlText w:val="%5."/>
      <w:lvlJc w:val="left"/>
      <w:pPr>
        <w:ind w:left="3600" w:hanging="360"/>
      </w:pPr>
    </w:lvl>
    <w:lvl w:ilvl="5" w:tplc="CE867458">
      <w:start w:val="1"/>
      <w:numFmt w:val="lowerRoman"/>
      <w:lvlText w:val="%6."/>
      <w:lvlJc w:val="right"/>
      <w:pPr>
        <w:ind w:left="4320" w:hanging="180"/>
      </w:pPr>
    </w:lvl>
    <w:lvl w:ilvl="6" w:tplc="DEBA48A2">
      <w:start w:val="1"/>
      <w:numFmt w:val="decimal"/>
      <w:lvlText w:val="%7."/>
      <w:lvlJc w:val="left"/>
      <w:pPr>
        <w:ind w:left="5040" w:hanging="360"/>
      </w:pPr>
    </w:lvl>
    <w:lvl w:ilvl="7" w:tplc="F6001CC8">
      <w:start w:val="1"/>
      <w:numFmt w:val="lowerLetter"/>
      <w:lvlText w:val="%8."/>
      <w:lvlJc w:val="left"/>
      <w:pPr>
        <w:ind w:left="5760" w:hanging="360"/>
      </w:pPr>
    </w:lvl>
    <w:lvl w:ilvl="8" w:tplc="AC48D1E6">
      <w:start w:val="1"/>
      <w:numFmt w:val="lowerRoman"/>
      <w:lvlText w:val="%9."/>
      <w:lvlJc w:val="right"/>
      <w:pPr>
        <w:ind w:left="6480" w:hanging="180"/>
      </w:pPr>
    </w:lvl>
  </w:abstractNum>
  <w:abstractNum w:abstractNumId="4" w15:restartNumberingAfterBreak="0">
    <w:nsid w:val="2F4F2D7B"/>
    <w:multiLevelType w:val="hybridMultilevel"/>
    <w:tmpl w:val="24902CB2"/>
    <w:lvl w:ilvl="0" w:tplc="37E6C62A">
      <w:start w:val="1"/>
      <w:numFmt w:val="bullet"/>
      <w:lvlText w:val=""/>
      <w:lvlJc w:val="left"/>
      <w:pPr>
        <w:ind w:left="720" w:hanging="360"/>
      </w:pPr>
      <w:rPr>
        <w:rFonts w:ascii="Symbol" w:eastAsia="Symbol" w:hAnsi="Symbol" w:cs="Symbol"/>
      </w:rPr>
    </w:lvl>
    <w:lvl w:ilvl="1" w:tplc="B7BC2278">
      <w:start w:val="1"/>
      <w:numFmt w:val="bullet"/>
      <w:lvlText w:val="o"/>
      <w:lvlJc w:val="left"/>
      <w:pPr>
        <w:ind w:left="1440" w:hanging="360"/>
      </w:pPr>
      <w:rPr>
        <w:rFonts w:ascii="Courier New" w:eastAsia="Courier New" w:hAnsi="Courier New" w:cs="Courier New"/>
      </w:rPr>
    </w:lvl>
    <w:lvl w:ilvl="2" w:tplc="DD46497C">
      <w:start w:val="1"/>
      <w:numFmt w:val="bullet"/>
      <w:lvlText w:val=""/>
      <w:lvlJc w:val="left"/>
      <w:pPr>
        <w:ind w:left="2160" w:hanging="360"/>
      </w:pPr>
      <w:rPr>
        <w:rFonts w:ascii="Wingdings" w:eastAsia="Wingdings" w:hAnsi="Wingdings" w:cs="Wingdings"/>
      </w:rPr>
    </w:lvl>
    <w:lvl w:ilvl="3" w:tplc="6FE081B2">
      <w:start w:val="1"/>
      <w:numFmt w:val="bullet"/>
      <w:lvlText w:val=""/>
      <w:lvlJc w:val="left"/>
      <w:pPr>
        <w:ind w:left="2880" w:hanging="360"/>
      </w:pPr>
      <w:rPr>
        <w:rFonts w:ascii="Symbol" w:eastAsia="Symbol" w:hAnsi="Symbol" w:cs="Symbol"/>
      </w:rPr>
    </w:lvl>
    <w:lvl w:ilvl="4" w:tplc="0E5078C8">
      <w:start w:val="1"/>
      <w:numFmt w:val="bullet"/>
      <w:lvlText w:val="o"/>
      <w:lvlJc w:val="left"/>
      <w:pPr>
        <w:ind w:left="3600" w:hanging="360"/>
      </w:pPr>
      <w:rPr>
        <w:rFonts w:ascii="Courier New" w:eastAsia="Courier New" w:hAnsi="Courier New" w:cs="Courier New"/>
      </w:rPr>
    </w:lvl>
    <w:lvl w:ilvl="5" w:tplc="1DCEF16A">
      <w:start w:val="1"/>
      <w:numFmt w:val="bullet"/>
      <w:lvlText w:val=""/>
      <w:lvlJc w:val="left"/>
      <w:pPr>
        <w:ind w:left="4320" w:hanging="360"/>
      </w:pPr>
      <w:rPr>
        <w:rFonts w:ascii="Wingdings" w:eastAsia="Wingdings" w:hAnsi="Wingdings" w:cs="Wingdings"/>
      </w:rPr>
    </w:lvl>
    <w:lvl w:ilvl="6" w:tplc="014C1692">
      <w:start w:val="1"/>
      <w:numFmt w:val="bullet"/>
      <w:lvlText w:val=""/>
      <w:lvlJc w:val="left"/>
      <w:pPr>
        <w:ind w:left="5040" w:hanging="360"/>
      </w:pPr>
      <w:rPr>
        <w:rFonts w:ascii="Symbol" w:eastAsia="Symbol" w:hAnsi="Symbol" w:cs="Symbol"/>
      </w:rPr>
    </w:lvl>
    <w:lvl w:ilvl="7" w:tplc="5786467C">
      <w:start w:val="1"/>
      <w:numFmt w:val="bullet"/>
      <w:lvlText w:val="o"/>
      <w:lvlJc w:val="left"/>
      <w:pPr>
        <w:ind w:left="5760" w:hanging="360"/>
      </w:pPr>
      <w:rPr>
        <w:rFonts w:ascii="Courier New" w:eastAsia="Courier New" w:hAnsi="Courier New" w:cs="Courier New"/>
      </w:rPr>
    </w:lvl>
    <w:lvl w:ilvl="8" w:tplc="8BA00B48">
      <w:start w:val="1"/>
      <w:numFmt w:val="bullet"/>
      <w:lvlText w:val=""/>
      <w:lvlJc w:val="left"/>
      <w:pPr>
        <w:ind w:left="6480" w:hanging="360"/>
      </w:pPr>
      <w:rPr>
        <w:rFonts w:ascii="Wingdings" w:eastAsia="Wingdings" w:hAnsi="Wingdings" w:cs="Wingdings"/>
      </w:rPr>
    </w:lvl>
  </w:abstractNum>
  <w:abstractNum w:abstractNumId="5" w15:restartNumberingAfterBreak="0">
    <w:nsid w:val="30321970"/>
    <w:multiLevelType w:val="hybridMultilevel"/>
    <w:tmpl w:val="419C50AA"/>
    <w:lvl w:ilvl="0" w:tplc="1A4E6982">
      <w:start w:val="1"/>
      <w:numFmt w:val="bullet"/>
      <w:lvlText w:val=""/>
      <w:lvlJc w:val="left"/>
      <w:pPr>
        <w:ind w:left="720" w:hanging="360"/>
      </w:pPr>
      <w:rPr>
        <w:rFonts w:ascii="Symbol" w:eastAsia="Symbol" w:hAnsi="Symbol" w:cs="Symbol"/>
      </w:rPr>
    </w:lvl>
    <w:lvl w:ilvl="1" w:tplc="19EAA282">
      <w:start w:val="1"/>
      <w:numFmt w:val="bullet"/>
      <w:lvlText w:val="o"/>
      <w:lvlJc w:val="left"/>
      <w:pPr>
        <w:ind w:left="1440" w:hanging="360"/>
      </w:pPr>
      <w:rPr>
        <w:rFonts w:ascii="Courier New" w:eastAsia="Courier New" w:hAnsi="Courier New" w:cs="Courier New"/>
      </w:rPr>
    </w:lvl>
    <w:lvl w:ilvl="2" w:tplc="C08A0B92">
      <w:start w:val="1"/>
      <w:numFmt w:val="bullet"/>
      <w:lvlText w:val=""/>
      <w:lvlJc w:val="left"/>
      <w:pPr>
        <w:ind w:left="2160" w:hanging="360"/>
      </w:pPr>
      <w:rPr>
        <w:rFonts w:ascii="Wingdings" w:eastAsia="Wingdings" w:hAnsi="Wingdings" w:cs="Wingdings"/>
      </w:rPr>
    </w:lvl>
    <w:lvl w:ilvl="3" w:tplc="3F1EC42E">
      <w:start w:val="1"/>
      <w:numFmt w:val="bullet"/>
      <w:lvlText w:val=""/>
      <w:lvlJc w:val="left"/>
      <w:pPr>
        <w:ind w:left="2880" w:hanging="360"/>
      </w:pPr>
      <w:rPr>
        <w:rFonts w:ascii="Symbol" w:eastAsia="Symbol" w:hAnsi="Symbol" w:cs="Symbol"/>
      </w:rPr>
    </w:lvl>
    <w:lvl w:ilvl="4" w:tplc="C3B0AEA4">
      <w:start w:val="1"/>
      <w:numFmt w:val="bullet"/>
      <w:lvlText w:val="o"/>
      <w:lvlJc w:val="left"/>
      <w:pPr>
        <w:ind w:left="3600" w:hanging="360"/>
      </w:pPr>
      <w:rPr>
        <w:rFonts w:ascii="Courier New" w:eastAsia="Courier New" w:hAnsi="Courier New" w:cs="Courier New"/>
      </w:rPr>
    </w:lvl>
    <w:lvl w:ilvl="5" w:tplc="3900FF7A">
      <w:start w:val="1"/>
      <w:numFmt w:val="bullet"/>
      <w:lvlText w:val=""/>
      <w:lvlJc w:val="left"/>
      <w:pPr>
        <w:ind w:left="4320" w:hanging="360"/>
      </w:pPr>
      <w:rPr>
        <w:rFonts w:ascii="Wingdings" w:eastAsia="Wingdings" w:hAnsi="Wingdings" w:cs="Wingdings"/>
      </w:rPr>
    </w:lvl>
    <w:lvl w:ilvl="6" w:tplc="A9BAC95C">
      <w:start w:val="1"/>
      <w:numFmt w:val="bullet"/>
      <w:lvlText w:val=""/>
      <w:lvlJc w:val="left"/>
      <w:pPr>
        <w:ind w:left="5040" w:hanging="360"/>
      </w:pPr>
      <w:rPr>
        <w:rFonts w:ascii="Symbol" w:eastAsia="Symbol" w:hAnsi="Symbol" w:cs="Symbol"/>
      </w:rPr>
    </w:lvl>
    <w:lvl w:ilvl="7" w:tplc="7022224C">
      <w:start w:val="1"/>
      <w:numFmt w:val="bullet"/>
      <w:lvlText w:val="o"/>
      <w:lvlJc w:val="left"/>
      <w:pPr>
        <w:ind w:left="5760" w:hanging="360"/>
      </w:pPr>
      <w:rPr>
        <w:rFonts w:ascii="Courier New" w:eastAsia="Courier New" w:hAnsi="Courier New" w:cs="Courier New"/>
      </w:rPr>
    </w:lvl>
    <w:lvl w:ilvl="8" w:tplc="45F2E2F4">
      <w:start w:val="1"/>
      <w:numFmt w:val="bullet"/>
      <w:lvlText w:val=""/>
      <w:lvlJc w:val="left"/>
      <w:pPr>
        <w:ind w:left="6480" w:hanging="360"/>
      </w:pPr>
      <w:rPr>
        <w:rFonts w:ascii="Wingdings" w:eastAsia="Wingdings" w:hAnsi="Wingdings" w:cs="Wingdings"/>
      </w:rPr>
    </w:lvl>
  </w:abstractNum>
  <w:abstractNum w:abstractNumId="6" w15:restartNumberingAfterBreak="0">
    <w:nsid w:val="48F6590E"/>
    <w:multiLevelType w:val="hybridMultilevel"/>
    <w:tmpl w:val="861A2D5C"/>
    <w:lvl w:ilvl="0" w:tplc="9C7CC53A">
      <w:start w:val="1"/>
      <w:numFmt w:val="decimal"/>
      <w:lvlText w:val="%1."/>
      <w:lvlJc w:val="left"/>
      <w:pPr>
        <w:ind w:left="720" w:hanging="360"/>
      </w:pPr>
    </w:lvl>
    <w:lvl w:ilvl="1" w:tplc="DBC01310">
      <w:start w:val="1"/>
      <w:numFmt w:val="lowerLetter"/>
      <w:lvlText w:val="%2."/>
      <w:lvlJc w:val="left"/>
      <w:pPr>
        <w:ind w:left="1440" w:hanging="360"/>
      </w:pPr>
    </w:lvl>
    <w:lvl w:ilvl="2" w:tplc="B3CE91B0">
      <w:start w:val="1"/>
      <w:numFmt w:val="lowerRoman"/>
      <w:lvlText w:val="%3."/>
      <w:lvlJc w:val="right"/>
      <w:pPr>
        <w:ind w:left="2160" w:hanging="180"/>
      </w:pPr>
    </w:lvl>
    <w:lvl w:ilvl="3" w:tplc="8ACAD110">
      <w:start w:val="1"/>
      <w:numFmt w:val="decimal"/>
      <w:lvlText w:val="%4."/>
      <w:lvlJc w:val="left"/>
      <w:pPr>
        <w:ind w:left="2880" w:hanging="360"/>
      </w:pPr>
    </w:lvl>
    <w:lvl w:ilvl="4" w:tplc="CED69BF2">
      <w:start w:val="1"/>
      <w:numFmt w:val="lowerLetter"/>
      <w:lvlText w:val="%5."/>
      <w:lvlJc w:val="left"/>
      <w:pPr>
        <w:ind w:left="3600" w:hanging="360"/>
      </w:pPr>
    </w:lvl>
    <w:lvl w:ilvl="5" w:tplc="0B9CA510">
      <w:start w:val="1"/>
      <w:numFmt w:val="lowerRoman"/>
      <w:lvlText w:val="%6."/>
      <w:lvlJc w:val="right"/>
      <w:pPr>
        <w:ind w:left="4320" w:hanging="180"/>
      </w:pPr>
    </w:lvl>
    <w:lvl w:ilvl="6" w:tplc="F724CF06">
      <w:start w:val="1"/>
      <w:numFmt w:val="decimal"/>
      <w:lvlText w:val="%7."/>
      <w:lvlJc w:val="left"/>
      <w:pPr>
        <w:ind w:left="5040" w:hanging="360"/>
      </w:pPr>
    </w:lvl>
    <w:lvl w:ilvl="7" w:tplc="D84A482E">
      <w:start w:val="1"/>
      <w:numFmt w:val="lowerLetter"/>
      <w:lvlText w:val="%8."/>
      <w:lvlJc w:val="left"/>
      <w:pPr>
        <w:ind w:left="5760" w:hanging="360"/>
      </w:pPr>
    </w:lvl>
    <w:lvl w:ilvl="8" w:tplc="86724C30">
      <w:start w:val="1"/>
      <w:numFmt w:val="lowerRoman"/>
      <w:lvlText w:val="%9."/>
      <w:lvlJc w:val="right"/>
      <w:pPr>
        <w:ind w:left="6480" w:hanging="180"/>
      </w:pPr>
    </w:lvl>
  </w:abstractNum>
  <w:abstractNum w:abstractNumId="7" w15:restartNumberingAfterBreak="0">
    <w:nsid w:val="52C92966"/>
    <w:multiLevelType w:val="hybridMultilevel"/>
    <w:tmpl w:val="BB566E1A"/>
    <w:lvl w:ilvl="0" w:tplc="3C76DBCE">
      <w:start w:val="1"/>
      <w:numFmt w:val="bullet"/>
      <w:lvlText w:val=""/>
      <w:lvlJc w:val="left"/>
      <w:pPr>
        <w:ind w:left="720" w:hanging="360"/>
      </w:pPr>
      <w:rPr>
        <w:rFonts w:ascii="Symbol" w:eastAsia="Symbol" w:hAnsi="Symbol" w:cs="Symbol"/>
      </w:rPr>
    </w:lvl>
    <w:lvl w:ilvl="1" w:tplc="0DF49A42">
      <w:start w:val="1"/>
      <w:numFmt w:val="bullet"/>
      <w:lvlText w:val="o"/>
      <w:lvlJc w:val="left"/>
      <w:pPr>
        <w:ind w:left="1440" w:hanging="360"/>
      </w:pPr>
      <w:rPr>
        <w:rFonts w:ascii="Courier New" w:eastAsia="Courier New" w:hAnsi="Courier New" w:cs="Courier New"/>
      </w:rPr>
    </w:lvl>
    <w:lvl w:ilvl="2" w:tplc="3CC846A2">
      <w:start w:val="1"/>
      <w:numFmt w:val="bullet"/>
      <w:lvlText w:val=""/>
      <w:lvlJc w:val="left"/>
      <w:pPr>
        <w:ind w:left="2160" w:hanging="360"/>
      </w:pPr>
      <w:rPr>
        <w:rFonts w:ascii="Wingdings" w:eastAsia="Wingdings" w:hAnsi="Wingdings" w:cs="Wingdings"/>
      </w:rPr>
    </w:lvl>
    <w:lvl w:ilvl="3" w:tplc="452E75F6">
      <w:start w:val="1"/>
      <w:numFmt w:val="bullet"/>
      <w:lvlText w:val=""/>
      <w:lvlJc w:val="left"/>
      <w:pPr>
        <w:ind w:left="2880" w:hanging="360"/>
      </w:pPr>
      <w:rPr>
        <w:rFonts w:ascii="Symbol" w:eastAsia="Symbol" w:hAnsi="Symbol" w:cs="Symbol"/>
      </w:rPr>
    </w:lvl>
    <w:lvl w:ilvl="4" w:tplc="F82EC844">
      <w:start w:val="1"/>
      <w:numFmt w:val="bullet"/>
      <w:lvlText w:val="o"/>
      <w:lvlJc w:val="left"/>
      <w:pPr>
        <w:ind w:left="3600" w:hanging="360"/>
      </w:pPr>
      <w:rPr>
        <w:rFonts w:ascii="Courier New" w:eastAsia="Courier New" w:hAnsi="Courier New" w:cs="Courier New"/>
      </w:rPr>
    </w:lvl>
    <w:lvl w:ilvl="5" w:tplc="5B544348">
      <w:start w:val="1"/>
      <w:numFmt w:val="bullet"/>
      <w:lvlText w:val=""/>
      <w:lvlJc w:val="left"/>
      <w:pPr>
        <w:ind w:left="4320" w:hanging="360"/>
      </w:pPr>
      <w:rPr>
        <w:rFonts w:ascii="Wingdings" w:eastAsia="Wingdings" w:hAnsi="Wingdings" w:cs="Wingdings"/>
      </w:rPr>
    </w:lvl>
    <w:lvl w:ilvl="6" w:tplc="7676ED78">
      <w:start w:val="1"/>
      <w:numFmt w:val="bullet"/>
      <w:lvlText w:val=""/>
      <w:lvlJc w:val="left"/>
      <w:pPr>
        <w:ind w:left="5040" w:hanging="360"/>
      </w:pPr>
      <w:rPr>
        <w:rFonts w:ascii="Symbol" w:eastAsia="Symbol" w:hAnsi="Symbol" w:cs="Symbol"/>
      </w:rPr>
    </w:lvl>
    <w:lvl w:ilvl="7" w:tplc="99D2936E">
      <w:start w:val="1"/>
      <w:numFmt w:val="bullet"/>
      <w:lvlText w:val="o"/>
      <w:lvlJc w:val="left"/>
      <w:pPr>
        <w:ind w:left="5760" w:hanging="360"/>
      </w:pPr>
      <w:rPr>
        <w:rFonts w:ascii="Courier New" w:eastAsia="Courier New" w:hAnsi="Courier New" w:cs="Courier New"/>
      </w:rPr>
    </w:lvl>
    <w:lvl w:ilvl="8" w:tplc="4D6220F8">
      <w:start w:val="1"/>
      <w:numFmt w:val="bullet"/>
      <w:lvlText w:val=""/>
      <w:lvlJc w:val="left"/>
      <w:pPr>
        <w:ind w:left="6480" w:hanging="360"/>
      </w:pPr>
      <w:rPr>
        <w:rFonts w:ascii="Wingdings" w:eastAsia="Wingdings" w:hAnsi="Wingdings" w:cs="Wingdings"/>
      </w:rPr>
    </w:lvl>
  </w:abstractNum>
  <w:abstractNum w:abstractNumId="8" w15:restartNumberingAfterBreak="0">
    <w:nsid w:val="6D6E598F"/>
    <w:multiLevelType w:val="hybridMultilevel"/>
    <w:tmpl w:val="14429CB2"/>
    <w:lvl w:ilvl="0" w:tplc="BF7C9110">
      <w:start w:val="1"/>
      <w:numFmt w:val="bullet"/>
      <w:lvlText w:val=""/>
      <w:lvlJc w:val="left"/>
      <w:pPr>
        <w:ind w:left="720" w:hanging="360"/>
      </w:pPr>
      <w:rPr>
        <w:rFonts w:ascii="Symbol" w:eastAsia="Symbol" w:hAnsi="Symbol" w:cs="Symbol"/>
      </w:rPr>
    </w:lvl>
    <w:lvl w:ilvl="1" w:tplc="88A802EC">
      <w:start w:val="1"/>
      <w:numFmt w:val="bullet"/>
      <w:lvlText w:val="o"/>
      <w:lvlJc w:val="left"/>
      <w:pPr>
        <w:ind w:left="1440" w:hanging="360"/>
      </w:pPr>
      <w:rPr>
        <w:rFonts w:ascii="Courier New" w:eastAsia="Courier New" w:hAnsi="Courier New" w:cs="Courier New"/>
      </w:rPr>
    </w:lvl>
    <w:lvl w:ilvl="2" w:tplc="71483BE4">
      <w:start w:val="1"/>
      <w:numFmt w:val="bullet"/>
      <w:lvlText w:val=""/>
      <w:lvlJc w:val="left"/>
      <w:pPr>
        <w:ind w:left="2160" w:hanging="360"/>
      </w:pPr>
      <w:rPr>
        <w:rFonts w:ascii="Wingdings" w:eastAsia="Wingdings" w:hAnsi="Wingdings" w:cs="Wingdings"/>
      </w:rPr>
    </w:lvl>
    <w:lvl w:ilvl="3" w:tplc="1A94F392">
      <w:start w:val="1"/>
      <w:numFmt w:val="bullet"/>
      <w:lvlText w:val=""/>
      <w:lvlJc w:val="left"/>
      <w:pPr>
        <w:ind w:left="2880" w:hanging="360"/>
      </w:pPr>
      <w:rPr>
        <w:rFonts w:ascii="Symbol" w:eastAsia="Symbol" w:hAnsi="Symbol" w:cs="Symbol"/>
      </w:rPr>
    </w:lvl>
    <w:lvl w:ilvl="4" w:tplc="F288D154">
      <w:start w:val="1"/>
      <w:numFmt w:val="bullet"/>
      <w:lvlText w:val="o"/>
      <w:lvlJc w:val="left"/>
      <w:pPr>
        <w:ind w:left="3600" w:hanging="360"/>
      </w:pPr>
      <w:rPr>
        <w:rFonts w:ascii="Courier New" w:eastAsia="Courier New" w:hAnsi="Courier New" w:cs="Courier New"/>
      </w:rPr>
    </w:lvl>
    <w:lvl w:ilvl="5" w:tplc="FDB80556">
      <w:start w:val="1"/>
      <w:numFmt w:val="bullet"/>
      <w:lvlText w:val=""/>
      <w:lvlJc w:val="left"/>
      <w:pPr>
        <w:ind w:left="4320" w:hanging="360"/>
      </w:pPr>
      <w:rPr>
        <w:rFonts w:ascii="Wingdings" w:eastAsia="Wingdings" w:hAnsi="Wingdings" w:cs="Wingdings"/>
      </w:rPr>
    </w:lvl>
    <w:lvl w:ilvl="6" w:tplc="FC6C68D6">
      <w:start w:val="1"/>
      <w:numFmt w:val="bullet"/>
      <w:lvlText w:val=""/>
      <w:lvlJc w:val="left"/>
      <w:pPr>
        <w:ind w:left="5040" w:hanging="360"/>
      </w:pPr>
      <w:rPr>
        <w:rFonts w:ascii="Symbol" w:eastAsia="Symbol" w:hAnsi="Symbol" w:cs="Symbol"/>
      </w:rPr>
    </w:lvl>
    <w:lvl w:ilvl="7" w:tplc="3402C21E">
      <w:start w:val="1"/>
      <w:numFmt w:val="bullet"/>
      <w:lvlText w:val="o"/>
      <w:lvlJc w:val="left"/>
      <w:pPr>
        <w:ind w:left="5760" w:hanging="360"/>
      </w:pPr>
      <w:rPr>
        <w:rFonts w:ascii="Courier New" w:eastAsia="Courier New" w:hAnsi="Courier New" w:cs="Courier New"/>
      </w:rPr>
    </w:lvl>
    <w:lvl w:ilvl="8" w:tplc="AFA49D04">
      <w:start w:val="1"/>
      <w:numFmt w:val="bullet"/>
      <w:lvlText w:val=""/>
      <w:lvlJc w:val="left"/>
      <w:pPr>
        <w:ind w:left="6480" w:hanging="360"/>
      </w:pPr>
      <w:rPr>
        <w:rFonts w:ascii="Wingdings" w:eastAsia="Wingdings" w:hAnsi="Wingdings" w:cs="Wingdings"/>
      </w:rPr>
    </w:lvl>
  </w:abstractNum>
  <w:abstractNum w:abstractNumId="9" w15:restartNumberingAfterBreak="0">
    <w:nsid w:val="6D7201D7"/>
    <w:multiLevelType w:val="hybridMultilevel"/>
    <w:tmpl w:val="A992C13C"/>
    <w:lvl w:ilvl="0" w:tplc="BC547552">
      <w:start w:val="1"/>
      <w:numFmt w:val="decimal"/>
      <w:lvlText w:val="%1."/>
      <w:lvlJc w:val="left"/>
      <w:pPr>
        <w:ind w:left="720" w:hanging="360"/>
      </w:pPr>
    </w:lvl>
    <w:lvl w:ilvl="1" w:tplc="39B8D800">
      <w:start w:val="1"/>
      <w:numFmt w:val="lowerLetter"/>
      <w:lvlText w:val="%2."/>
      <w:lvlJc w:val="left"/>
      <w:pPr>
        <w:ind w:left="1440" w:hanging="360"/>
      </w:pPr>
    </w:lvl>
    <w:lvl w:ilvl="2" w:tplc="39E0D644">
      <w:start w:val="1"/>
      <w:numFmt w:val="lowerRoman"/>
      <w:lvlText w:val="%3."/>
      <w:lvlJc w:val="right"/>
      <w:pPr>
        <w:ind w:left="2160" w:hanging="180"/>
      </w:pPr>
    </w:lvl>
    <w:lvl w:ilvl="3" w:tplc="A6209020">
      <w:start w:val="1"/>
      <w:numFmt w:val="decimal"/>
      <w:lvlText w:val="%4."/>
      <w:lvlJc w:val="left"/>
      <w:pPr>
        <w:ind w:left="2880" w:hanging="360"/>
      </w:pPr>
    </w:lvl>
    <w:lvl w:ilvl="4" w:tplc="BC4C4C34">
      <w:start w:val="1"/>
      <w:numFmt w:val="lowerLetter"/>
      <w:lvlText w:val="%5."/>
      <w:lvlJc w:val="left"/>
      <w:pPr>
        <w:ind w:left="3600" w:hanging="360"/>
      </w:pPr>
    </w:lvl>
    <w:lvl w:ilvl="5" w:tplc="F3AE098A">
      <w:start w:val="1"/>
      <w:numFmt w:val="lowerRoman"/>
      <w:lvlText w:val="%6."/>
      <w:lvlJc w:val="right"/>
      <w:pPr>
        <w:ind w:left="4320" w:hanging="180"/>
      </w:pPr>
    </w:lvl>
    <w:lvl w:ilvl="6" w:tplc="3230E92C">
      <w:start w:val="1"/>
      <w:numFmt w:val="decimal"/>
      <w:lvlText w:val="%7."/>
      <w:lvlJc w:val="left"/>
      <w:pPr>
        <w:ind w:left="5040" w:hanging="360"/>
      </w:pPr>
    </w:lvl>
    <w:lvl w:ilvl="7" w:tplc="CB5E6C18">
      <w:start w:val="1"/>
      <w:numFmt w:val="lowerLetter"/>
      <w:lvlText w:val="%8."/>
      <w:lvlJc w:val="left"/>
      <w:pPr>
        <w:ind w:left="5760" w:hanging="360"/>
      </w:pPr>
    </w:lvl>
    <w:lvl w:ilvl="8" w:tplc="52BC90AC">
      <w:start w:val="1"/>
      <w:numFmt w:val="lowerRoman"/>
      <w:lvlText w:val="%9."/>
      <w:lvlJc w:val="right"/>
      <w:pPr>
        <w:ind w:left="6480" w:hanging="180"/>
      </w:pPr>
    </w:lvl>
  </w:abstractNum>
  <w:abstractNum w:abstractNumId="10" w15:restartNumberingAfterBreak="0">
    <w:nsid w:val="75284D5D"/>
    <w:multiLevelType w:val="hybridMultilevel"/>
    <w:tmpl w:val="3FA292FA"/>
    <w:lvl w:ilvl="0" w:tplc="FCC4B638">
      <w:start w:val="1"/>
      <w:numFmt w:val="bullet"/>
      <w:lvlText w:val=""/>
      <w:lvlJc w:val="left"/>
      <w:pPr>
        <w:ind w:left="720" w:hanging="360"/>
      </w:pPr>
      <w:rPr>
        <w:rFonts w:ascii="Symbol" w:eastAsia="Symbol" w:hAnsi="Symbol" w:cs="Symbol"/>
      </w:rPr>
    </w:lvl>
    <w:lvl w:ilvl="1" w:tplc="2126F332">
      <w:start w:val="1"/>
      <w:numFmt w:val="bullet"/>
      <w:lvlText w:val="o"/>
      <w:lvlJc w:val="left"/>
      <w:pPr>
        <w:ind w:left="1440" w:hanging="360"/>
      </w:pPr>
      <w:rPr>
        <w:rFonts w:ascii="Courier New" w:eastAsia="Courier New" w:hAnsi="Courier New" w:cs="Courier New"/>
      </w:rPr>
    </w:lvl>
    <w:lvl w:ilvl="2" w:tplc="6E8097FA">
      <w:start w:val="1"/>
      <w:numFmt w:val="bullet"/>
      <w:lvlText w:val=""/>
      <w:lvlJc w:val="left"/>
      <w:pPr>
        <w:ind w:left="2160" w:hanging="360"/>
      </w:pPr>
      <w:rPr>
        <w:rFonts w:ascii="Wingdings" w:eastAsia="Wingdings" w:hAnsi="Wingdings" w:cs="Wingdings"/>
      </w:rPr>
    </w:lvl>
    <w:lvl w:ilvl="3" w:tplc="FEF0FAC8">
      <w:start w:val="1"/>
      <w:numFmt w:val="bullet"/>
      <w:lvlText w:val=""/>
      <w:lvlJc w:val="left"/>
      <w:pPr>
        <w:ind w:left="2880" w:hanging="360"/>
      </w:pPr>
      <w:rPr>
        <w:rFonts w:ascii="Symbol" w:eastAsia="Symbol" w:hAnsi="Symbol" w:cs="Symbol"/>
      </w:rPr>
    </w:lvl>
    <w:lvl w:ilvl="4" w:tplc="7D965C34">
      <w:start w:val="1"/>
      <w:numFmt w:val="bullet"/>
      <w:lvlText w:val="o"/>
      <w:lvlJc w:val="left"/>
      <w:pPr>
        <w:ind w:left="3600" w:hanging="360"/>
      </w:pPr>
      <w:rPr>
        <w:rFonts w:ascii="Courier New" w:eastAsia="Courier New" w:hAnsi="Courier New" w:cs="Courier New"/>
      </w:rPr>
    </w:lvl>
    <w:lvl w:ilvl="5" w:tplc="9FBEA2D8">
      <w:start w:val="1"/>
      <w:numFmt w:val="bullet"/>
      <w:lvlText w:val=""/>
      <w:lvlJc w:val="left"/>
      <w:pPr>
        <w:ind w:left="4320" w:hanging="360"/>
      </w:pPr>
      <w:rPr>
        <w:rFonts w:ascii="Wingdings" w:eastAsia="Wingdings" w:hAnsi="Wingdings" w:cs="Wingdings"/>
      </w:rPr>
    </w:lvl>
    <w:lvl w:ilvl="6" w:tplc="C122C768">
      <w:start w:val="1"/>
      <w:numFmt w:val="bullet"/>
      <w:lvlText w:val=""/>
      <w:lvlJc w:val="left"/>
      <w:pPr>
        <w:ind w:left="5040" w:hanging="360"/>
      </w:pPr>
      <w:rPr>
        <w:rFonts w:ascii="Symbol" w:eastAsia="Symbol" w:hAnsi="Symbol" w:cs="Symbol"/>
      </w:rPr>
    </w:lvl>
    <w:lvl w:ilvl="7" w:tplc="91AE609A">
      <w:start w:val="1"/>
      <w:numFmt w:val="bullet"/>
      <w:lvlText w:val="o"/>
      <w:lvlJc w:val="left"/>
      <w:pPr>
        <w:ind w:left="5760" w:hanging="360"/>
      </w:pPr>
      <w:rPr>
        <w:rFonts w:ascii="Courier New" w:eastAsia="Courier New" w:hAnsi="Courier New" w:cs="Courier New"/>
      </w:rPr>
    </w:lvl>
    <w:lvl w:ilvl="8" w:tplc="8274088A">
      <w:start w:val="1"/>
      <w:numFmt w:val="bullet"/>
      <w:lvlText w:val=""/>
      <w:lvlJc w:val="left"/>
      <w:pPr>
        <w:ind w:left="6480" w:hanging="360"/>
      </w:pPr>
      <w:rPr>
        <w:rFonts w:ascii="Wingdings" w:eastAsia="Wingdings" w:hAnsi="Wingdings" w:cs="Wingdings"/>
      </w:rPr>
    </w:lvl>
  </w:abstractNum>
  <w:abstractNum w:abstractNumId="11" w15:restartNumberingAfterBreak="0">
    <w:nsid w:val="76B84C61"/>
    <w:multiLevelType w:val="hybridMultilevel"/>
    <w:tmpl w:val="BD9CA064"/>
    <w:lvl w:ilvl="0" w:tplc="AF8E5E14">
      <w:start w:val="1"/>
      <w:numFmt w:val="bullet"/>
      <w:lvlText w:val=""/>
      <w:lvlJc w:val="left"/>
      <w:pPr>
        <w:ind w:left="720" w:hanging="360"/>
      </w:pPr>
      <w:rPr>
        <w:rFonts w:ascii="Symbol" w:eastAsia="Symbol" w:hAnsi="Symbol" w:cs="Symbol"/>
      </w:rPr>
    </w:lvl>
    <w:lvl w:ilvl="1" w:tplc="A8AC4122">
      <w:start w:val="1"/>
      <w:numFmt w:val="bullet"/>
      <w:lvlText w:val="o"/>
      <w:lvlJc w:val="left"/>
      <w:pPr>
        <w:ind w:left="1440" w:hanging="360"/>
      </w:pPr>
      <w:rPr>
        <w:rFonts w:ascii="Courier New" w:eastAsia="Courier New" w:hAnsi="Courier New" w:cs="Courier New"/>
      </w:rPr>
    </w:lvl>
    <w:lvl w:ilvl="2" w:tplc="00B8CC74">
      <w:start w:val="1"/>
      <w:numFmt w:val="bullet"/>
      <w:lvlText w:val=""/>
      <w:lvlJc w:val="left"/>
      <w:pPr>
        <w:ind w:left="2160" w:hanging="360"/>
      </w:pPr>
      <w:rPr>
        <w:rFonts w:ascii="Wingdings" w:eastAsia="Wingdings" w:hAnsi="Wingdings" w:cs="Wingdings"/>
      </w:rPr>
    </w:lvl>
    <w:lvl w:ilvl="3" w:tplc="F75634BE">
      <w:start w:val="1"/>
      <w:numFmt w:val="bullet"/>
      <w:lvlText w:val=""/>
      <w:lvlJc w:val="left"/>
      <w:pPr>
        <w:ind w:left="2880" w:hanging="360"/>
      </w:pPr>
      <w:rPr>
        <w:rFonts w:ascii="Symbol" w:eastAsia="Symbol" w:hAnsi="Symbol" w:cs="Symbol"/>
      </w:rPr>
    </w:lvl>
    <w:lvl w:ilvl="4" w:tplc="D8605402">
      <w:start w:val="1"/>
      <w:numFmt w:val="bullet"/>
      <w:lvlText w:val="o"/>
      <w:lvlJc w:val="left"/>
      <w:pPr>
        <w:ind w:left="3600" w:hanging="360"/>
      </w:pPr>
      <w:rPr>
        <w:rFonts w:ascii="Courier New" w:eastAsia="Courier New" w:hAnsi="Courier New" w:cs="Courier New"/>
      </w:rPr>
    </w:lvl>
    <w:lvl w:ilvl="5" w:tplc="4A86609E">
      <w:start w:val="1"/>
      <w:numFmt w:val="bullet"/>
      <w:lvlText w:val=""/>
      <w:lvlJc w:val="left"/>
      <w:pPr>
        <w:ind w:left="4320" w:hanging="360"/>
      </w:pPr>
      <w:rPr>
        <w:rFonts w:ascii="Wingdings" w:eastAsia="Wingdings" w:hAnsi="Wingdings" w:cs="Wingdings"/>
      </w:rPr>
    </w:lvl>
    <w:lvl w:ilvl="6" w:tplc="1F5A2AEE">
      <w:start w:val="1"/>
      <w:numFmt w:val="bullet"/>
      <w:lvlText w:val=""/>
      <w:lvlJc w:val="left"/>
      <w:pPr>
        <w:ind w:left="5040" w:hanging="360"/>
      </w:pPr>
      <w:rPr>
        <w:rFonts w:ascii="Symbol" w:eastAsia="Symbol" w:hAnsi="Symbol" w:cs="Symbol"/>
      </w:rPr>
    </w:lvl>
    <w:lvl w:ilvl="7" w:tplc="7A103C92">
      <w:start w:val="1"/>
      <w:numFmt w:val="bullet"/>
      <w:lvlText w:val="o"/>
      <w:lvlJc w:val="left"/>
      <w:pPr>
        <w:ind w:left="5760" w:hanging="360"/>
      </w:pPr>
      <w:rPr>
        <w:rFonts w:ascii="Courier New" w:eastAsia="Courier New" w:hAnsi="Courier New" w:cs="Courier New"/>
      </w:rPr>
    </w:lvl>
    <w:lvl w:ilvl="8" w:tplc="188639B8">
      <w:start w:val="1"/>
      <w:numFmt w:val="bullet"/>
      <w:lvlText w:val=""/>
      <w:lvlJc w:val="left"/>
      <w:pPr>
        <w:ind w:left="6480" w:hanging="360"/>
      </w:pPr>
      <w:rPr>
        <w:rFonts w:ascii="Wingdings" w:eastAsia="Wingdings" w:hAnsi="Wingdings" w:cs="Wingdings"/>
      </w:rPr>
    </w:lvl>
  </w:abstractNum>
  <w:abstractNum w:abstractNumId="12" w15:restartNumberingAfterBreak="0">
    <w:nsid w:val="7B7A423A"/>
    <w:multiLevelType w:val="hybridMultilevel"/>
    <w:tmpl w:val="E0827E8A"/>
    <w:lvl w:ilvl="0" w:tplc="D6006C2E">
      <w:start w:val="1"/>
      <w:numFmt w:val="decimal"/>
      <w:lvlText w:val="%1."/>
      <w:lvlJc w:val="left"/>
      <w:pPr>
        <w:ind w:left="720" w:hanging="360"/>
      </w:pPr>
    </w:lvl>
    <w:lvl w:ilvl="1" w:tplc="C1205C02">
      <w:start w:val="1"/>
      <w:numFmt w:val="lowerLetter"/>
      <w:lvlText w:val="%2."/>
      <w:lvlJc w:val="left"/>
      <w:pPr>
        <w:ind w:left="1440" w:hanging="360"/>
      </w:pPr>
    </w:lvl>
    <w:lvl w:ilvl="2" w:tplc="331AEEDA">
      <w:start w:val="1"/>
      <w:numFmt w:val="lowerRoman"/>
      <w:lvlText w:val="%3."/>
      <w:lvlJc w:val="right"/>
      <w:pPr>
        <w:ind w:left="2160" w:hanging="180"/>
      </w:pPr>
    </w:lvl>
    <w:lvl w:ilvl="3" w:tplc="B14C403C">
      <w:start w:val="1"/>
      <w:numFmt w:val="decimal"/>
      <w:lvlText w:val="%4."/>
      <w:lvlJc w:val="left"/>
      <w:pPr>
        <w:ind w:left="2880" w:hanging="360"/>
      </w:pPr>
    </w:lvl>
    <w:lvl w:ilvl="4" w:tplc="A4782C7C">
      <w:start w:val="1"/>
      <w:numFmt w:val="lowerLetter"/>
      <w:lvlText w:val="%5."/>
      <w:lvlJc w:val="left"/>
      <w:pPr>
        <w:ind w:left="3600" w:hanging="360"/>
      </w:pPr>
    </w:lvl>
    <w:lvl w:ilvl="5" w:tplc="E6CCDAF6">
      <w:start w:val="1"/>
      <w:numFmt w:val="lowerRoman"/>
      <w:lvlText w:val="%6."/>
      <w:lvlJc w:val="right"/>
      <w:pPr>
        <w:ind w:left="4320" w:hanging="180"/>
      </w:pPr>
    </w:lvl>
    <w:lvl w:ilvl="6" w:tplc="91C2581E">
      <w:start w:val="1"/>
      <w:numFmt w:val="decimal"/>
      <w:lvlText w:val="%7."/>
      <w:lvlJc w:val="left"/>
      <w:pPr>
        <w:ind w:left="5040" w:hanging="360"/>
      </w:pPr>
    </w:lvl>
    <w:lvl w:ilvl="7" w:tplc="FDB6CA58">
      <w:start w:val="1"/>
      <w:numFmt w:val="lowerLetter"/>
      <w:lvlText w:val="%8."/>
      <w:lvlJc w:val="left"/>
      <w:pPr>
        <w:ind w:left="5760" w:hanging="360"/>
      </w:pPr>
    </w:lvl>
    <w:lvl w:ilvl="8" w:tplc="248A1E90">
      <w:start w:val="1"/>
      <w:numFmt w:val="lowerRoman"/>
      <w:lvlText w:val="%9."/>
      <w:lvlJc w:val="right"/>
      <w:pPr>
        <w:ind w:left="6480" w:hanging="180"/>
      </w:pPr>
    </w:lvl>
  </w:abstractNum>
  <w:num w:numId="1" w16cid:durableId="1159080062">
    <w:abstractNumId w:val="2"/>
    <w:lvlOverride w:ilvl="0">
      <w:startOverride w:val="1"/>
    </w:lvlOverride>
  </w:num>
  <w:num w:numId="2" w16cid:durableId="1857111008">
    <w:abstractNumId w:val="12"/>
  </w:num>
  <w:num w:numId="3" w16cid:durableId="415901348">
    <w:abstractNumId w:val="5"/>
  </w:num>
  <w:num w:numId="4" w16cid:durableId="86659244">
    <w:abstractNumId w:val="7"/>
  </w:num>
  <w:num w:numId="5" w16cid:durableId="1634560136">
    <w:abstractNumId w:val="4"/>
  </w:num>
  <w:num w:numId="6" w16cid:durableId="1177379565">
    <w:abstractNumId w:val="11"/>
  </w:num>
  <w:num w:numId="7" w16cid:durableId="761337470">
    <w:abstractNumId w:val="8"/>
  </w:num>
  <w:num w:numId="8" w16cid:durableId="484786871">
    <w:abstractNumId w:val="9"/>
  </w:num>
  <w:num w:numId="9" w16cid:durableId="595023705">
    <w:abstractNumId w:val="3"/>
  </w:num>
  <w:num w:numId="10" w16cid:durableId="1708217999">
    <w:abstractNumId w:val="1"/>
  </w:num>
  <w:num w:numId="11" w16cid:durableId="797917307">
    <w:abstractNumId w:val="0"/>
  </w:num>
  <w:num w:numId="12" w16cid:durableId="267585283">
    <w:abstractNumId w:val="10"/>
  </w:num>
  <w:num w:numId="13" w16cid:durableId="2177142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221"/>
    <w:rsid w:val="0004151F"/>
    <w:rsid w:val="00077147"/>
    <w:rsid w:val="001B060B"/>
    <w:rsid w:val="004036B4"/>
    <w:rsid w:val="0049502F"/>
    <w:rsid w:val="004B5C69"/>
    <w:rsid w:val="005C1510"/>
    <w:rsid w:val="00AC26C1"/>
    <w:rsid w:val="00CA5623"/>
    <w:rsid w:val="00D81221"/>
    <w:rsid w:val="00DA1693"/>
    <w:rsid w:val="00EA1511"/>
    <w:rsid w:val="00EC0BD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E1901"/>
  <w15:docId w15:val="{E1FA042C-ED6B-477A-A2B7-0A19F64AB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character" w:styleId="BookTitle">
    <w:name w:val="Book Title"/>
    <w:basedOn w:val="DefaultParagraphFont"/>
    <w:uiPriority w:val="33"/>
    <w:qFormat/>
    <w:rsid w:val="00077147"/>
    <w:rPr>
      <w:b/>
      <w:bCs/>
      <w:i/>
      <w:iCs/>
      <w:spacing w:val="5"/>
    </w:rPr>
  </w:style>
  <w:style w:type="paragraph" w:styleId="Caption">
    <w:name w:val="caption"/>
    <w:basedOn w:val="Normal"/>
    <w:next w:val="Normal"/>
    <w:uiPriority w:val="35"/>
    <w:semiHidden/>
    <w:unhideWhenUsed/>
    <w:qFormat/>
    <w:rsid w:val="00077147"/>
    <w:pPr>
      <w:spacing w:after="200" w:line="240" w:lineRule="auto"/>
    </w:pPr>
    <w:rPr>
      <w:i/>
      <w:iCs/>
      <w:color w:val="0E2841" w:themeColor="text2"/>
      <w:sz w:val="18"/>
      <w:szCs w:val="18"/>
    </w:rPr>
  </w:style>
  <w:style w:type="character" w:styleId="Emphasis">
    <w:name w:val="Emphasis"/>
    <w:basedOn w:val="DefaultParagraphFont"/>
    <w:uiPriority w:val="20"/>
    <w:qFormat/>
    <w:rsid w:val="00077147"/>
    <w:rPr>
      <w:i/>
      <w:iCs/>
    </w:rPr>
  </w:style>
  <w:style w:type="paragraph" w:styleId="NoSpacing">
    <w:name w:val="No Spacing"/>
    <w:uiPriority w:val="1"/>
    <w:qFormat/>
    <w:rsid w:val="00077147"/>
    <w:pPr>
      <w:spacing w:after="0" w:line="240" w:lineRule="auto"/>
    </w:pPr>
  </w:style>
  <w:style w:type="character" w:styleId="Strong">
    <w:name w:val="Strong"/>
    <w:basedOn w:val="DefaultParagraphFont"/>
    <w:uiPriority w:val="22"/>
    <w:qFormat/>
    <w:rsid w:val="00077147"/>
    <w:rPr>
      <w:b/>
      <w:bCs/>
    </w:rPr>
  </w:style>
  <w:style w:type="character" w:styleId="SubtleEmphasis">
    <w:name w:val="Subtle Emphasis"/>
    <w:basedOn w:val="DefaultParagraphFont"/>
    <w:uiPriority w:val="19"/>
    <w:qFormat/>
    <w:rsid w:val="00077147"/>
    <w:rPr>
      <w:i/>
      <w:iCs/>
      <w:color w:val="404040" w:themeColor="text1" w:themeTint="BF"/>
    </w:rPr>
  </w:style>
  <w:style w:type="character" w:styleId="SubtleReference">
    <w:name w:val="Subtle Reference"/>
    <w:basedOn w:val="DefaultParagraphFont"/>
    <w:uiPriority w:val="31"/>
    <w:qFormat/>
    <w:rsid w:val="00077147"/>
    <w:rPr>
      <w:smallCaps/>
      <w:color w:val="5A5A5A" w:themeColor="text1" w:themeTint="A5"/>
    </w:rPr>
  </w:style>
  <w:style w:type="paragraph" w:styleId="TOCHeading">
    <w:name w:val="TOC Heading"/>
    <w:basedOn w:val="Heading1"/>
    <w:next w:val="Normal"/>
    <w:uiPriority w:val="39"/>
    <w:semiHidden/>
    <w:unhideWhenUsed/>
    <w:qFormat/>
    <w:rsid w:val="00077147"/>
    <w:pPr>
      <w:spacing w:before="240" w:after="0"/>
      <w:outlineLvl w:val="9"/>
    </w:pPr>
    <w:rPr>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4965</Words>
  <Characters>32472</Characters>
  <Application>Microsoft Office Word</Application>
  <DocSecurity>0</DocSecurity>
  <Lines>984</Lines>
  <Paragraphs>297</Paragraphs>
  <ScaleCrop>false</ScaleCrop>
  <Company/>
  <LinksUpToDate>false</LinksUpToDate>
  <CharactersWithSpaces>37140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Urs Rüegg</cp:lastModifiedBy>
  <cp:revision>12</cp:revision>
  <dcterms:created xsi:type="dcterms:W3CDTF">2026-06-08T09:11:00Z</dcterms:created>
  <dcterms:modified xsi:type="dcterms:W3CDTF">2026-06-08T09:27:00Z</dcterms:modified>
</cp:coreProperties>
</file>