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Scenarii:</w:t>
      </w:r>
    </w:p>
    <w:p w:rsidR="00000000" w:rsidDel="00000000" w:rsidP="00000000" w:rsidRDefault="00000000" w:rsidRPr="00000000" w14:paraId="0000000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Administratorul poate: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 creeze un cont de admin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 se autentifice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 </w:t>
      </w:r>
      <w:r w:rsidDel="00000000" w:rsidR="00000000" w:rsidRPr="00000000">
        <w:rPr>
          <w:rFonts w:ascii="Roboto" w:cs="Roboto" w:eastAsia="Roboto" w:hAnsi="Roboto"/>
          <w:color w:val="1b1b1b"/>
          <w:sz w:val="30"/>
          <w:szCs w:val="30"/>
          <w:rtl w:val="0"/>
        </w:rPr>
        <w:t xml:space="preserve">introduca o listă de persoane și pagini de interes a căror activitate pe rețelele sociale va fi urmărită în mod automat.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1b1b1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0"/>
          <w:szCs w:val="30"/>
          <w:rtl w:val="0"/>
        </w:rPr>
        <w:t xml:space="preserve">Sa faca operatii CRUD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1b1b1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0"/>
          <w:szCs w:val="30"/>
          <w:rtl w:val="0"/>
        </w:rPr>
        <w:t xml:space="preserve">Sa caute anumite evenimente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" w:cs="Roboto" w:eastAsia="Roboto" w:hAnsi="Roboto"/>
          <w:color w:val="1b1b1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b1b1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0"/>
          <w:szCs w:val="30"/>
          <w:rtl w:val="0"/>
        </w:rPr>
        <w:t xml:space="preserve"> Utilizatorul normal poate: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1b1b1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0"/>
          <w:szCs w:val="30"/>
          <w:rtl w:val="0"/>
        </w:rPr>
        <w:t xml:space="preserve">Sa creeze un cont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1b1b1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0"/>
          <w:szCs w:val="30"/>
          <w:rtl w:val="0"/>
        </w:rPr>
        <w:t xml:space="preserve">Sa se autentifice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1b1b1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0"/>
          <w:szCs w:val="30"/>
          <w:rtl w:val="0"/>
        </w:rPr>
        <w:t xml:space="preserve">Se poate "abona" la anumite tag-uri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1b1b1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30"/>
          <w:szCs w:val="30"/>
          <w:rtl w:val="0"/>
        </w:rPr>
        <w:t xml:space="preserve">Poate vedea evenimentele din aplicatie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b1b1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b1b1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b1b1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1b1b1b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36"/>
          <w:szCs w:val="36"/>
          <w:rtl w:val="0"/>
        </w:rPr>
        <w:t xml:space="preserve">Link-uri utile(JWT) 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1b1b1b"/>
          <w:sz w:val="36"/>
          <w:szCs w:val="36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6"/>
            <w:szCs w:val="36"/>
            <w:u w:val="single"/>
            <w:rtl w:val="0"/>
          </w:rPr>
          <w:t xml:space="preserve">https://jwt.io/introduction/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1b1b1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1b1b1b"/>
          <w:sz w:val="36"/>
          <w:szCs w:val="36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6"/>
            <w:szCs w:val="36"/>
            <w:u w:val="single"/>
            <w:rtl w:val="0"/>
          </w:rPr>
          <w:t xml:space="preserve">https://medium.com/vandium-software/5-easy-steps-to-understanding-json-web-tokens-jwt-1164c0adfcec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1b1b1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1b1b1b"/>
          <w:sz w:val="36"/>
          <w:szCs w:val="36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6"/>
            <w:szCs w:val="36"/>
            <w:u w:val="single"/>
            <w:rtl w:val="0"/>
          </w:rPr>
          <w:t xml:space="preserve">https://medium.com/@rahulgolwalkar/pros-and-cons-in-using-jwt-json-web-tokens-196ac6d41fb4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wt.io/introduction/" TargetMode="External"/><Relationship Id="rId7" Type="http://schemas.openxmlformats.org/officeDocument/2006/relationships/hyperlink" Target="https://medium.com/vandium-software/5-easy-steps-to-understanding-json-web-tokens-jwt-1164c0adfcec" TargetMode="External"/><Relationship Id="rId8" Type="http://schemas.openxmlformats.org/officeDocument/2006/relationships/hyperlink" Target="https://medium.com/@rahulgolwalkar/pros-and-cons-in-using-jwt-json-web-tokens-196ac6d41fb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