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FB1EA" w14:textId="77777777" w:rsidR="00951A8E" w:rsidRPr="006809B1" w:rsidRDefault="00951A8E" w:rsidP="00951A8E">
      <w:pPr>
        <w:pStyle w:val="Heading1"/>
        <w:rPr>
          <w:sz w:val="22"/>
        </w:rPr>
      </w:pPr>
      <w:r w:rsidRPr="006809B1">
        <w:rPr>
          <w:sz w:val="22"/>
        </w:rPr>
        <w:t xml:space="preserve">Cultivation of spore forming bacteria from human gut after ethanol or heat shock </w:t>
      </w:r>
    </w:p>
    <w:p w14:paraId="3441F990" w14:textId="77777777" w:rsidR="00951A8E" w:rsidRDefault="00951A8E" w:rsidP="00951A8E"/>
    <w:p w14:paraId="706066BE" w14:textId="303D21AF" w:rsidR="00951A8E" w:rsidRPr="006809B1" w:rsidRDefault="00951A8E" w:rsidP="00951A8E">
      <w:r>
        <w:t xml:space="preserve">DISCUSSION: </w:t>
      </w:r>
      <w:r w:rsidRPr="006809B1">
        <w:t xml:space="preserve">Untreated </w:t>
      </w:r>
      <w:r>
        <w:t>stool</w:t>
      </w:r>
      <w:r w:rsidRPr="006809B1">
        <w:t xml:space="preserve"> sample had the highest abundance, which is expected since treatments were meant to remove all vegetative cells thus lowering the abundance of different bacteria. When shocking </w:t>
      </w:r>
      <w:r>
        <w:t>stool</w:t>
      </w:r>
      <w:r w:rsidRPr="006809B1">
        <w:t xml:space="preserve"> with heat or alcohol we must account for difference in endospore formation and composition (Aronson and Fitz-James, 1976). Bacterial spores resistant to heat shock have more DPA in their core than spores that show lower resistance to heat shock, unlike treatment with alcohol not all spores are heat resistant (</w:t>
      </w:r>
      <w:proofErr w:type="spellStart"/>
      <w:r w:rsidRPr="006809B1">
        <w:t>Setlow</w:t>
      </w:r>
      <w:proofErr w:type="spellEnd"/>
      <w:r w:rsidRPr="006809B1">
        <w:t xml:space="preserve">, 2006). Ethanol shock selects for spores that have impermeable spore coat.  </w:t>
      </w:r>
    </w:p>
    <w:p w14:paraId="743ECBA1" w14:textId="1713B9C3" w:rsidR="008253C5" w:rsidRDefault="00021B54">
      <w:r>
        <w:t xml:space="preserve">Comparison ethanol heat cultivation </w:t>
      </w:r>
    </w:p>
    <w:p w14:paraId="6761729D" w14:textId="302E4CDC" w:rsidR="00021B54" w:rsidRDefault="00021B54">
      <w:pPr>
        <w:rPr>
          <w:lang w:val="en-GB"/>
        </w:rPr>
      </w:pPr>
      <w:proofErr w:type="spellStart"/>
      <w:r>
        <w:rPr>
          <w:lang w:val="en-GB"/>
        </w:rPr>
        <w:t>Cfu</w:t>
      </w:r>
      <w:proofErr w:type="spellEnd"/>
      <w:r>
        <w:rPr>
          <w:lang w:val="en-GB"/>
        </w:rPr>
        <w:t xml:space="preserve"> and number of OTUs no correlation - </w:t>
      </w:r>
      <w:r w:rsidRPr="00EF4442">
        <w:rPr>
          <w:lang w:val="en-GB"/>
        </w:rPr>
        <w:t>which could be explained by an overgrowth of certain species</w:t>
      </w:r>
      <w:r>
        <w:rPr>
          <w:lang w:val="en-GB"/>
        </w:rPr>
        <w:t xml:space="preserve"> or </w:t>
      </w:r>
      <w:r w:rsidRPr="00EF4442">
        <w:rPr>
          <w:lang w:val="en-GB"/>
        </w:rPr>
        <w:t xml:space="preserve"> </w:t>
      </w:r>
    </w:p>
    <w:p w14:paraId="24297A93" w14:textId="77777777" w:rsidR="006604B2" w:rsidRDefault="006604B2" w:rsidP="006604B2">
      <w:pPr>
        <w:rPr>
          <w:lang w:val="en-GB"/>
        </w:rPr>
      </w:pPr>
      <w:r>
        <w:rPr>
          <w:lang w:val="en-GB"/>
        </w:rPr>
        <w:t xml:space="preserve">Comparing the CFU number and the number of OTUs obtained by sequencing the </w:t>
      </w:r>
      <w:proofErr w:type="spellStart"/>
      <w:r>
        <w:rPr>
          <w:lang w:val="en-GB"/>
        </w:rPr>
        <w:t>16S</w:t>
      </w:r>
      <w:proofErr w:type="spellEnd"/>
      <w:r>
        <w:rPr>
          <w:lang w:val="en-GB"/>
        </w:rPr>
        <w:t xml:space="preserve"> rRNA gene (Supplement Table 2), we see a negative correlation (Pearson correlation; p &lt; 0.005).</w:t>
      </w:r>
    </w:p>
    <w:p w14:paraId="66502E4B" w14:textId="77777777" w:rsidR="006604B2" w:rsidRPr="00EF4442" w:rsidRDefault="006604B2" w:rsidP="006604B2">
      <w:pPr>
        <w:rPr>
          <w:lang w:val="en-GB"/>
        </w:rPr>
      </w:pPr>
      <w:r w:rsidRPr="00EF4442">
        <w:rPr>
          <w:lang w:val="en-GB"/>
        </w:rPr>
        <w:t xml:space="preserve">Agar plates supported the growth of less bacteria and even though we observed higher CFU with time, the number of OTUs did not increase with time, meaning the bacteria were there we were just unable to see them.  </w:t>
      </w:r>
    </w:p>
    <w:p w14:paraId="106F9811" w14:textId="032A5036" w:rsidR="006604B2" w:rsidRDefault="006604B2">
      <w:pPr>
        <w:rPr>
          <w:lang w:val="en-GB"/>
        </w:rPr>
      </w:pPr>
      <w:r>
        <w:rPr>
          <w:lang w:val="en-GB"/>
        </w:rPr>
        <w:t xml:space="preserve">Longitudinal analysis </w:t>
      </w:r>
    </w:p>
    <w:p w14:paraId="35A04126" w14:textId="77777777" w:rsidR="006604B2" w:rsidRPr="00EF4442" w:rsidRDefault="006604B2" w:rsidP="006604B2">
      <w:pPr>
        <w:rPr>
          <w:lang w:val="en-GB"/>
        </w:rPr>
      </w:pPr>
      <w:r w:rsidRPr="00EF4442">
        <w:rPr>
          <w:lang w:val="en-GB"/>
        </w:rPr>
        <w:t xml:space="preserve">Usage of OTUs can be explained that in the time we used clustering algorithms, </w:t>
      </w:r>
      <w:proofErr w:type="spellStart"/>
      <w:r w:rsidRPr="00EF4442">
        <w:rPr>
          <w:lang w:val="en-GB"/>
        </w:rPr>
        <w:t>dada2</w:t>
      </w:r>
      <w:proofErr w:type="spellEnd"/>
      <w:r w:rsidRPr="00EF4442">
        <w:rPr>
          <w:lang w:val="en-GB"/>
        </w:rPr>
        <w:t xml:space="preserve"> was not able to process binned quality scores from </w:t>
      </w:r>
      <w:proofErr w:type="spellStart"/>
      <w:r w:rsidRPr="00EF4442">
        <w:rPr>
          <w:lang w:val="en-GB"/>
        </w:rPr>
        <w:t>NextSeq</w:t>
      </w:r>
      <w:proofErr w:type="spellEnd"/>
      <w:r w:rsidRPr="00EF4442">
        <w:rPr>
          <w:lang w:val="en-GB"/>
        </w:rPr>
        <w:t xml:space="preserve"> 2000 on which most of our samples were sequenced. </w:t>
      </w:r>
    </w:p>
    <w:p w14:paraId="7045822F" w14:textId="0D2EDE43" w:rsidR="006604B2" w:rsidRDefault="006604B2">
      <w:pPr>
        <w:rPr>
          <w:lang w:val="en-GB"/>
        </w:rPr>
      </w:pPr>
      <w:r>
        <w:rPr>
          <w:lang w:val="en-GB"/>
        </w:rPr>
        <w:t xml:space="preserve">Composition OUT </w:t>
      </w:r>
    </w:p>
    <w:p w14:paraId="4A3FB317" w14:textId="77777777" w:rsidR="006604B2" w:rsidRPr="00511463" w:rsidRDefault="006604B2" w:rsidP="006604B2">
      <w:pPr>
        <w:rPr>
          <w:lang w:val="en-GB"/>
        </w:rPr>
      </w:pPr>
      <w:r w:rsidRPr="00511463">
        <w:rPr>
          <w:lang w:val="en-GB"/>
        </w:rPr>
        <w:t xml:space="preserve">The high abundance of ethanol-resistant representatives within </w:t>
      </w:r>
      <w:r w:rsidRPr="00511463">
        <w:rPr>
          <w:i/>
          <w:iCs/>
          <w:lang w:val="en-GB"/>
        </w:rPr>
        <w:t>Bacillota</w:t>
      </w:r>
      <w:r w:rsidRPr="00511463">
        <w:rPr>
          <w:lang w:val="en-GB"/>
        </w:rPr>
        <w:t xml:space="preserve"> was expected due to the widespread ability to sporulate within this phylum [5]. Most Bacillota representatives identified as ethanol-resistant in this study belong to genera in which sporulation has previously been confirmed through the detection of sporulation-associated gene clusters or in vitro sporulation induction [6,16,29]. In contrast, ethanol-resistant representatives, as well as the mechanisms underlying their resistance, are poorly described in other phyla. Previous studies have reported the detection of </w:t>
      </w:r>
      <w:proofErr w:type="spellStart"/>
      <w:r w:rsidRPr="00511463">
        <w:rPr>
          <w:lang w:val="en-GB"/>
        </w:rPr>
        <w:t>Actinomycetota</w:t>
      </w:r>
      <w:proofErr w:type="spellEnd"/>
      <w:r w:rsidRPr="00511463">
        <w:rPr>
          <w:lang w:val="en-GB"/>
        </w:rPr>
        <w:t xml:space="preserve"> representatives in ethanol or lysozyme treated samples [4,11,12]. While exospore formation was described in the families </w:t>
      </w:r>
      <w:proofErr w:type="spellStart"/>
      <w:r w:rsidRPr="00511463">
        <w:rPr>
          <w:lang w:val="en-GB"/>
        </w:rPr>
        <w:t>Actinomycetaceae</w:t>
      </w:r>
      <w:proofErr w:type="spellEnd"/>
      <w:r w:rsidRPr="00511463">
        <w:rPr>
          <w:lang w:val="en-GB"/>
        </w:rPr>
        <w:t xml:space="preserve"> and </w:t>
      </w:r>
      <w:proofErr w:type="spellStart"/>
      <w:r w:rsidRPr="00511463">
        <w:rPr>
          <w:lang w:val="en-GB"/>
        </w:rPr>
        <w:t>Streptomycetaceae</w:t>
      </w:r>
      <w:proofErr w:type="spellEnd"/>
      <w:r w:rsidRPr="00511463">
        <w:rPr>
          <w:lang w:val="en-GB"/>
        </w:rPr>
        <w:t xml:space="preserve">, the mechanisms underlying ethanol resistance in other </w:t>
      </w:r>
      <w:proofErr w:type="spellStart"/>
      <w:r w:rsidRPr="00511463">
        <w:rPr>
          <w:lang w:val="en-GB"/>
        </w:rPr>
        <w:t>Actinomycetota</w:t>
      </w:r>
      <w:proofErr w:type="spellEnd"/>
      <w:r w:rsidRPr="00511463">
        <w:rPr>
          <w:lang w:val="en-GB"/>
        </w:rPr>
        <w:t xml:space="preserve"> families remain unclear. In our data, </w:t>
      </w:r>
      <w:proofErr w:type="spellStart"/>
      <w:r w:rsidRPr="00511463">
        <w:rPr>
          <w:lang w:val="en-GB"/>
        </w:rPr>
        <w:t>Actinomycetaceae</w:t>
      </w:r>
      <w:proofErr w:type="spellEnd"/>
      <w:r w:rsidRPr="00511463">
        <w:rPr>
          <w:lang w:val="en-GB"/>
        </w:rPr>
        <w:t xml:space="preserve"> accounted for only 0.4% of the relative abundance within the ethanol-resistant community, while </w:t>
      </w:r>
      <w:proofErr w:type="spellStart"/>
      <w:r w:rsidRPr="00511463">
        <w:rPr>
          <w:lang w:val="en-GB"/>
        </w:rPr>
        <w:t>Streptomycetaceae</w:t>
      </w:r>
      <w:proofErr w:type="spellEnd"/>
      <w:r w:rsidRPr="00511463">
        <w:rPr>
          <w:lang w:val="en-GB"/>
        </w:rPr>
        <w:t xml:space="preserve"> were not detected. Members of the phylum Pseudomonadota, also commonly </w:t>
      </w:r>
      <w:r w:rsidRPr="00511463">
        <w:rPr>
          <w:lang w:val="en-GB"/>
        </w:rPr>
        <w:lastRenderedPageBreak/>
        <w:t xml:space="preserve">detected in the ethanol-resistant community, have previously been reported to adopt various dormant life strategies, such as persistence and the viable but non-culturable state [28]. A limitation of this study is the reliance on </w:t>
      </w:r>
      <w:proofErr w:type="spellStart"/>
      <w:r w:rsidRPr="00511463">
        <w:rPr>
          <w:lang w:val="en-GB"/>
        </w:rPr>
        <w:t>16S</w:t>
      </w:r>
      <w:proofErr w:type="spellEnd"/>
      <w:r w:rsidRPr="00511463">
        <w:rPr>
          <w:lang w:val="en-GB"/>
        </w:rPr>
        <w:t xml:space="preserve"> rRNA amplicon sequencing, which does not provide information beyond taxonomic classification. Implementation of additional methodological approaches will be necessary to further elucidate the molecular basis of ethanol resistance in phyla other than Bacillota.</w:t>
      </w:r>
    </w:p>
    <w:p w14:paraId="6B0C199E" w14:textId="714D2D77" w:rsidR="006604B2" w:rsidRDefault="006604B2">
      <w:pPr>
        <w:rPr>
          <w:lang w:val="en-GB"/>
        </w:rPr>
      </w:pPr>
      <w:r>
        <w:rPr>
          <w:lang w:val="en-GB"/>
        </w:rPr>
        <w:t xml:space="preserve">Beta diversity </w:t>
      </w:r>
    </w:p>
    <w:p w14:paraId="75CE69D5" w14:textId="77777777" w:rsidR="006604B2" w:rsidRPr="00511463" w:rsidRDefault="006604B2" w:rsidP="006604B2">
      <w:pPr>
        <w:rPr>
          <w:rFonts w:cs="Times New Roman"/>
        </w:rPr>
      </w:pPr>
      <w:r w:rsidRPr="00511463">
        <w:rPr>
          <w:rFonts w:cs="Times New Roman"/>
        </w:rPr>
        <w:t xml:space="preserve">Our observation aligns with prior findings showing that lysozyme resistant taxa tend to have higher population-level prevalence and lower within-individual variability than non-resistant communities </w:t>
      </w:r>
      <w:r w:rsidRPr="00511463">
        <w:rPr>
          <w:rFonts w:cs="Times New Roman"/>
        </w:rPr>
        <w:fldChar w:fldCharType="begin"/>
      </w:r>
      <w:r w:rsidRPr="00511463">
        <w:rPr>
          <w:rFonts w:cs="Times New Roman"/>
        </w:rPr>
        <w:instrText xml:space="preserve"> ADDIN ZOTERO_ITEM CSL_CITATION {"citationID":"D0cGtBfI","properties":{"formattedCitation":"[11]","plainCitation":"[11]","noteIndex":0},"citationItems":[{"id":381,"uris":["http://zotero.org/users/8873894/items/3G69ZQ2W"],"itemData":{"id":381,"type":"article-journal","abstract":"Endospore-formers in the human microbiota are well adapted for host-to-host transmission, and an emerging consensus points to their role in determining health and disease states in the gut. The human gut, more than any other environment, encourages the maintenance of endospore formation, with recent culture-based work suggesting that over 50% of genera in the microbiome carry genes attributed to this trait. However, there has been limited work on the ecological role of endospores and other stress-resistant cellular states in the human gut. In fact, there is no data to indicate whether organisms with the genetic potential to form endospores actually form endospores in situ and how sporulation varies across individuals and over time. Here we applied a culture-independent protocol to enrich for endospores and other stress-resistant cells in human feces to identify variation in these states across people and within an individual over time. We see that cells with resistant states are more likely than those without to be shared among multiple individuals, which suggests that these resistant states are particularly adapted for cross-host dissemination. Furthermore, we use untargeted fecal metabolomics in 24 individuals and within a person over time to show that these organisms respond to shared environmental signals, and in particular, dietary fatty acids, that likely mediate colonization of recently disturbed human guts.","container-title":"The ISME Journal","DOI":"10.1038/s41396-018-0192-z","ISSN":"1751-7362, 1751-7370","issue":"10","journalAbbreviation":"ISME J","language":"en","page":"2403-2416","source":"DOI.org (Crossref)","title":"Endospores and other lysis-resistant bacteria comprise a widely shared core community within the human microbiota","volume":"12","author":[{"family":"Kearney","given":"Sean M."},{"family":"Gibbons","given":"Sean M."},{"family":"Poyet","given":"Mathilde"},{"family":"Gurry","given":"Thomas"},{"family":"Bullock","given":"Kevin"},{"family":"Allegretti","given":"Jessica R."},{"family":"Clish","given":"Clary B."},{"family":"Alm","given":"Eric J."}],"issued":{"date-parts":[["2018",10]]}}}],"schema":"https://github.com/citation-style-language/schema/raw/master/csl-citation.json"} </w:instrText>
      </w:r>
      <w:r w:rsidRPr="00511463">
        <w:rPr>
          <w:rFonts w:cs="Times New Roman"/>
        </w:rPr>
        <w:fldChar w:fldCharType="separate"/>
      </w:r>
      <w:r w:rsidRPr="00511463">
        <w:rPr>
          <w:rFonts w:cs="Times New Roman"/>
        </w:rPr>
        <w:t>[11]</w:t>
      </w:r>
      <w:r w:rsidRPr="00511463">
        <w:rPr>
          <w:rFonts w:cs="Times New Roman"/>
        </w:rPr>
        <w:fldChar w:fldCharType="end"/>
      </w:r>
      <w:r w:rsidRPr="00511463">
        <w:rPr>
          <w:rFonts w:cs="Times New Roman"/>
        </w:rPr>
        <w:t xml:space="preserve">. Moreover, a comparative genomic analysis has shown that bacterial species with more sporulation genes are significantly more prevalent in human populations, at least partially explaining the lower between-individual variability observed in this study </w:t>
      </w:r>
      <w:r w:rsidRPr="00511463">
        <w:rPr>
          <w:rFonts w:cs="Times New Roman"/>
        </w:rPr>
        <w:fldChar w:fldCharType="begin"/>
      </w:r>
      <w:r w:rsidRPr="00511463">
        <w:rPr>
          <w:rFonts w:cs="Times New Roman"/>
        </w:rPr>
        <w:instrText xml:space="preserve"> ADDIN ZOTERO_ITEM CSL_CITATION {"citationID":"2c347SpW","properties":{"formattedCitation":"[16]","plainCitation":"[16]","noteIndex":0},"citationItems":[{"id":380,"uris":["http://zotero.org/users/8873894/items/N88GZHKF"],"itemData":{"id":380,"type":"article-journal","abstract":"Background: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Pr="00511463">
        <w:rPr>
          <w:rFonts w:cs="Times New Roman"/>
        </w:rPr>
        <w:fldChar w:fldCharType="separate"/>
      </w:r>
      <w:r w:rsidRPr="00511463">
        <w:rPr>
          <w:rFonts w:cs="Times New Roman"/>
        </w:rPr>
        <w:t>[16]</w:t>
      </w:r>
      <w:r w:rsidRPr="00511463">
        <w:rPr>
          <w:rFonts w:cs="Times New Roman"/>
        </w:rPr>
        <w:fldChar w:fldCharType="end"/>
      </w:r>
      <w:r w:rsidRPr="00511463">
        <w:rPr>
          <w:rFonts w:cs="Times New Roman"/>
        </w:rPr>
        <w:t xml:space="preserve">. </w:t>
      </w:r>
    </w:p>
    <w:p w14:paraId="0C10A674" w14:textId="3D87CF1A" w:rsidR="006604B2" w:rsidRDefault="006604B2">
      <w:pPr>
        <w:rPr>
          <w:lang w:val="en-GB"/>
        </w:rPr>
      </w:pPr>
      <w:r>
        <w:rPr>
          <w:lang w:val="en-GB"/>
        </w:rPr>
        <w:t xml:space="preserve">Persistence </w:t>
      </w:r>
    </w:p>
    <w:p w14:paraId="7043B477" w14:textId="706F342F" w:rsidR="006604B2" w:rsidRDefault="006604B2">
      <w:pPr>
        <w:rPr>
          <w:rFonts w:cs="Times New Roman"/>
        </w:rPr>
      </w:pPr>
      <w:r w:rsidRPr="00511463">
        <w:rPr>
          <w:rFonts w:cs="Times New Roman"/>
        </w:rPr>
        <w:t xml:space="preserve">Spore persistence within the human gut was previously assessed using </w:t>
      </w:r>
      <w:r w:rsidRPr="00511463">
        <w:rPr>
          <w:rFonts w:cs="Times New Roman"/>
          <w:i/>
          <w:iCs/>
        </w:rPr>
        <w:t xml:space="preserve">in vitro </w:t>
      </w:r>
      <w:r w:rsidRPr="00511463">
        <w:rPr>
          <w:rFonts w:cs="Times New Roman"/>
        </w:rPr>
        <w:t xml:space="preserve">and murine gut models that have shown </w:t>
      </w:r>
      <w:r w:rsidRPr="00511463">
        <w:rPr>
          <w:rFonts w:cs="Times New Roman"/>
          <w:i/>
          <w:iCs/>
        </w:rPr>
        <w:t>C. difficile</w:t>
      </w:r>
      <w:r w:rsidRPr="00511463">
        <w:rPr>
          <w:rFonts w:cs="Times New Roman"/>
        </w:rPr>
        <w:t xml:space="preserve"> spores bind to biofilms and consequently evade washout </w:t>
      </w:r>
      <w:r w:rsidRPr="00511463">
        <w:rPr>
          <w:rFonts w:cs="Times New Roman"/>
        </w:rPr>
        <w:fldChar w:fldCharType="begin"/>
      </w:r>
      <w:r w:rsidRPr="00511463">
        <w:rPr>
          <w:rFonts w:cs="Times New Roman"/>
        </w:rPr>
        <w:instrText xml:space="preserve"> ADDIN ZOTERO_ITEM CSL_CITATION {"citationID":"rK4GeW78","properties":{"formattedCitation":"[30,31]","plainCitation":"[30,31]","noteIndex":0},"citationItems":[{"id":2984,"uris":["http://zotero.org/users/8873894/items/4EW43G8R"],"itemData":{"id":2984,"type":"article-journal","abstract":"Clostridium difficile infection (CDI) is a major healthcare-associated disease with high recurrence rates. Host colonization is critical for the infectious process, both in first episodes and in recurrent disease, with biofilm formation playing a ...","container-title":"Frontiers in Microbiology","DOI":"10.3389/fmicb.2017.02086","language":"en","note":"PMID: 29118745","page":"2086","source":"pmc.ncbi.nlm.nih.gov","title":"Biofilm Structures in a Mono-Associated Mouse Model of Clostridium difficile Infection","volume":"8","author":[{"family":"Soavelomandroso","given":"Anna P."},{"family":"Gaudin","given":"Françoise"},{"family":"Hoys","given":"Sandra"},{"family":"Nicolas","given":"Valérie"},{"family":"Vedantam","given":"Gayatri"},{"family":"Janoir","given":"Claire"},{"family":"Bouttier","given":"Sylvie"}],"issued":{"date-parts":[["2017",10,25]]}}},{"id":3151,"uris":["http://zotero.org/users/8873894/items/Y5Y33ERV"],"itemData":{"id":3151,"type":"article-journal","abstract":"C. difficile infection (CDI) is a worldwide healthcare problem with ~30% of cases failing primary therapy, placing a burden on healthcare systems and increasing patient morbidity. We have little understanding of why these therapies fail. Here, we use a clinically validated in vitro gut model to assess the contribution of biofilms towards recurrent disease and to investigate biofilm microbiota-C. difficile interactions. Initial experiments show that C. difficile cells became associated with the colonic biofilm microbiota and are not depleted by vancomycin or faecal microbiota transplant therapies. We observe that transferring biofilm encased C. difficile cells into a C. difficile naïve but CDI susceptible model induces CDI. Members of the biofilm community can impact C. difficile biofilm formation by acting either antagonistically or synergistically. We highlight the importance of biofilms as a reservoir for C. difficile, which can be a cause for recurrent infections.","container-title":"npj Biofilms and Microbiomes","DOI":"10.1038/s41522-021-00184-w","ISSN":"2055-5008","issue":"1","journalAbbreviation":"npj Biofilms Microbiomes","language":"en","license":"2021 The Author(s)","note":"publisher: Nature Publishing Group","page":"1-10","source":"www.nature.com","title":"Biofilms harbour Clostridioides difficile, serving as a reservoir for recurrent infection","volume":"7","author":[{"family":"Normington","given":"Charmaine"},{"family":"Moura","given":"Ines B."},{"family":"Bryant","given":"Jessica A."},{"family":"Ewin","given":"Duncan J."},{"family":"Clark","given":"Emma V."},{"family":"Kettle","given":"Morgan J."},{"family":"Harris","given":"Hannah C."},{"family":"Spittal","given":"William"},{"family":"Davis","given":"Georgina"},{"family":"Henn","given":"Matthew R."},{"family":"Ford","given":"Christopher B."},{"family":"Wilcox","given":"Mark H."},{"family":"Buckley","given":"Anthony M."}],"issued":{"date-parts":[["2021",2,5]]}}}],"schema":"https://github.com/citation-style-language/schema/raw/master/csl-citation.json"} </w:instrText>
      </w:r>
      <w:r w:rsidRPr="00511463">
        <w:rPr>
          <w:rFonts w:cs="Times New Roman"/>
        </w:rPr>
        <w:fldChar w:fldCharType="separate"/>
      </w:r>
      <w:r w:rsidRPr="00511463">
        <w:rPr>
          <w:rFonts w:cs="Times New Roman"/>
        </w:rPr>
        <w:t>[30,31]</w:t>
      </w:r>
      <w:r w:rsidRPr="00511463">
        <w:rPr>
          <w:rFonts w:cs="Times New Roman"/>
        </w:rPr>
        <w:fldChar w:fldCharType="end"/>
      </w:r>
      <w:r w:rsidRPr="00511463">
        <w:rPr>
          <w:rFonts w:cs="Times New Roman"/>
        </w:rPr>
        <w:t xml:space="preserve">. Their ability to persist is further supported by recurring infections with the same strain </w:t>
      </w:r>
      <w:r w:rsidRPr="00511463">
        <w:rPr>
          <w:rFonts w:cs="Times New Roman"/>
        </w:rPr>
        <w:fldChar w:fldCharType="begin"/>
      </w:r>
      <w:r w:rsidRPr="00511463">
        <w:rPr>
          <w:rFonts w:cs="Times New Roman"/>
        </w:rPr>
        <w:instrText xml:space="preserve"> ADDIN ZOTERO_ITEM CSL_CITATION {"citationID":"u5IEYBkK","properties":{"formattedCitation":"[32]","plainCitation":"[32]","noteIndex":0},"citationItems":[{"id":3153,"uris":["http://zotero.org/users/8873894/items/GWLWC4SF"],"itemData":{"id":3153,"type":"article-journal","abstract":"Our study sought to compare the strain types of Clostridium difficile causing initial and recurrent episodes of C. difficile infection (CDI) in adult patients with a first episode of CDI or 1 prior episode of CDI within the previous 90 days. Strains originated from patients who had been entered into two phase 3 randomized clinical trials of fidaxomicin versus vancomycin. Isolates of C. difficile from the initial and recurrent episodes within 28 (± 2) days of cure of CDI were compared using restriction endonuclease analysis (REA) typing. Paired isolates were available from 90 of 194 (46%) patients with recurrent CDI. Patients with isolates available were significantly younger (P = .008) and more likely to be from Canadian sites (P = .0001), compared with patients without isolates. In 75 of 90 subjects (83.3%), the identical REA type strain was identified at recurrence and the initial episode (putative relapse). Early recurrences (0-14 days after treatment completion) were relapses in 86.7% and a new strain (reinfection) in 13.3%. Later recurrences (15-31 days after treatment) were relapses in 76.7% and reinfections in 23.3%. Mean time (± standard deviation) to recurrence was 12.2 (± 6.4) days for relapses and 14.7 (± 6.8) days for reinfections (P = .177). The most common BI/NAP1/027 group and the previous US epidemic REA group J/NAP2/001 had a significantly higher combined rate of recurrence with the same strain (relapse), compared with the other REA groups (39 of 42 [93%] vs 36 of 48 [75%], respectively; P = .023). We found a higher than historic rate of recurrent CDI caused by the same isolate as the original episode, a finding that may be related to the relatively short observation period in this study and the high frequency of isolation of epidemic strains, such as groups BI and J, for which relapse rates may be higher than for other REA groups. Caution in generalizing these observations is required, because the patients studied were younger and more likely to be from Canadian sites than were patients with recurrence who did not provide isolates.","container-title":"Clinical Infectious Diseases: An Official Publication of the Infectious Diseases Society of America","DOI":"10.1093/cid/cis357","ISSN":"1537-6591","issue":"Suppl 2","journalAbbreviation":"Clin Infect Dis","language":"eng","note":"PMID: 22752857\nPMCID: PMC3388025","page":"S104-109","source":"PubMed","title":"Relapse versus reinfection: recurrent Clostridium difficile infection following treatment with fidaxomicin or vancomycin","title-short":"Relapse versus reinfection","volume":"55 Suppl 2","author":[{"family":"Figueroa","given":"Iris"},{"family":"Johnson","given":"Stuart"},{"family":"Sambol","given":"Susan P."},{"family":"Goldstein","given":"Ellie J. C."},{"family":"Citron","given":"Diane M."},{"family":"Gerding","given":"Dale N."}],"issued":{"date-parts":[["2012",8]]}}}],"schema":"https://github.com/citation-style-language/schema/raw/master/csl-citation.json"} </w:instrText>
      </w:r>
      <w:r w:rsidRPr="00511463">
        <w:rPr>
          <w:rFonts w:cs="Times New Roman"/>
        </w:rPr>
        <w:fldChar w:fldCharType="separate"/>
      </w:r>
      <w:r w:rsidRPr="00511463">
        <w:rPr>
          <w:rFonts w:cs="Times New Roman"/>
        </w:rPr>
        <w:t>[32]</w:t>
      </w:r>
      <w:r w:rsidRPr="00511463">
        <w:rPr>
          <w:rFonts w:cs="Times New Roman"/>
        </w:rPr>
        <w:fldChar w:fldCharType="end"/>
      </w:r>
      <w:r w:rsidRPr="00511463">
        <w:rPr>
          <w:rFonts w:cs="Times New Roman"/>
        </w:rPr>
        <w:t xml:space="preserve">. However, similar mechanisms of spore persistence have not been demonstrated for other species beyond </w:t>
      </w:r>
      <w:r w:rsidRPr="00511463">
        <w:rPr>
          <w:rFonts w:cs="Times New Roman"/>
          <w:i/>
          <w:iCs/>
        </w:rPr>
        <w:t>in vitro</w:t>
      </w:r>
      <w:r w:rsidRPr="00511463">
        <w:rPr>
          <w:rFonts w:cs="Times New Roman"/>
        </w:rPr>
        <w:t xml:space="preserve"> biofilm formations </w:t>
      </w:r>
      <w:r w:rsidRPr="00511463">
        <w:rPr>
          <w:rFonts w:cs="Times New Roman"/>
        </w:rPr>
        <w:fldChar w:fldCharType="begin"/>
      </w:r>
      <w:r w:rsidRPr="00511463">
        <w:rPr>
          <w:rFonts w:cs="Times New Roman"/>
        </w:rPr>
        <w:instrText xml:space="preserve"> ADDIN ZOTERO_ITEM CSL_CITATION {"citationID":"qYcVtaqE","properties":{"formattedCitation":"[33]","plainCitation":"[33]","noteIndex":0},"citationItems":[{"id":2980,"uris":["http://zotero.org/users/8873894/items/2R2PHLWE"],"itemData":{"id":2980,"type":"article-journal","abstract":"Sessile growth of anaerobic bacteria from the human intestinal tract has been poorly investigated, so far. We recently reported data on the close association existing between biliary stent clogging and polymicrobial biofilm development in its lumen. By exploiting the explanted stents as a rich source of anaerobic bacterial strains belonging to the genera Bacteroides, Clostridium, Fusobacterium, Finegoldia, Prevotella, and Veillonella, the present study focused on their ability to adhere, to grow in sessile mode and to form in vitro mono- or dual-species biofilms. Experiments on dual-species biofilm formation were planned on the basis of the anaerobic strains isolated from each clogged biliary stent, by selecting those in which a couple of anaerobic strains belonging to different species contributed to the polymicrobial biofilm development. Then, strains were investigated by field emission scanning electron microscopy and confocal laser scanning microscopy to reveal if they are able to grow as mono- and/or dual-species biofilms. As far as we know, this is the first report on the ability to adhere and form mono/dual-species biofilms exhibited by strains belonging to the species Bacteroides oralis, Clostridium difficile, Clostridium baratii, Clostridium fallax, Clostridium bifermentans, Finegoldia magna, and Fusobacterium necrophorum.","container-title":"FEMS immunology and medical microbiology","DOI":"10.1111/j.1574-695X.2012.00962.x","ISSN":"1574-695X","issue":"2","journalAbbreviation":"FEMS Immunol Med Microbiol","language":"eng","note":"PMID: 22444687","page":"318-325","source":"PubMed","title":"Biofilm-growing intestinal anaerobic bacteria","volume":"65","author":[{"family":"Donelli","given":"Gianfranco"},{"family":"Vuotto","given":"Claudia"},{"family":"Cardines","given":"Rita"},{"family":"Mastrantonio","given":"Paola"}],"issued":{"date-parts":[["2012",7]]}}}],"schema":"https://github.com/citation-style-language/schema/raw/master/csl-citation.json"} </w:instrText>
      </w:r>
      <w:r w:rsidRPr="00511463">
        <w:rPr>
          <w:rFonts w:cs="Times New Roman"/>
        </w:rPr>
        <w:fldChar w:fldCharType="separate"/>
      </w:r>
      <w:r w:rsidRPr="00511463">
        <w:rPr>
          <w:rFonts w:cs="Times New Roman"/>
        </w:rPr>
        <w:t>[33]</w:t>
      </w:r>
      <w:r w:rsidRPr="00511463">
        <w:rPr>
          <w:rFonts w:cs="Times New Roman"/>
        </w:rPr>
        <w:fldChar w:fldCharType="end"/>
      </w:r>
      <w:r w:rsidRPr="00511463">
        <w:rPr>
          <w:rFonts w:cs="Times New Roman"/>
        </w:rPr>
        <w:t>.</w:t>
      </w:r>
    </w:p>
    <w:p w14:paraId="3D131B90" w14:textId="77777777" w:rsidR="006604B2" w:rsidRPr="00511463" w:rsidRDefault="006604B2" w:rsidP="006604B2">
      <w:pPr>
        <w:rPr>
          <w:rFonts w:cs="Times New Roman"/>
        </w:rPr>
      </w:pPr>
      <w:r w:rsidRPr="00511463">
        <w:rPr>
          <w:rFonts w:cs="Times New Roman"/>
        </w:rPr>
        <w:t xml:space="preserve">Our findings provide additional experimental evidence that spore formation in phylum </w:t>
      </w:r>
      <w:r w:rsidRPr="00511463">
        <w:rPr>
          <w:rFonts w:cs="Times New Roman"/>
          <w:i/>
          <w:iCs/>
        </w:rPr>
        <w:t>Bacillota</w:t>
      </w:r>
      <w:r w:rsidRPr="00511463">
        <w:rPr>
          <w:rFonts w:cs="Times New Roman"/>
        </w:rPr>
        <w:t xml:space="preserve"> contributes to both increased transmission between individuals and long-term persistence within the host. In contrast, ethanol resistance mechanisms in non-</w:t>
      </w:r>
      <w:r w:rsidRPr="00511463">
        <w:rPr>
          <w:rFonts w:cs="Times New Roman"/>
          <w:i/>
          <w:iCs/>
        </w:rPr>
        <w:t>Bacillota</w:t>
      </w:r>
      <w:r w:rsidRPr="00511463">
        <w:rPr>
          <w:rFonts w:cs="Times New Roman"/>
        </w:rPr>
        <w:t xml:space="preserve"> phyla appear to play a more prominent role in facilitating transmission, with a lesser impact on within-host persistence. A limitation of our study is the use of </w:t>
      </w:r>
      <w:proofErr w:type="spellStart"/>
      <w:r w:rsidRPr="00511463">
        <w:rPr>
          <w:rFonts w:cs="Times New Roman"/>
        </w:rPr>
        <w:t>16S</w:t>
      </w:r>
      <w:proofErr w:type="spellEnd"/>
      <w:r w:rsidRPr="00511463">
        <w:rPr>
          <w:rFonts w:cs="Times New Roman"/>
        </w:rPr>
        <w:t xml:space="preserve"> rRNA amplicon sequencing, which does not provide taxonomic resolution beyond the genus. Consequently, we were unable to distinguish whether temporal changes in taxa detection reflected strain replacement or the coexistence of multiple strains </w:t>
      </w:r>
      <w:r w:rsidRPr="00511463">
        <w:rPr>
          <w:rFonts w:cs="Times New Roman"/>
        </w:rPr>
        <w:fldChar w:fldCharType="begin"/>
      </w:r>
      <w:r w:rsidRPr="00511463">
        <w:rPr>
          <w:rFonts w:cs="Times New Roman"/>
        </w:rPr>
        <w:instrText xml:space="preserve"> ADDIN ZOTERO_ITEM CSL_CITATION {"citationID":"rj5CuAzA","properties":{"formattedCitation":"[34]","plainCitation":"[34]","noteIndex":0},"citationItems":[{"id":175,"uris":["http://zotero.org/users/8873894/items/D73U5VSG"],"itemData":{"id":175,"type":"article-journal","abstract":"Our understanding of how the gut microbiome interacts with its human host has been restrained by limited access to longitudinal datasets to examine stability and dynamics, and by having only a few isolates to test mechanistic hypotheses. Here, we present the Broad Institute-OpenBiome Microbiome Library (BIO-ML), a comprehensive collection of 7,758 gut bacterial isolates paired with 3,632 genome sequences and longitudinal multi-omics data. We show that microbial species maintain stable population sizes within and across humans and that commonly used 'omics' survey methods are more reliable when using averages over multiple days of sampling. Variation of gut metabolites within people over time is associated with amino acid levels, and differences across people are associated with differences in bile acids. Finally, we show that genomic diversification can be used to infer eco-evolutionary dynamics and in vivo selection pressures for strains within individuals. The BIO-ML is a unique resource designed to enable hypothesis-driven microbiome research.","container-title":"Nature Medicine","DOI":"10.1038/s41591-019-0559-3","ISSN":"1546-170X","issue":"9","journalAbbreviation":"Nat Med","language":"eng","note":"PMID: 31477907","page":"1442-1452","source":"PubMed","title":"A library of human gut bacterial isolates paired with longitudinal multiomics data enables mechanistic microbiome research","volume":"25","author":[{"family":"Poyet","given":"M."},{"family":"Groussin","given":"M."},{"family":"Gibbons","given":"S. M."},{"family":"Avila-Pacheco","given":"J."},{"family":"Jiang","given":"X."},{"family":"Kearney","given":"S. M."},{"family":"Perrotta","given":"A. R."},{"family":"Berdy","given":"B."},{"family":"Zhao","given":"S."},{"family":"Lieberman","given":"T. D."},{"family":"Swanson","given":"P. K."},{"family":"Smith","given":"M."},{"family":"Roesemann","given":"S."},{"family":"Alexander","given":"J. E."},{"family":"Rich","given":"S. A."},{"family":"Livny","given":"J."},{"family":"Vlamakis","given":"H."},{"family":"Clish","given":"C."},{"family":"Bullock","given":"K."},{"family":"Deik","given":"A."},{"family":"Scott","given":"J."},{"family":"Pierce","given":"K. A."},{"family":"Xavier","given":"R. J."},{"family":"Alm","given":"E. J."}],"issued":{"date-parts":[["2019",9]]}}}],"schema":"https://github.com/citation-style-language/schema/raw/master/csl-citation.json"} </w:instrText>
      </w:r>
      <w:r w:rsidRPr="00511463">
        <w:rPr>
          <w:rFonts w:cs="Times New Roman"/>
        </w:rPr>
        <w:fldChar w:fldCharType="separate"/>
      </w:r>
      <w:r w:rsidRPr="00511463">
        <w:rPr>
          <w:rFonts w:cs="Times New Roman"/>
        </w:rPr>
        <w:t>[34]</w:t>
      </w:r>
      <w:r w:rsidRPr="00511463">
        <w:rPr>
          <w:rFonts w:cs="Times New Roman"/>
        </w:rPr>
        <w:fldChar w:fldCharType="end"/>
      </w:r>
      <w:r w:rsidRPr="00511463">
        <w:rPr>
          <w:rFonts w:cs="Times New Roman"/>
        </w:rPr>
        <w:t xml:space="preserve">. This distinction is particularly relevant given previous reports of high strain-level retention in the gut over short time scales and limited strain sharing between individuals </w:t>
      </w:r>
      <w:r w:rsidRPr="00511463">
        <w:rPr>
          <w:rFonts w:cs="Times New Roman"/>
        </w:rPr>
        <w:fldChar w:fldCharType="begin"/>
      </w:r>
      <w:r w:rsidRPr="00511463">
        <w:rPr>
          <w:rFonts w:cs="Times New Roman"/>
        </w:rPr>
        <w:instrText xml:space="preserve"> ADDIN ZOTERO_ITEM CSL_CITATION {"citationID":"rL10cViM","properties":{"formattedCitation":"[35]","plainCitation":"[35]","noteIndex":0},"citationItems":[{"id":2303,"uris":["http://zotero.org/users/8873894/items/8JFF8KSZ"],"itemData":{"id":2303,"type":"article-journal","abstract":"The human gut microbiome harbors substantial ecological diversity at the species level as well as at the strain level within species. In healthy hosts, species abundance fluctuations in the microbiome are thought to be stable, and these fluctuations can be described by macroecological laws. However, it is less clear how strain abundances change over time. An open question is whether individual strains behave like species themselves, exhibiting stability and following the macroecological relationships known to hold at the species level, or whether strains have different dynamics, perhaps due to the relatively close phylogenetic relatedness of cocolonizing lineages. Here, we analyze the daily dynamics of intraspecific genetic variation in the gut microbiomes of four healthy, densely longitudinally sampled hosts. First, we find that the overall genetic diversity of a large majority of species is stationary over time despite short-term fluctuations. Next, we show that fluctuations in abundances in approximately 80% of strains analyzed can be predicted with a stochastic logistic model (SLM), an ecological model of a population experiencing environmental fluctuations around a fixed carrying capacity, which has previously been shown to capture statistical properties of species abundance fluctuations. The success of this model indicates that strain abundances typically fluctuate around a fixed carrying capacity, suggesting that most strains are dynamically stable. Finally, we find that the strain abundances follow several empirical macroecological laws known to hold at the species level. Together, our results suggest that macroecological properties of the human gut microbiome, including its stability, emerge at the level of strains.\nIMPORTANCE To date, there has been an intense focus on the ecological dynamics of the human gut microbiome at the species level. However, there is considerable genetic diversity within species at the strain level, and these intraspecific differences can have important phenotypic effects on the host, impacting the ability to digest certain foods and metabolize drugs. Thus, to fully understand how the gut microbiome operates in times of health and sickness, its ecological dynamics may need to be quantified at the level of strains. Here, we show that a large majority of strains maintain stable abundances for periods of months to years, exhibiting fluctuations in abundance that can be well described by macroecological laws known to hold at the species level, while a smaller percentage of strains undergo rapid, directional changes in abundance. Overall, our work indicates that strains are an important unit of ecological organization in the human gut microbiome.","container-title":"mBio","DOI":"10.1128/mbio.02502-22","issue":"2","note":"publisher: American Society for Microbiology","page":"e02502-22","source":"journals.asm.org (Atypon)","title":"Ecological Stability Emerges at the Level of Strains in the Human Gut Microbiome","volume":"14","author":[{"family":"Wolff","given":"Richard"},{"family":"Shoemaker","given":"William"},{"family":"Garud","given":"Nandita"}],"issued":{"date-parts":[["2023",2,21]]}}}],"schema":"https://github.com/citation-style-language/schema/raw/master/csl-citation.json"} </w:instrText>
      </w:r>
      <w:r w:rsidRPr="00511463">
        <w:rPr>
          <w:rFonts w:cs="Times New Roman"/>
        </w:rPr>
        <w:fldChar w:fldCharType="separate"/>
      </w:r>
      <w:r w:rsidRPr="00511463">
        <w:rPr>
          <w:rFonts w:cs="Times New Roman"/>
        </w:rPr>
        <w:t>[35]</w:t>
      </w:r>
      <w:r w:rsidRPr="00511463">
        <w:rPr>
          <w:rFonts w:cs="Times New Roman"/>
        </w:rPr>
        <w:fldChar w:fldCharType="end"/>
      </w:r>
      <w:r w:rsidRPr="00511463">
        <w:rPr>
          <w:rFonts w:cs="Times New Roman"/>
        </w:rPr>
        <w:t>.</w:t>
      </w:r>
    </w:p>
    <w:p w14:paraId="0E00503E" w14:textId="77777777" w:rsidR="006604B2" w:rsidRDefault="006604B2">
      <w:pPr>
        <w:rPr>
          <w:lang w:val="en-GB"/>
        </w:rPr>
      </w:pPr>
    </w:p>
    <w:p w14:paraId="1757EDB8" w14:textId="0CAC39BE" w:rsidR="00646031" w:rsidRDefault="00646031">
      <w:pPr>
        <w:rPr>
          <w:lang w:val="en-GB"/>
        </w:rPr>
      </w:pPr>
      <w:r>
        <w:rPr>
          <w:lang w:val="en-GB"/>
        </w:rPr>
        <w:t xml:space="preserve">Density of clustering </w:t>
      </w:r>
    </w:p>
    <w:p w14:paraId="26E86030" w14:textId="77777777" w:rsidR="00646031" w:rsidRPr="00511463" w:rsidRDefault="00646031" w:rsidP="00646031">
      <w:pPr>
        <w:rPr>
          <w:lang w:val="en-GB"/>
        </w:rPr>
      </w:pPr>
      <w:r>
        <w:rPr>
          <w:lang w:val="en-GB"/>
        </w:rPr>
        <w:t xml:space="preserve">Density of clustering for everyone is individual dependant, so based on their changes in the life. But still ethanol-resistant especially ethanol-resistant </w:t>
      </w:r>
      <w:proofErr w:type="gramStart"/>
      <w:r>
        <w:rPr>
          <w:i/>
          <w:iCs/>
          <w:lang w:val="en-GB"/>
        </w:rPr>
        <w:t xml:space="preserve">Bacillota </w:t>
      </w:r>
      <w:r>
        <w:rPr>
          <w:lang w:val="en-GB"/>
        </w:rPr>
        <w:t xml:space="preserve"> the</w:t>
      </w:r>
      <w:proofErr w:type="gramEnd"/>
      <w:r>
        <w:rPr>
          <w:lang w:val="en-GB"/>
        </w:rPr>
        <w:t xml:space="preserve"> sporobiota of the gut community is more similar to itself in time than other ethanol-resistant or ethanol non-resistant communities. </w:t>
      </w:r>
    </w:p>
    <w:p w14:paraId="36243A96" w14:textId="77777777" w:rsidR="00646031" w:rsidRDefault="00646031">
      <w:pPr>
        <w:rPr>
          <w:lang w:val="en-GB"/>
        </w:rPr>
      </w:pPr>
    </w:p>
    <w:p w14:paraId="68B80817" w14:textId="77777777" w:rsidR="00357381" w:rsidRPr="00511463" w:rsidRDefault="00357381" w:rsidP="00357381">
      <w:pPr>
        <w:rPr>
          <w:rFonts w:cs="Times New Roman"/>
          <w:lang w:val="en-GB"/>
        </w:rPr>
      </w:pPr>
    </w:p>
    <w:p w14:paraId="771B5B61" w14:textId="77777777" w:rsidR="00357381" w:rsidRPr="001560D9" w:rsidRDefault="00357381" w:rsidP="00357381">
      <w:pPr>
        <w:pStyle w:val="ListParagraph"/>
        <w:numPr>
          <w:ilvl w:val="2"/>
          <w:numId w:val="1"/>
        </w:numPr>
        <w:spacing w:line="360" w:lineRule="auto"/>
        <w:jc w:val="both"/>
        <w:rPr>
          <w:rFonts w:cs="Times New Roman"/>
          <w:lang w:val="en-GB"/>
        </w:rPr>
      </w:pPr>
      <w:r w:rsidRPr="001560D9">
        <w:rPr>
          <w:rFonts w:cs="Times New Roman"/>
          <w:lang w:val="en-GB"/>
        </w:rPr>
        <w:lastRenderedPageBreak/>
        <w:t xml:space="preserve">Stability </w:t>
      </w:r>
    </w:p>
    <w:p w14:paraId="6F8D9032" w14:textId="77777777" w:rsidR="00357381" w:rsidRPr="00AC09BB" w:rsidRDefault="00357381" w:rsidP="00357381">
      <w:pPr>
        <w:rPr>
          <w:lang w:val="en-GB"/>
        </w:rPr>
      </w:pPr>
      <w:r w:rsidRPr="00AC09BB">
        <w:rPr>
          <w:lang w:val="en-GB"/>
        </w:rPr>
        <w:t xml:space="preserve">By different definitions of stability this community on the level of OTUs is stable, as the return to previous after disturbance such as antibiotic treatment and travel (individuals A, B, C, D) is either not even visible in the observation of relative abundance or they have return to ‘previous state’ quickly after the disturbance (H). One possible explanation for this could also be the time scale of our sampling, as bacterial generation time is on the scale from hours to a day, while our sampling took place every 14 weeks. So, we were able to observe larger ecological changes that did not occur, as opposed to smaller changes in hour to hour. </w:t>
      </w:r>
    </w:p>
    <w:p w14:paraId="24E1C706" w14:textId="77777777" w:rsidR="00357381" w:rsidRPr="00511463" w:rsidRDefault="00357381" w:rsidP="00357381">
      <w:pPr>
        <w:rPr>
          <w:lang w:val="en-GB"/>
        </w:rPr>
      </w:pPr>
      <w:r>
        <w:rPr>
          <w:lang w:val="en-GB"/>
        </w:rPr>
        <w:t>We</w:t>
      </w:r>
      <w:r w:rsidRPr="00511463">
        <w:rPr>
          <w:lang w:val="en-GB"/>
        </w:rPr>
        <w:t xml:space="preserve"> have shown than in the span of 6 months in 9 individuals that we </w:t>
      </w:r>
      <w:proofErr w:type="gramStart"/>
      <w:r w:rsidRPr="00511463">
        <w:rPr>
          <w:lang w:val="en-GB"/>
        </w:rPr>
        <w:t>samples</w:t>
      </w:r>
      <w:proofErr w:type="gramEnd"/>
      <w:r w:rsidRPr="00511463">
        <w:rPr>
          <w:lang w:val="en-GB"/>
        </w:rPr>
        <w:t xml:space="preserve"> the OTUs we </w:t>
      </w:r>
      <w:proofErr w:type="spellStart"/>
      <w:r w:rsidRPr="00511463">
        <w:rPr>
          <w:lang w:val="en-GB"/>
        </w:rPr>
        <w:t>receovered</w:t>
      </w:r>
      <w:proofErr w:type="spellEnd"/>
      <w:r w:rsidRPr="00511463">
        <w:rPr>
          <w:lang w:val="en-GB"/>
        </w:rPr>
        <w:t xml:space="preserve"> from bulk microbiota either they be part of the ethanol resistant or ethanol non-resistant fraction are stable. There are no alternative stable states or large transitions. Even though two of participants consumed antibiotics during the study (E, H) there is no proof of instability. </w:t>
      </w:r>
    </w:p>
    <w:p w14:paraId="049D0A93" w14:textId="77777777" w:rsidR="00357381" w:rsidRPr="00511463" w:rsidRDefault="00357381" w:rsidP="00357381">
      <w:pPr>
        <w:rPr>
          <w:lang w:val="en-GB"/>
        </w:rPr>
      </w:pPr>
      <w:r w:rsidRPr="00511463">
        <w:rPr>
          <w:noProof/>
          <w:lang w:val="en-GB"/>
        </w:rPr>
        <w:drawing>
          <wp:inline distT="0" distB="0" distL="0" distR="0" wp14:anchorId="22596975" wp14:editId="5B2F797B">
            <wp:extent cx="5926455" cy="2924175"/>
            <wp:effectExtent l="0" t="0" r="0" b="9525"/>
            <wp:docPr id="488952858" name="Picture 5" descr="Slika, ki vsebuje besede besedilo, posnetek zaslona, barvitost, oblikovanje&#10;&#10;Vsebina, ustvarjena z UI,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952858" name="Picture 5" descr="Slika, ki vsebuje besede besedilo, posnetek zaslona, barvitost, oblikovanje&#10;&#10;Vsebina, ustvarjena z UI, morda ni pravilna."/>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26455" cy="2924175"/>
                    </a:xfrm>
                    <a:prstGeom prst="rect">
                      <a:avLst/>
                    </a:prstGeom>
                    <a:noFill/>
                    <a:ln>
                      <a:noFill/>
                    </a:ln>
                  </pic:spPr>
                </pic:pic>
              </a:graphicData>
            </a:graphic>
          </wp:inline>
        </w:drawing>
      </w:r>
    </w:p>
    <w:p w14:paraId="17AB5144" w14:textId="77777777" w:rsidR="00357381" w:rsidRPr="00511463" w:rsidRDefault="00357381" w:rsidP="00357381">
      <w:pPr>
        <w:rPr>
          <w:lang w:val="en-GB"/>
        </w:rPr>
      </w:pPr>
      <w:r w:rsidRPr="00511463">
        <w:rPr>
          <w:lang w:val="en-GB"/>
        </w:rPr>
        <w:t>Figure</w:t>
      </w:r>
      <w:r>
        <w:rPr>
          <w:lang w:val="en-GB"/>
        </w:rPr>
        <w:t xml:space="preserve"> 11</w:t>
      </w:r>
      <w:r w:rsidRPr="00511463">
        <w:rPr>
          <w:lang w:val="en-GB"/>
        </w:rPr>
        <w:t xml:space="preserve">: Relative abundance of each OTU through time for </w:t>
      </w:r>
      <w:proofErr w:type="gramStart"/>
      <w:r w:rsidRPr="00511463">
        <w:rPr>
          <w:lang w:val="en-GB"/>
        </w:rPr>
        <w:t>each individual</w:t>
      </w:r>
      <w:proofErr w:type="gramEnd"/>
      <w:r w:rsidRPr="00511463">
        <w:rPr>
          <w:lang w:val="en-GB"/>
        </w:rPr>
        <w:t xml:space="preserve">. There is no indication for alternative stable states, as even individuals E and H, that consumed AB there is the return to the same as before in relative abundance of all observed OTUs. </w:t>
      </w:r>
    </w:p>
    <w:p w14:paraId="518B513A" w14:textId="77777777" w:rsidR="00357381" w:rsidRDefault="00357381">
      <w:pPr>
        <w:rPr>
          <w:lang w:val="en-GB"/>
        </w:rPr>
      </w:pPr>
    </w:p>
    <w:p w14:paraId="5D1B6BA7" w14:textId="77777777" w:rsidR="001619E1" w:rsidRDefault="001619E1">
      <w:pPr>
        <w:rPr>
          <w:lang w:val="en-GB"/>
        </w:rPr>
      </w:pPr>
    </w:p>
    <w:p w14:paraId="2D62B1E5" w14:textId="77777777" w:rsidR="001619E1" w:rsidRPr="00511463" w:rsidRDefault="001619E1" w:rsidP="001619E1">
      <w:pPr>
        <w:rPr>
          <w:rFonts w:cs="Times New Roman"/>
          <w:u w:val="single"/>
          <w:lang w:val="en-GB"/>
        </w:rPr>
      </w:pPr>
      <w:r w:rsidRPr="00511463">
        <w:rPr>
          <w:rFonts w:cs="Times New Roman"/>
          <w:u w:val="single"/>
          <w:lang w:val="en-GB"/>
        </w:rPr>
        <w:t>Hypothesis 2: Gut sporobiota and microbiota will change during the extreme event in most volunteers.</w:t>
      </w:r>
    </w:p>
    <w:p w14:paraId="3E4F636D" w14:textId="77777777" w:rsidR="001619E1" w:rsidRPr="00511463" w:rsidRDefault="001619E1" w:rsidP="001619E1">
      <w:pPr>
        <w:rPr>
          <w:rFonts w:cs="Times New Roman"/>
          <w:lang w:val="en-GB"/>
        </w:rPr>
      </w:pPr>
      <w:r w:rsidRPr="00511463">
        <w:rPr>
          <w:rFonts w:cs="Times New Roman"/>
          <w:lang w:val="en-GB"/>
        </w:rPr>
        <w:t xml:space="preserve">Goals: </w:t>
      </w:r>
    </w:p>
    <w:p w14:paraId="06A62026" w14:textId="77777777" w:rsidR="001619E1" w:rsidRPr="00511463" w:rsidRDefault="001619E1" w:rsidP="001619E1">
      <w:pPr>
        <w:rPr>
          <w:rFonts w:cs="Times New Roman"/>
          <w:color w:val="FF0000"/>
          <w:lang w:val="en-GB"/>
        </w:rPr>
      </w:pPr>
      <w:r w:rsidRPr="00511463">
        <w:rPr>
          <w:rFonts w:cs="Times New Roman"/>
          <w:color w:val="FF0000"/>
          <w:lang w:val="en-GB"/>
        </w:rPr>
        <w:lastRenderedPageBreak/>
        <w:t>what will be the distance between the points of samples from regular monitoring and samples from extreme events</w:t>
      </w:r>
    </w:p>
    <w:p w14:paraId="2E2BF339" w14:textId="77777777" w:rsidR="001619E1" w:rsidRPr="00511463" w:rsidRDefault="001619E1" w:rsidP="001619E1">
      <w:pPr>
        <w:rPr>
          <w:rFonts w:cs="Times New Roman"/>
          <w:color w:val="FF0000"/>
          <w:lang w:val="en-GB"/>
        </w:rPr>
      </w:pPr>
      <w:r w:rsidRPr="00511463">
        <w:rPr>
          <w:rFonts w:cs="Times New Roman"/>
          <w:color w:val="FF0000"/>
          <w:lang w:val="en-GB"/>
        </w:rPr>
        <w:t xml:space="preserve">CHECK for correlations in changes between alpha and travel and alpha and AB consumption! </w:t>
      </w:r>
    </w:p>
    <w:p w14:paraId="671EABFE" w14:textId="77777777" w:rsidR="001619E1" w:rsidRPr="00511463" w:rsidRDefault="001619E1" w:rsidP="001619E1">
      <w:pPr>
        <w:rPr>
          <w:rFonts w:cs="Times New Roman"/>
          <w:lang w:val="en-GB"/>
        </w:rPr>
      </w:pPr>
      <w:r w:rsidRPr="00511463">
        <w:rPr>
          <w:rFonts w:cs="Times New Roman"/>
          <w:lang w:val="en-GB"/>
        </w:rPr>
        <w:t xml:space="preserve">Although we followed a large </w:t>
      </w:r>
      <w:proofErr w:type="gramStart"/>
      <w:r w:rsidRPr="00511463">
        <w:rPr>
          <w:rFonts w:cs="Times New Roman"/>
          <w:lang w:val="en-GB"/>
        </w:rPr>
        <w:t>number</w:t>
      </w:r>
      <w:proofErr w:type="gramEnd"/>
      <w:r w:rsidRPr="00511463">
        <w:rPr>
          <w:rFonts w:cs="Times New Roman"/>
          <w:lang w:val="en-GB"/>
        </w:rPr>
        <w:t xml:space="preserve"> of metadata at each time point of sampling, our study is too small (in terms of number of same changes in the whole study) and also changes were to sporadic by individual and between individuals so could not be (with exception of antibiotic consumption) statistically significant linked to changes in the alpha diversity of individuals through time. </w:t>
      </w:r>
    </w:p>
    <w:p w14:paraId="48C7A070" w14:textId="77777777" w:rsidR="001619E1" w:rsidRPr="006604B2" w:rsidRDefault="001619E1">
      <w:pPr>
        <w:rPr>
          <w:lang w:val="en-GB"/>
        </w:rPr>
      </w:pPr>
    </w:p>
    <w:sectPr w:rsidR="001619E1" w:rsidRPr="006604B2" w:rsidSect="009B30B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D35432"/>
    <w:multiLevelType w:val="multilevel"/>
    <w:tmpl w:val="1ADAA6D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20824781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A8E"/>
    <w:rsid w:val="00021B54"/>
    <w:rsid w:val="001619E1"/>
    <w:rsid w:val="00357381"/>
    <w:rsid w:val="004F09A1"/>
    <w:rsid w:val="005B18B4"/>
    <w:rsid w:val="00646031"/>
    <w:rsid w:val="006604B2"/>
    <w:rsid w:val="008253C5"/>
    <w:rsid w:val="00951A8E"/>
    <w:rsid w:val="00995C41"/>
    <w:rsid w:val="009B30B2"/>
    <w:rsid w:val="00CE6D97"/>
    <w:rsid w:val="00DA4F9A"/>
  </w:rsids>
  <m:mathPr>
    <m:mathFont m:val="Cambria Math"/>
    <m:brkBin m:val="before"/>
    <m:brkBinSub m:val="--"/>
    <m:smallFrac m:val="0"/>
    <m:dispDef/>
    <m:lMargin m:val="0"/>
    <m:rMargin m:val="0"/>
    <m:defJc m:val="centerGroup"/>
    <m:wrapIndent m:val="1440"/>
    <m:intLim m:val="subSup"/>
    <m:naryLim m:val="undOvr"/>
  </m:mathPr>
  <w:themeFontLang w:val="sl-SI"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CD4A2"/>
  <w15:chartTrackingRefBased/>
  <w15:docId w15:val="{9C0CFB32-F518-4B7D-A036-712E6A9058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1A8E"/>
    <w:pPr>
      <w:spacing w:line="360" w:lineRule="auto"/>
      <w:jc w:val="both"/>
    </w:pPr>
    <w:rPr>
      <w:rFonts w:ascii="Times New Roman" w:hAnsi="Times New Roman"/>
      <w:kern w:val="0"/>
      <w14:ligatures w14:val="none"/>
    </w:rPr>
  </w:style>
  <w:style w:type="paragraph" w:styleId="Heading1">
    <w:name w:val="heading 1"/>
    <w:basedOn w:val="Normal"/>
    <w:next w:val="Normal"/>
    <w:link w:val="Heading1Char"/>
    <w:uiPriority w:val="9"/>
    <w:qFormat/>
    <w:rsid w:val="00951A8E"/>
    <w:pPr>
      <w:keepNext/>
      <w:keepLines/>
      <w:spacing w:before="360" w:after="80" w:line="259" w:lineRule="auto"/>
      <w:jc w:val="left"/>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951A8E"/>
    <w:pPr>
      <w:keepNext/>
      <w:keepLines/>
      <w:spacing w:before="160" w:after="80" w:line="259" w:lineRule="auto"/>
      <w:jc w:val="left"/>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951A8E"/>
    <w:pPr>
      <w:keepNext/>
      <w:keepLines/>
      <w:spacing w:before="160" w:after="80" w:line="259" w:lineRule="auto"/>
      <w:jc w:val="left"/>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51A8E"/>
    <w:pPr>
      <w:keepNext/>
      <w:keepLines/>
      <w:spacing w:before="80" w:after="40" w:line="259" w:lineRule="auto"/>
      <w:jc w:val="left"/>
      <w:outlineLvl w:val="3"/>
    </w:pPr>
    <w:rPr>
      <w:rFonts w:asciiTheme="minorHAnsi" w:eastAsiaTheme="majorEastAsia" w:hAnsiTheme="min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951A8E"/>
    <w:pPr>
      <w:keepNext/>
      <w:keepLines/>
      <w:spacing w:before="80" w:after="40" w:line="259" w:lineRule="auto"/>
      <w:jc w:val="left"/>
      <w:outlineLvl w:val="4"/>
    </w:pPr>
    <w:rPr>
      <w:rFonts w:asciiTheme="minorHAnsi" w:eastAsiaTheme="majorEastAsia" w:hAnsiTheme="minorHAnsi"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951A8E"/>
    <w:pPr>
      <w:keepNext/>
      <w:keepLines/>
      <w:spacing w:before="40" w:after="0" w:line="259" w:lineRule="auto"/>
      <w:jc w:val="left"/>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951A8E"/>
    <w:pPr>
      <w:keepNext/>
      <w:keepLines/>
      <w:spacing w:before="40" w:after="0" w:line="259" w:lineRule="auto"/>
      <w:jc w:val="left"/>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951A8E"/>
    <w:pPr>
      <w:keepNext/>
      <w:keepLines/>
      <w:spacing w:after="0" w:line="259" w:lineRule="auto"/>
      <w:jc w:val="left"/>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951A8E"/>
    <w:pPr>
      <w:keepNext/>
      <w:keepLines/>
      <w:spacing w:after="0" w:line="259" w:lineRule="auto"/>
      <w:jc w:val="left"/>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1A8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51A8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51A8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51A8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51A8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51A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1A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1A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1A8E"/>
    <w:rPr>
      <w:rFonts w:eastAsiaTheme="majorEastAsia" w:cstheme="majorBidi"/>
      <w:color w:val="272727" w:themeColor="text1" w:themeTint="D8"/>
    </w:rPr>
  </w:style>
  <w:style w:type="paragraph" w:styleId="Title">
    <w:name w:val="Title"/>
    <w:basedOn w:val="Normal"/>
    <w:next w:val="Normal"/>
    <w:link w:val="TitleChar"/>
    <w:uiPriority w:val="10"/>
    <w:qFormat/>
    <w:rsid w:val="00951A8E"/>
    <w:pPr>
      <w:spacing w:after="80" w:line="240" w:lineRule="auto"/>
      <w:contextualSpacing/>
      <w:jc w:val="left"/>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51A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1A8E"/>
    <w:pPr>
      <w:numPr>
        <w:ilvl w:val="1"/>
      </w:numPr>
      <w:spacing w:line="259" w:lineRule="auto"/>
      <w:jc w:val="left"/>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51A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1A8E"/>
    <w:pPr>
      <w:spacing w:before="160" w:line="259" w:lineRule="auto"/>
      <w:jc w:val="center"/>
    </w:pPr>
    <w:rPr>
      <w:rFonts w:asciiTheme="minorHAnsi" w:hAnsiTheme="minorHAnsi"/>
      <w:i/>
      <w:iCs/>
      <w:color w:val="404040" w:themeColor="text1" w:themeTint="BF"/>
      <w:kern w:val="2"/>
      <w14:ligatures w14:val="standardContextual"/>
    </w:rPr>
  </w:style>
  <w:style w:type="character" w:customStyle="1" w:styleId="QuoteChar">
    <w:name w:val="Quote Char"/>
    <w:basedOn w:val="DefaultParagraphFont"/>
    <w:link w:val="Quote"/>
    <w:uiPriority w:val="29"/>
    <w:rsid w:val="00951A8E"/>
    <w:rPr>
      <w:i/>
      <w:iCs/>
      <w:color w:val="404040" w:themeColor="text1" w:themeTint="BF"/>
    </w:rPr>
  </w:style>
  <w:style w:type="paragraph" w:styleId="ListParagraph">
    <w:name w:val="List Paragraph"/>
    <w:basedOn w:val="Normal"/>
    <w:uiPriority w:val="34"/>
    <w:qFormat/>
    <w:rsid w:val="00951A8E"/>
    <w:pPr>
      <w:spacing w:line="259" w:lineRule="auto"/>
      <w:ind w:left="720"/>
      <w:contextualSpacing/>
      <w:jc w:val="left"/>
    </w:pPr>
    <w:rPr>
      <w:rFonts w:asciiTheme="minorHAnsi" w:hAnsiTheme="minorHAnsi"/>
      <w:kern w:val="2"/>
      <w14:ligatures w14:val="standardContextual"/>
    </w:rPr>
  </w:style>
  <w:style w:type="character" w:styleId="IntenseEmphasis">
    <w:name w:val="Intense Emphasis"/>
    <w:basedOn w:val="DefaultParagraphFont"/>
    <w:uiPriority w:val="21"/>
    <w:qFormat/>
    <w:rsid w:val="00951A8E"/>
    <w:rPr>
      <w:i/>
      <w:iCs/>
      <w:color w:val="2F5496" w:themeColor="accent1" w:themeShade="BF"/>
    </w:rPr>
  </w:style>
  <w:style w:type="paragraph" w:styleId="IntenseQuote">
    <w:name w:val="Intense Quote"/>
    <w:basedOn w:val="Normal"/>
    <w:next w:val="Normal"/>
    <w:link w:val="IntenseQuoteChar"/>
    <w:uiPriority w:val="30"/>
    <w:qFormat/>
    <w:rsid w:val="00951A8E"/>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hAnsiTheme="minorHAnsi"/>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951A8E"/>
    <w:rPr>
      <w:i/>
      <w:iCs/>
      <w:color w:val="2F5496" w:themeColor="accent1" w:themeShade="BF"/>
    </w:rPr>
  </w:style>
  <w:style w:type="character" w:styleId="IntenseReference">
    <w:name w:val="Intense Reference"/>
    <w:basedOn w:val="DefaultParagraphFont"/>
    <w:uiPriority w:val="32"/>
    <w:qFormat/>
    <w:rsid w:val="00951A8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4115</Words>
  <Characters>23457</Characters>
  <Application>Microsoft Office Word</Application>
  <DocSecurity>0</DocSecurity>
  <Lines>195</Lines>
  <Paragraphs>55</Paragraphs>
  <ScaleCrop>false</ScaleCrop>
  <Company/>
  <LinksUpToDate>false</LinksUpToDate>
  <CharactersWithSpaces>27517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6</cp:revision>
  <dcterms:created xsi:type="dcterms:W3CDTF">2025-09-10T07:07:00Z</dcterms:created>
  <dcterms:modified xsi:type="dcterms:W3CDTF">2025-10-07T09:08:00Z</dcterms:modified>
</cp:coreProperties>
</file>