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C83D0" w14:textId="7606AAA6" w:rsidR="001C483B" w:rsidRPr="00D93D74" w:rsidRDefault="001C483B">
      <w:pPr>
        <w:pStyle w:val="Kazalovsebine1"/>
        <w:tabs>
          <w:tab w:val="left" w:pos="440"/>
          <w:tab w:val="right" w:leader="dot" w:pos="9350"/>
        </w:tabs>
        <w:rPr>
          <w:b/>
          <w:bCs/>
        </w:rPr>
      </w:pPr>
      <w:bookmarkStart w:id="0" w:name="_Toc184220080"/>
      <w:r w:rsidRPr="00D93D74">
        <w:rPr>
          <w:b/>
          <w:bCs/>
        </w:rPr>
        <w:t xml:space="preserve">TABLE OF CONTENTS </w:t>
      </w:r>
    </w:p>
    <w:sdt>
      <w:sdtPr>
        <w:rPr>
          <w:rFonts w:ascii="Times New Roman" w:eastAsiaTheme="minorHAnsi" w:hAnsi="Times New Roman" w:cstheme="minorBidi"/>
          <w:color w:val="auto"/>
          <w:sz w:val="24"/>
          <w:szCs w:val="22"/>
        </w:rPr>
        <w:id w:val="1202049667"/>
        <w:docPartObj>
          <w:docPartGallery w:val="Table of Contents"/>
          <w:docPartUnique/>
        </w:docPartObj>
      </w:sdtPr>
      <w:sdtEndPr>
        <w:rPr>
          <w:b/>
          <w:bCs/>
          <w:noProof/>
        </w:rPr>
      </w:sdtEndPr>
      <w:sdtContent>
        <w:p w14:paraId="0D365627" w14:textId="2339F4C5" w:rsidR="00A52895" w:rsidRDefault="00A52895" w:rsidP="00A52895">
          <w:pPr>
            <w:pStyle w:val="NaslovTOC"/>
            <w:ind w:left="0"/>
          </w:pPr>
        </w:p>
        <w:p w14:paraId="7837E4A9" w14:textId="43604B8F" w:rsidR="00497A2F" w:rsidRDefault="00A52895">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r>
            <w:fldChar w:fldCharType="begin"/>
          </w:r>
          <w:r>
            <w:instrText xml:space="preserve"> TOC \o "1-3" \h \z \u </w:instrText>
          </w:r>
          <w:r>
            <w:fldChar w:fldCharType="separate"/>
          </w:r>
          <w:hyperlink w:anchor="_Toc228252002" w:history="1">
            <w:r w:rsidR="00497A2F" w:rsidRPr="003F5471">
              <w:rPr>
                <w:rStyle w:val="Hiperpovezava"/>
                <w:noProof/>
              </w:rPr>
              <w:t>1</w:t>
            </w:r>
            <w:r w:rsidR="00497A2F">
              <w:rPr>
                <w:rFonts w:asciiTheme="minorHAnsi" w:eastAsiaTheme="minorEastAsia" w:hAnsiTheme="minorHAnsi"/>
                <w:noProof/>
                <w:kern w:val="2"/>
                <w:szCs w:val="24"/>
                <w:lang w:eastAsia="en-GB"/>
                <w14:ligatures w14:val="standardContextual"/>
              </w:rPr>
              <w:tab/>
            </w:r>
            <w:r w:rsidR="00497A2F" w:rsidRPr="003F5471">
              <w:rPr>
                <w:rStyle w:val="Hiperpovezava"/>
                <w:noProof/>
              </w:rPr>
              <w:t>INTRODUCTION</w:t>
            </w:r>
            <w:r w:rsidR="00497A2F">
              <w:rPr>
                <w:noProof/>
                <w:webHidden/>
              </w:rPr>
              <w:tab/>
            </w:r>
            <w:r w:rsidR="00497A2F">
              <w:rPr>
                <w:noProof/>
                <w:webHidden/>
              </w:rPr>
              <w:fldChar w:fldCharType="begin"/>
            </w:r>
            <w:r w:rsidR="00497A2F">
              <w:rPr>
                <w:noProof/>
                <w:webHidden/>
              </w:rPr>
              <w:instrText xml:space="preserve"> PAGEREF _Toc228252002 \h </w:instrText>
            </w:r>
            <w:r w:rsidR="00497A2F">
              <w:rPr>
                <w:noProof/>
                <w:webHidden/>
              </w:rPr>
            </w:r>
            <w:r w:rsidR="00497A2F">
              <w:rPr>
                <w:noProof/>
                <w:webHidden/>
              </w:rPr>
              <w:fldChar w:fldCharType="separate"/>
            </w:r>
            <w:r w:rsidR="00497A2F">
              <w:rPr>
                <w:noProof/>
                <w:webHidden/>
              </w:rPr>
              <w:t>4</w:t>
            </w:r>
            <w:r w:rsidR="00497A2F">
              <w:rPr>
                <w:noProof/>
                <w:webHidden/>
              </w:rPr>
              <w:fldChar w:fldCharType="end"/>
            </w:r>
          </w:hyperlink>
        </w:p>
        <w:p w14:paraId="134C2E0B" w14:textId="7DF51E24"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03" w:history="1">
            <w:r w:rsidRPr="003F5471">
              <w:rPr>
                <w:rStyle w:val="Hiperpovezava"/>
                <w:noProof/>
              </w:rPr>
              <w:t>1.1</w:t>
            </w:r>
            <w:r>
              <w:rPr>
                <w:rFonts w:asciiTheme="minorHAnsi" w:eastAsiaTheme="minorEastAsia" w:hAnsiTheme="minorHAnsi"/>
                <w:noProof/>
                <w:kern w:val="2"/>
                <w:szCs w:val="24"/>
                <w:lang w:eastAsia="en-GB"/>
                <w14:ligatures w14:val="standardContextual"/>
              </w:rPr>
              <w:tab/>
            </w:r>
            <w:r w:rsidRPr="003F5471">
              <w:rPr>
                <w:rStyle w:val="Hiperpovezava"/>
                <w:noProof/>
              </w:rPr>
              <w:t>RESEARCH GOALS</w:t>
            </w:r>
            <w:r>
              <w:rPr>
                <w:noProof/>
                <w:webHidden/>
              </w:rPr>
              <w:tab/>
            </w:r>
            <w:r>
              <w:rPr>
                <w:noProof/>
                <w:webHidden/>
              </w:rPr>
              <w:fldChar w:fldCharType="begin"/>
            </w:r>
            <w:r>
              <w:rPr>
                <w:noProof/>
                <w:webHidden/>
              </w:rPr>
              <w:instrText xml:space="preserve"> PAGEREF _Toc228252003 \h </w:instrText>
            </w:r>
            <w:r>
              <w:rPr>
                <w:noProof/>
                <w:webHidden/>
              </w:rPr>
            </w:r>
            <w:r>
              <w:rPr>
                <w:noProof/>
                <w:webHidden/>
              </w:rPr>
              <w:fldChar w:fldCharType="separate"/>
            </w:r>
            <w:r>
              <w:rPr>
                <w:noProof/>
                <w:webHidden/>
              </w:rPr>
              <w:t>5</w:t>
            </w:r>
            <w:r>
              <w:rPr>
                <w:noProof/>
                <w:webHidden/>
              </w:rPr>
              <w:fldChar w:fldCharType="end"/>
            </w:r>
          </w:hyperlink>
        </w:p>
        <w:p w14:paraId="6C8F1F34" w14:textId="6961E648"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04" w:history="1">
            <w:r w:rsidRPr="003F5471">
              <w:rPr>
                <w:rStyle w:val="Hiperpovezava"/>
                <w:noProof/>
              </w:rPr>
              <w:t>1.2</w:t>
            </w:r>
            <w:r>
              <w:rPr>
                <w:rFonts w:asciiTheme="minorHAnsi" w:eastAsiaTheme="minorEastAsia" w:hAnsiTheme="minorHAnsi"/>
                <w:noProof/>
                <w:kern w:val="2"/>
                <w:szCs w:val="24"/>
                <w:lang w:eastAsia="en-GB"/>
                <w14:ligatures w14:val="standardContextual"/>
              </w:rPr>
              <w:tab/>
            </w:r>
            <w:r w:rsidRPr="003F5471">
              <w:rPr>
                <w:rStyle w:val="Hiperpovezava"/>
                <w:noProof/>
              </w:rPr>
              <w:t>RESEARCH HYPOTHESES</w:t>
            </w:r>
            <w:r>
              <w:rPr>
                <w:noProof/>
                <w:webHidden/>
              </w:rPr>
              <w:tab/>
            </w:r>
            <w:r>
              <w:rPr>
                <w:noProof/>
                <w:webHidden/>
              </w:rPr>
              <w:fldChar w:fldCharType="begin"/>
            </w:r>
            <w:r>
              <w:rPr>
                <w:noProof/>
                <w:webHidden/>
              </w:rPr>
              <w:instrText xml:space="preserve"> PAGEREF _Toc228252004 \h </w:instrText>
            </w:r>
            <w:r>
              <w:rPr>
                <w:noProof/>
                <w:webHidden/>
              </w:rPr>
            </w:r>
            <w:r>
              <w:rPr>
                <w:noProof/>
                <w:webHidden/>
              </w:rPr>
              <w:fldChar w:fldCharType="separate"/>
            </w:r>
            <w:r>
              <w:rPr>
                <w:noProof/>
                <w:webHidden/>
              </w:rPr>
              <w:t>6</w:t>
            </w:r>
            <w:r>
              <w:rPr>
                <w:noProof/>
                <w:webHidden/>
              </w:rPr>
              <w:fldChar w:fldCharType="end"/>
            </w:r>
          </w:hyperlink>
        </w:p>
        <w:p w14:paraId="49AD0B78" w14:textId="173BCC0E"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05" w:history="1">
            <w:r w:rsidRPr="003F5471">
              <w:rPr>
                <w:rStyle w:val="Hiperpovezava"/>
                <w:noProof/>
              </w:rPr>
              <w:t>2</w:t>
            </w:r>
            <w:r>
              <w:rPr>
                <w:rFonts w:asciiTheme="minorHAnsi" w:eastAsiaTheme="minorEastAsia" w:hAnsiTheme="minorHAnsi"/>
                <w:noProof/>
                <w:kern w:val="2"/>
                <w:szCs w:val="24"/>
                <w:lang w:eastAsia="en-GB"/>
                <w14:ligatures w14:val="standardContextual"/>
              </w:rPr>
              <w:tab/>
            </w:r>
            <w:r w:rsidRPr="003F5471">
              <w:rPr>
                <w:rStyle w:val="Hiperpovezava"/>
                <w:noProof/>
              </w:rPr>
              <w:t>LITERATURE REVIEW</w:t>
            </w:r>
            <w:r>
              <w:rPr>
                <w:noProof/>
                <w:webHidden/>
              </w:rPr>
              <w:tab/>
            </w:r>
            <w:r>
              <w:rPr>
                <w:noProof/>
                <w:webHidden/>
              </w:rPr>
              <w:fldChar w:fldCharType="begin"/>
            </w:r>
            <w:r>
              <w:rPr>
                <w:noProof/>
                <w:webHidden/>
              </w:rPr>
              <w:instrText xml:space="preserve"> PAGEREF _Toc228252005 \h </w:instrText>
            </w:r>
            <w:r>
              <w:rPr>
                <w:noProof/>
                <w:webHidden/>
              </w:rPr>
            </w:r>
            <w:r>
              <w:rPr>
                <w:noProof/>
                <w:webHidden/>
              </w:rPr>
              <w:fldChar w:fldCharType="separate"/>
            </w:r>
            <w:r>
              <w:rPr>
                <w:noProof/>
                <w:webHidden/>
              </w:rPr>
              <w:t>7</w:t>
            </w:r>
            <w:r>
              <w:rPr>
                <w:noProof/>
                <w:webHidden/>
              </w:rPr>
              <w:fldChar w:fldCharType="end"/>
            </w:r>
          </w:hyperlink>
        </w:p>
        <w:p w14:paraId="0E9DE4EC" w14:textId="3D813E22"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06" w:history="1">
            <w:r w:rsidRPr="003F5471">
              <w:rPr>
                <w:rStyle w:val="Hiperpovezava"/>
                <w:noProof/>
              </w:rPr>
              <w:t>2.1</w:t>
            </w:r>
            <w:r>
              <w:rPr>
                <w:rFonts w:asciiTheme="minorHAnsi" w:eastAsiaTheme="minorEastAsia" w:hAnsiTheme="minorHAnsi"/>
                <w:noProof/>
                <w:kern w:val="2"/>
                <w:szCs w:val="24"/>
                <w:lang w:eastAsia="en-GB"/>
                <w14:ligatures w14:val="standardContextual"/>
              </w:rPr>
              <w:tab/>
            </w:r>
            <w:r w:rsidRPr="003F5471">
              <w:rPr>
                <w:rStyle w:val="Hiperpovezava"/>
                <w:noProof/>
              </w:rPr>
              <w:t>HUMAN GUT MICROBIOTA</w:t>
            </w:r>
            <w:r>
              <w:rPr>
                <w:noProof/>
                <w:webHidden/>
              </w:rPr>
              <w:tab/>
            </w:r>
            <w:r>
              <w:rPr>
                <w:noProof/>
                <w:webHidden/>
              </w:rPr>
              <w:fldChar w:fldCharType="begin"/>
            </w:r>
            <w:r>
              <w:rPr>
                <w:noProof/>
                <w:webHidden/>
              </w:rPr>
              <w:instrText xml:space="preserve"> PAGEREF _Toc228252006 \h </w:instrText>
            </w:r>
            <w:r>
              <w:rPr>
                <w:noProof/>
                <w:webHidden/>
              </w:rPr>
            </w:r>
            <w:r>
              <w:rPr>
                <w:noProof/>
                <w:webHidden/>
              </w:rPr>
              <w:fldChar w:fldCharType="separate"/>
            </w:r>
            <w:r>
              <w:rPr>
                <w:noProof/>
                <w:webHidden/>
              </w:rPr>
              <w:t>7</w:t>
            </w:r>
            <w:r>
              <w:rPr>
                <w:noProof/>
                <w:webHidden/>
              </w:rPr>
              <w:fldChar w:fldCharType="end"/>
            </w:r>
          </w:hyperlink>
        </w:p>
        <w:p w14:paraId="5A63DB8B" w14:textId="13293170"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07" w:history="1">
            <w:r w:rsidRPr="003F5471">
              <w:rPr>
                <w:rStyle w:val="Hiperpovezava"/>
                <w:noProof/>
              </w:rPr>
              <w:t>2.1.1</w:t>
            </w:r>
            <w:r>
              <w:rPr>
                <w:rFonts w:asciiTheme="minorHAnsi" w:eastAsiaTheme="minorEastAsia" w:hAnsiTheme="minorHAnsi"/>
                <w:noProof/>
                <w:kern w:val="2"/>
                <w:szCs w:val="24"/>
                <w:lang w:eastAsia="en-GB"/>
                <w14:ligatures w14:val="standardContextual"/>
              </w:rPr>
              <w:tab/>
            </w:r>
            <w:r w:rsidRPr="003F5471">
              <w:rPr>
                <w:rStyle w:val="Hiperpovezava"/>
                <w:noProof/>
              </w:rPr>
              <w:t>Human gut virome</w:t>
            </w:r>
            <w:r>
              <w:rPr>
                <w:noProof/>
                <w:webHidden/>
              </w:rPr>
              <w:tab/>
            </w:r>
            <w:r>
              <w:rPr>
                <w:noProof/>
                <w:webHidden/>
              </w:rPr>
              <w:fldChar w:fldCharType="begin"/>
            </w:r>
            <w:r>
              <w:rPr>
                <w:noProof/>
                <w:webHidden/>
              </w:rPr>
              <w:instrText xml:space="preserve"> PAGEREF _Toc228252007 \h </w:instrText>
            </w:r>
            <w:r>
              <w:rPr>
                <w:noProof/>
                <w:webHidden/>
              </w:rPr>
            </w:r>
            <w:r>
              <w:rPr>
                <w:noProof/>
                <w:webHidden/>
              </w:rPr>
              <w:fldChar w:fldCharType="separate"/>
            </w:r>
            <w:r>
              <w:rPr>
                <w:noProof/>
                <w:webHidden/>
              </w:rPr>
              <w:t>7</w:t>
            </w:r>
            <w:r>
              <w:rPr>
                <w:noProof/>
                <w:webHidden/>
              </w:rPr>
              <w:fldChar w:fldCharType="end"/>
            </w:r>
          </w:hyperlink>
        </w:p>
        <w:p w14:paraId="43EA4AF9" w14:textId="5C8CB5B3"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08" w:history="1">
            <w:r w:rsidRPr="003F5471">
              <w:rPr>
                <w:rStyle w:val="Hiperpovezava"/>
                <w:noProof/>
              </w:rPr>
              <w:t>2.1.2</w:t>
            </w:r>
            <w:r>
              <w:rPr>
                <w:rFonts w:asciiTheme="minorHAnsi" w:eastAsiaTheme="minorEastAsia" w:hAnsiTheme="minorHAnsi"/>
                <w:noProof/>
                <w:kern w:val="2"/>
                <w:szCs w:val="24"/>
                <w:lang w:eastAsia="en-GB"/>
                <w14:ligatures w14:val="standardContextual"/>
              </w:rPr>
              <w:tab/>
            </w:r>
            <w:r w:rsidRPr="003F5471">
              <w:rPr>
                <w:rStyle w:val="Hiperpovezava"/>
                <w:noProof/>
              </w:rPr>
              <w:t>Human gut archaeome</w:t>
            </w:r>
            <w:r>
              <w:rPr>
                <w:noProof/>
                <w:webHidden/>
              </w:rPr>
              <w:tab/>
            </w:r>
            <w:r>
              <w:rPr>
                <w:noProof/>
                <w:webHidden/>
              </w:rPr>
              <w:fldChar w:fldCharType="begin"/>
            </w:r>
            <w:r>
              <w:rPr>
                <w:noProof/>
                <w:webHidden/>
              </w:rPr>
              <w:instrText xml:space="preserve"> PAGEREF _Toc228252008 \h </w:instrText>
            </w:r>
            <w:r>
              <w:rPr>
                <w:noProof/>
                <w:webHidden/>
              </w:rPr>
            </w:r>
            <w:r>
              <w:rPr>
                <w:noProof/>
                <w:webHidden/>
              </w:rPr>
              <w:fldChar w:fldCharType="separate"/>
            </w:r>
            <w:r>
              <w:rPr>
                <w:noProof/>
                <w:webHidden/>
              </w:rPr>
              <w:t>8</w:t>
            </w:r>
            <w:r>
              <w:rPr>
                <w:noProof/>
                <w:webHidden/>
              </w:rPr>
              <w:fldChar w:fldCharType="end"/>
            </w:r>
          </w:hyperlink>
        </w:p>
        <w:p w14:paraId="0E4B0661" w14:textId="74AA9EC4"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09" w:history="1">
            <w:r w:rsidRPr="003F5471">
              <w:rPr>
                <w:rStyle w:val="Hiperpovezava"/>
                <w:noProof/>
              </w:rPr>
              <w:t>2.1.3</w:t>
            </w:r>
            <w:r>
              <w:rPr>
                <w:rFonts w:asciiTheme="minorHAnsi" w:eastAsiaTheme="minorEastAsia" w:hAnsiTheme="minorHAnsi"/>
                <w:noProof/>
                <w:kern w:val="2"/>
                <w:szCs w:val="24"/>
                <w:lang w:eastAsia="en-GB"/>
                <w14:ligatures w14:val="standardContextual"/>
              </w:rPr>
              <w:tab/>
            </w:r>
            <w:r w:rsidRPr="003F5471">
              <w:rPr>
                <w:rStyle w:val="Hiperpovezava"/>
                <w:noProof/>
              </w:rPr>
              <w:t>Human gut mycobiome and protozoa</w:t>
            </w:r>
            <w:r>
              <w:rPr>
                <w:noProof/>
                <w:webHidden/>
              </w:rPr>
              <w:tab/>
            </w:r>
            <w:r>
              <w:rPr>
                <w:noProof/>
                <w:webHidden/>
              </w:rPr>
              <w:fldChar w:fldCharType="begin"/>
            </w:r>
            <w:r>
              <w:rPr>
                <w:noProof/>
                <w:webHidden/>
              </w:rPr>
              <w:instrText xml:space="preserve"> PAGEREF _Toc228252009 \h </w:instrText>
            </w:r>
            <w:r>
              <w:rPr>
                <w:noProof/>
                <w:webHidden/>
              </w:rPr>
            </w:r>
            <w:r>
              <w:rPr>
                <w:noProof/>
                <w:webHidden/>
              </w:rPr>
              <w:fldChar w:fldCharType="separate"/>
            </w:r>
            <w:r>
              <w:rPr>
                <w:noProof/>
                <w:webHidden/>
              </w:rPr>
              <w:t>8</w:t>
            </w:r>
            <w:r>
              <w:rPr>
                <w:noProof/>
                <w:webHidden/>
              </w:rPr>
              <w:fldChar w:fldCharType="end"/>
            </w:r>
          </w:hyperlink>
        </w:p>
        <w:p w14:paraId="6F407B7F" w14:textId="31D5EAF7"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10" w:history="1">
            <w:r w:rsidRPr="003F5471">
              <w:rPr>
                <w:rStyle w:val="Hiperpovezava"/>
                <w:noProof/>
              </w:rPr>
              <w:t>2.1.4</w:t>
            </w:r>
            <w:r>
              <w:rPr>
                <w:rFonts w:asciiTheme="minorHAnsi" w:eastAsiaTheme="minorEastAsia" w:hAnsiTheme="minorHAnsi"/>
                <w:noProof/>
                <w:kern w:val="2"/>
                <w:szCs w:val="24"/>
                <w:lang w:eastAsia="en-GB"/>
                <w14:ligatures w14:val="standardContextual"/>
              </w:rPr>
              <w:tab/>
            </w:r>
            <w:r w:rsidRPr="003F5471">
              <w:rPr>
                <w:rStyle w:val="Hiperpovezava"/>
                <w:noProof/>
              </w:rPr>
              <w:t>Longitudinal studies of bacterial communities in the human gut</w:t>
            </w:r>
            <w:r>
              <w:rPr>
                <w:noProof/>
                <w:webHidden/>
              </w:rPr>
              <w:tab/>
            </w:r>
            <w:r>
              <w:rPr>
                <w:noProof/>
                <w:webHidden/>
              </w:rPr>
              <w:fldChar w:fldCharType="begin"/>
            </w:r>
            <w:r>
              <w:rPr>
                <w:noProof/>
                <w:webHidden/>
              </w:rPr>
              <w:instrText xml:space="preserve"> PAGEREF _Toc228252010 \h </w:instrText>
            </w:r>
            <w:r>
              <w:rPr>
                <w:noProof/>
                <w:webHidden/>
              </w:rPr>
            </w:r>
            <w:r>
              <w:rPr>
                <w:noProof/>
                <w:webHidden/>
              </w:rPr>
              <w:fldChar w:fldCharType="separate"/>
            </w:r>
            <w:r>
              <w:rPr>
                <w:noProof/>
                <w:webHidden/>
              </w:rPr>
              <w:t>8</w:t>
            </w:r>
            <w:r>
              <w:rPr>
                <w:noProof/>
                <w:webHidden/>
              </w:rPr>
              <w:fldChar w:fldCharType="end"/>
            </w:r>
          </w:hyperlink>
        </w:p>
        <w:p w14:paraId="17CEA330" w14:textId="08239172"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11" w:history="1">
            <w:r w:rsidRPr="003F5471">
              <w:rPr>
                <w:rStyle w:val="Hiperpovezava"/>
                <w:noProof/>
              </w:rPr>
              <w:t>2.1.5</w:t>
            </w:r>
            <w:r>
              <w:rPr>
                <w:rFonts w:asciiTheme="minorHAnsi" w:eastAsiaTheme="minorEastAsia" w:hAnsiTheme="minorHAnsi"/>
                <w:noProof/>
                <w:kern w:val="2"/>
                <w:szCs w:val="24"/>
                <w:lang w:eastAsia="en-GB"/>
                <w14:ligatures w14:val="standardContextual"/>
              </w:rPr>
              <w:tab/>
            </w:r>
            <w:r w:rsidRPr="003F5471">
              <w:rPr>
                <w:rStyle w:val="Hiperpovezava"/>
                <w:noProof/>
              </w:rPr>
              <w:t>Stability of microbial communities</w:t>
            </w:r>
            <w:r>
              <w:rPr>
                <w:noProof/>
                <w:webHidden/>
              </w:rPr>
              <w:tab/>
            </w:r>
            <w:r>
              <w:rPr>
                <w:noProof/>
                <w:webHidden/>
              </w:rPr>
              <w:fldChar w:fldCharType="begin"/>
            </w:r>
            <w:r>
              <w:rPr>
                <w:noProof/>
                <w:webHidden/>
              </w:rPr>
              <w:instrText xml:space="preserve"> PAGEREF _Toc228252011 \h </w:instrText>
            </w:r>
            <w:r>
              <w:rPr>
                <w:noProof/>
                <w:webHidden/>
              </w:rPr>
            </w:r>
            <w:r>
              <w:rPr>
                <w:noProof/>
                <w:webHidden/>
              </w:rPr>
              <w:fldChar w:fldCharType="separate"/>
            </w:r>
            <w:r>
              <w:rPr>
                <w:noProof/>
                <w:webHidden/>
              </w:rPr>
              <w:t>10</w:t>
            </w:r>
            <w:r>
              <w:rPr>
                <w:noProof/>
                <w:webHidden/>
              </w:rPr>
              <w:fldChar w:fldCharType="end"/>
            </w:r>
          </w:hyperlink>
        </w:p>
        <w:p w14:paraId="6D571937" w14:textId="3839E004"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12" w:history="1">
            <w:r w:rsidRPr="003F5471">
              <w:rPr>
                <w:rStyle w:val="Hiperpovezava"/>
                <w:noProof/>
              </w:rPr>
              <w:t>2.2</w:t>
            </w:r>
            <w:r>
              <w:rPr>
                <w:rFonts w:asciiTheme="minorHAnsi" w:eastAsiaTheme="minorEastAsia" w:hAnsiTheme="minorHAnsi"/>
                <w:noProof/>
                <w:kern w:val="2"/>
                <w:szCs w:val="24"/>
                <w:lang w:eastAsia="en-GB"/>
                <w14:ligatures w14:val="standardContextual"/>
              </w:rPr>
              <w:tab/>
            </w:r>
            <w:r w:rsidRPr="003F5471">
              <w:rPr>
                <w:rStyle w:val="Hiperpovezava"/>
                <w:noProof/>
              </w:rPr>
              <w:t>HUMAN GUT SPOROBIOTA</w:t>
            </w:r>
            <w:r>
              <w:rPr>
                <w:noProof/>
                <w:webHidden/>
              </w:rPr>
              <w:tab/>
            </w:r>
            <w:r>
              <w:rPr>
                <w:noProof/>
                <w:webHidden/>
              </w:rPr>
              <w:fldChar w:fldCharType="begin"/>
            </w:r>
            <w:r>
              <w:rPr>
                <w:noProof/>
                <w:webHidden/>
              </w:rPr>
              <w:instrText xml:space="preserve"> PAGEREF _Toc228252012 \h </w:instrText>
            </w:r>
            <w:r>
              <w:rPr>
                <w:noProof/>
                <w:webHidden/>
              </w:rPr>
            </w:r>
            <w:r>
              <w:rPr>
                <w:noProof/>
                <w:webHidden/>
              </w:rPr>
              <w:fldChar w:fldCharType="separate"/>
            </w:r>
            <w:r>
              <w:rPr>
                <w:noProof/>
                <w:webHidden/>
              </w:rPr>
              <w:t>11</w:t>
            </w:r>
            <w:r>
              <w:rPr>
                <w:noProof/>
                <w:webHidden/>
              </w:rPr>
              <w:fldChar w:fldCharType="end"/>
            </w:r>
          </w:hyperlink>
        </w:p>
        <w:p w14:paraId="416F3656" w14:textId="6AF81748"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13" w:history="1">
            <w:r w:rsidRPr="003F5471">
              <w:rPr>
                <w:rStyle w:val="Hiperpovezava"/>
                <w:noProof/>
              </w:rPr>
              <w:t>2.2.1</w:t>
            </w:r>
            <w:r>
              <w:rPr>
                <w:rFonts w:asciiTheme="minorHAnsi" w:eastAsiaTheme="minorEastAsia" w:hAnsiTheme="minorHAnsi"/>
                <w:noProof/>
                <w:kern w:val="2"/>
                <w:szCs w:val="24"/>
                <w:lang w:eastAsia="en-GB"/>
                <w14:ligatures w14:val="standardContextual"/>
              </w:rPr>
              <w:tab/>
            </w:r>
            <w:r w:rsidRPr="003F5471">
              <w:rPr>
                <w:rStyle w:val="Hiperpovezava"/>
                <w:noProof/>
              </w:rPr>
              <w:t>Culture-dependant and -independent analysis of sporobiota</w:t>
            </w:r>
            <w:r>
              <w:rPr>
                <w:noProof/>
                <w:webHidden/>
              </w:rPr>
              <w:tab/>
            </w:r>
            <w:r>
              <w:rPr>
                <w:noProof/>
                <w:webHidden/>
              </w:rPr>
              <w:fldChar w:fldCharType="begin"/>
            </w:r>
            <w:r>
              <w:rPr>
                <w:noProof/>
                <w:webHidden/>
              </w:rPr>
              <w:instrText xml:space="preserve"> PAGEREF _Toc228252013 \h </w:instrText>
            </w:r>
            <w:r>
              <w:rPr>
                <w:noProof/>
                <w:webHidden/>
              </w:rPr>
            </w:r>
            <w:r>
              <w:rPr>
                <w:noProof/>
                <w:webHidden/>
              </w:rPr>
              <w:fldChar w:fldCharType="separate"/>
            </w:r>
            <w:r>
              <w:rPr>
                <w:noProof/>
                <w:webHidden/>
              </w:rPr>
              <w:t>12</w:t>
            </w:r>
            <w:r>
              <w:rPr>
                <w:noProof/>
                <w:webHidden/>
              </w:rPr>
              <w:fldChar w:fldCharType="end"/>
            </w:r>
          </w:hyperlink>
        </w:p>
        <w:p w14:paraId="628455AF" w14:textId="47CB1FD3"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14" w:history="1">
            <w:r w:rsidRPr="003F5471">
              <w:rPr>
                <w:rStyle w:val="Hiperpovezava"/>
                <w:noProof/>
              </w:rPr>
              <w:t>2.3</w:t>
            </w:r>
            <w:r>
              <w:rPr>
                <w:rFonts w:asciiTheme="minorHAnsi" w:eastAsiaTheme="minorEastAsia" w:hAnsiTheme="minorHAnsi"/>
                <w:noProof/>
                <w:kern w:val="2"/>
                <w:szCs w:val="24"/>
                <w:lang w:eastAsia="en-GB"/>
                <w14:ligatures w14:val="standardContextual"/>
              </w:rPr>
              <w:tab/>
            </w:r>
            <w:r w:rsidRPr="003F5471">
              <w:rPr>
                <w:rStyle w:val="Hiperpovezava"/>
                <w:noProof/>
              </w:rPr>
              <w:t>CULTIVATION OF BACTERIA FROM THE HUMAN GUT</w:t>
            </w:r>
            <w:r>
              <w:rPr>
                <w:noProof/>
                <w:webHidden/>
              </w:rPr>
              <w:tab/>
            </w:r>
            <w:r>
              <w:rPr>
                <w:noProof/>
                <w:webHidden/>
              </w:rPr>
              <w:fldChar w:fldCharType="begin"/>
            </w:r>
            <w:r>
              <w:rPr>
                <w:noProof/>
                <w:webHidden/>
              </w:rPr>
              <w:instrText xml:space="preserve"> PAGEREF _Toc228252014 \h </w:instrText>
            </w:r>
            <w:r>
              <w:rPr>
                <w:noProof/>
                <w:webHidden/>
              </w:rPr>
            </w:r>
            <w:r>
              <w:rPr>
                <w:noProof/>
                <w:webHidden/>
              </w:rPr>
              <w:fldChar w:fldCharType="separate"/>
            </w:r>
            <w:r>
              <w:rPr>
                <w:noProof/>
                <w:webHidden/>
              </w:rPr>
              <w:t>13</w:t>
            </w:r>
            <w:r>
              <w:rPr>
                <w:noProof/>
                <w:webHidden/>
              </w:rPr>
              <w:fldChar w:fldCharType="end"/>
            </w:r>
          </w:hyperlink>
        </w:p>
        <w:p w14:paraId="09D80F9E" w14:textId="0C52A178"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15" w:history="1">
            <w:r w:rsidRPr="003F5471">
              <w:rPr>
                <w:rStyle w:val="Hiperpovezava"/>
                <w:noProof/>
              </w:rPr>
              <w:t>2.4</w:t>
            </w:r>
            <w:r>
              <w:rPr>
                <w:rFonts w:asciiTheme="minorHAnsi" w:eastAsiaTheme="minorEastAsia" w:hAnsiTheme="minorHAnsi"/>
                <w:noProof/>
                <w:kern w:val="2"/>
                <w:szCs w:val="24"/>
                <w:lang w:eastAsia="en-GB"/>
                <w14:ligatures w14:val="standardContextual"/>
              </w:rPr>
              <w:tab/>
            </w:r>
            <w:r w:rsidRPr="003F5471">
              <w:rPr>
                <w:rStyle w:val="Hiperpovezava"/>
                <w:noProof/>
              </w:rPr>
              <w:t>HUMAN GUT RESISTOME</w:t>
            </w:r>
            <w:r>
              <w:rPr>
                <w:noProof/>
                <w:webHidden/>
              </w:rPr>
              <w:tab/>
            </w:r>
            <w:r>
              <w:rPr>
                <w:noProof/>
                <w:webHidden/>
              </w:rPr>
              <w:fldChar w:fldCharType="begin"/>
            </w:r>
            <w:r>
              <w:rPr>
                <w:noProof/>
                <w:webHidden/>
              </w:rPr>
              <w:instrText xml:space="preserve"> PAGEREF _Toc228252015 \h </w:instrText>
            </w:r>
            <w:r>
              <w:rPr>
                <w:noProof/>
                <w:webHidden/>
              </w:rPr>
            </w:r>
            <w:r>
              <w:rPr>
                <w:noProof/>
                <w:webHidden/>
              </w:rPr>
              <w:fldChar w:fldCharType="separate"/>
            </w:r>
            <w:r>
              <w:rPr>
                <w:noProof/>
                <w:webHidden/>
              </w:rPr>
              <w:t>14</w:t>
            </w:r>
            <w:r>
              <w:rPr>
                <w:noProof/>
                <w:webHidden/>
              </w:rPr>
              <w:fldChar w:fldCharType="end"/>
            </w:r>
          </w:hyperlink>
        </w:p>
        <w:p w14:paraId="40DBC93C" w14:textId="535938C4"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16" w:history="1">
            <w:r w:rsidRPr="003F5471">
              <w:rPr>
                <w:rStyle w:val="Hiperpovezava"/>
                <w:noProof/>
              </w:rPr>
              <w:t>3</w:t>
            </w:r>
            <w:r>
              <w:rPr>
                <w:rFonts w:asciiTheme="minorHAnsi" w:eastAsiaTheme="minorEastAsia" w:hAnsiTheme="minorHAnsi"/>
                <w:noProof/>
                <w:kern w:val="2"/>
                <w:szCs w:val="24"/>
                <w:lang w:eastAsia="en-GB"/>
                <w14:ligatures w14:val="standardContextual"/>
              </w:rPr>
              <w:tab/>
            </w:r>
            <w:r w:rsidRPr="003F5471">
              <w:rPr>
                <w:rStyle w:val="Hiperpovezava"/>
                <w:noProof/>
              </w:rPr>
              <w:t>METHODS AND MATERIALS</w:t>
            </w:r>
            <w:r>
              <w:rPr>
                <w:noProof/>
                <w:webHidden/>
              </w:rPr>
              <w:tab/>
            </w:r>
            <w:r>
              <w:rPr>
                <w:noProof/>
                <w:webHidden/>
              </w:rPr>
              <w:fldChar w:fldCharType="begin"/>
            </w:r>
            <w:r>
              <w:rPr>
                <w:noProof/>
                <w:webHidden/>
              </w:rPr>
              <w:instrText xml:space="preserve"> PAGEREF _Toc228252016 \h </w:instrText>
            </w:r>
            <w:r>
              <w:rPr>
                <w:noProof/>
                <w:webHidden/>
              </w:rPr>
            </w:r>
            <w:r>
              <w:rPr>
                <w:noProof/>
                <w:webHidden/>
              </w:rPr>
              <w:fldChar w:fldCharType="separate"/>
            </w:r>
            <w:r>
              <w:rPr>
                <w:noProof/>
                <w:webHidden/>
              </w:rPr>
              <w:t>16</w:t>
            </w:r>
            <w:r>
              <w:rPr>
                <w:noProof/>
                <w:webHidden/>
              </w:rPr>
              <w:fldChar w:fldCharType="end"/>
            </w:r>
          </w:hyperlink>
        </w:p>
        <w:p w14:paraId="4AC3DC69" w14:textId="568AB5CB"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17" w:history="1">
            <w:r w:rsidRPr="003F5471">
              <w:rPr>
                <w:rStyle w:val="Hiperpovezava"/>
                <w:noProof/>
              </w:rPr>
              <w:t>3.1</w:t>
            </w:r>
            <w:r>
              <w:rPr>
                <w:rFonts w:asciiTheme="minorHAnsi" w:eastAsiaTheme="minorEastAsia" w:hAnsiTheme="minorHAnsi"/>
                <w:noProof/>
                <w:kern w:val="2"/>
                <w:szCs w:val="24"/>
                <w:lang w:eastAsia="en-GB"/>
                <w14:ligatures w14:val="standardContextual"/>
              </w:rPr>
              <w:tab/>
            </w:r>
            <w:r w:rsidRPr="003F5471">
              <w:rPr>
                <w:rStyle w:val="Hiperpovezava"/>
                <w:noProof/>
              </w:rPr>
              <w:t>LONGITUDINAL STOOL SAMPLE COLLECTION</w:t>
            </w:r>
            <w:r>
              <w:rPr>
                <w:noProof/>
                <w:webHidden/>
              </w:rPr>
              <w:tab/>
            </w:r>
            <w:r>
              <w:rPr>
                <w:noProof/>
                <w:webHidden/>
              </w:rPr>
              <w:fldChar w:fldCharType="begin"/>
            </w:r>
            <w:r>
              <w:rPr>
                <w:noProof/>
                <w:webHidden/>
              </w:rPr>
              <w:instrText xml:space="preserve"> PAGEREF _Toc228252017 \h </w:instrText>
            </w:r>
            <w:r>
              <w:rPr>
                <w:noProof/>
                <w:webHidden/>
              </w:rPr>
            </w:r>
            <w:r>
              <w:rPr>
                <w:noProof/>
                <w:webHidden/>
              </w:rPr>
              <w:fldChar w:fldCharType="separate"/>
            </w:r>
            <w:r>
              <w:rPr>
                <w:noProof/>
                <w:webHidden/>
              </w:rPr>
              <w:t>17</w:t>
            </w:r>
            <w:r>
              <w:rPr>
                <w:noProof/>
                <w:webHidden/>
              </w:rPr>
              <w:fldChar w:fldCharType="end"/>
            </w:r>
          </w:hyperlink>
        </w:p>
        <w:p w14:paraId="56EB8B46" w14:textId="4F48B022"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18" w:history="1">
            <w:r w:rsidRPr="003F5471">
              <w:rPr>
                <w:rStyle w:val="Hiperpovezava"/>
                <w:noProof/>
              </w:rPr>
              <w:t>3.2</w:t>
            </w:r>
            <w:r>
              <w:rPr>
                <w:rFonts w:asciiTheme="minorHAnsi" w:eastAsiaTheme="minorEastAsia" w:hAnsiTheme="minorHAnsi"/>
                <w:noProof/>
                <w:kern w:val="2"/>
                <w:szCs w:val="24"/>
                <w:lang w:eastAsia="en-GB"/>
                <w14:ligatures w14:val="standardContextual"/>
              </w:rPr>
              <w:tab/>
            </w:r>
            <w:r w:rsidRPr="003F5471">
              <w:rPr>
                <w:rStyle w:val="Hiperpovezava"/>
                <w:noProof/>
              </w:rPr>
              <w:t>COMPARISON AND OPTIMIZATION OF PROTOCOLS FOR DNA ISOLATION</w:t>
            </w:r>
            <w:r>
              <w:rPr>
                <w:noProof/>
                <w:webHidden/>
              </w:rPr>
              <w:tab/>
            </w:r>
            <w:r>
              <w:rPr>
                <w:noProof/>
                <w:webHidden/>
              </w:rPr>
              <w:fldChar w:fldCharType="begin"/>
            </w:r>
            <w:r>
              <w:rPr>
                <w:noProof/>
                <w:webHidden/>
              </w:rPr>
              <w:instrText xml:space="preserve"> PAGEREF _Toc228252018 \h </w:instrText>
            </w:r>
            <w:r>
              <w:rPr>
                <w:noProof/>
                <w:webHidden/>
              </w:rPr>
            </w:r>
            <w:r>
              <w:rPr>
                <w:noProof/>
                <w:webHidden/>
              </w:rPr>
              <w:fldChar w:fldCharType="separate"/>
            </w:r>
            <w:r>
              <w:rPr>
                <w:noProof/>
                <w:webHidden/>
              </w:rPr>
              <w:t>18</w:t>
            </w:r>
            <w:r>
              <w:rPr>
                <w:noProof/>
                <w:webHidden/>
              </w:rPr>
              <w:fldChar w:fldCharType="end"/>
            </w:r>
          </w:hyperlink>
        </w:p>
        <w:p w14:paraId="254AE22F" w14:textId="54F75E6E"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19" w:history="1">
            <w:r w:rsidRPr="003F5471">
              <w:rPr>
                <w:rStyle w:val="Hiperpovezava"/>
                <w:noProof/>
              </w:rPr>
              <w:t>3.2.1</w:t>
            </w:r>
            <w:r>
              <w:rPr>
                <w:rFonts w:asciiTheme="minorHAnsi" w:eastAsiaTheme="minorEastAsia" w:hAnsiTheme="minorHAnsi"/>
                <w:noProof/>
                <w:kern w:val="2"/>
                <w:szCs w:val="24"/>
                <w:lang w:eastAsia="en-GB"/>
                <w14:ligatures w14:val="standardContextual"/>
              </w:rPr>
              <w:tab/>
            </w:r>
            <w:r w:rsidRPr="003F5471">
              <w:rPr>
                <w:rStyle w:val="Hiperpovezava"/>
                <w:noProof/>
              </w:rPr>
              <w:t>Comparison of isolation protocols for bacterial DNA from human stool samples</w:t>
            </w:r>
            <w:r>
              <w:rPr>
                <w:noProof/>
                <w:webHidden/>
              </w:rPr>
              <w:tab/>
            </w:r>
            <w:r>
              <w:rPr>
                <w:noProof/>
                <w:webHidden/>
              </w:rPr>
              <w:fldChar w:fldCharType="begin"/>
            </w:r>
            <w:r>
              <w:rPr>
                <w:noProof/>
                <w:webHidden/>
              </w:rPr>
              <w:instrText xml:space="preserve"> PAGEREF _Toc228252019 \h </w:instrText>
            </w:r>
            <w:r>
              <w:rPr>
                <w:noProof/>
                <w:webHidden/>
              </w:rPr>
            </w:r>
            <w:r>
              <w:rPr>
                <w:noProof/>
                <w:webHidden/>
              </w:rPr>
              <w:fldChar w:fldCharType="separate"/>
            </w:r>
            <w:r>
              <w:rPr>
                <w:noProof/>
                <w:webHidden/>
              </w:rPr>
              <w:t>18</w:t>
            </w:r>
            <w:r>
              <w:rPr>
                <w:noProof/>
                <w:webHidden/>
              </w:rPr>
              <w:fldChar w:fldCharType="end"/>
            </w:r>
          </w:hyperlink>
        </w:p>
        <w:p w14:paraId="44D3F22D" w14:textId="46E82677"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0" w:history="1">
            <w:r w:rsidRPr="003F5471">
              <w:rPr>
                <w:rStyle w:val="Hiperpovezava"/>
                <w:noProof/>
              </w:rPr>
              <w:t>3.2.2</w:t>
            </w:r>
            <w:r>
              <w:rPr>
                <w:rFonts w:asciiTheme="minorHAnsi" w:eastAsiaTheme="minorEastAsia" w:hAnsiTheme="minorHAnsi"/>
                <w:noProof/>
                <w:kern w:val="2"/>
                <w:szCs w:val="24"/>
                <w:lang w:eastAsia="en-GB"/>
                <w14:ligatures w14:val="standardContextual"/>
              </w:rPr>
              <w:tab/>
            </w:r>
            <w:r w:rsidRPr="003F5471">
              <w:rPr>
                <w:rStyle w:val="Hiperpovezava"/>
                <w:noProof/>
              </w:rPr>
              <w:t>Optimization of removal of vegetative cells and their DNA from stool samples</w:t>
            </w:r>
            <w:r>
              <w:rPr>
                <w:noProof/>
                <w:webHidden/>
              </w:rPr>
              <w:tab/>
            </w:r>
            <w:r>
              <w:rPr>
                <w:noProof/>
                <w:webHidden/>
              </w:rPr>
              <w:fldChar w:fldCharType="begin"/>
            </w:r>
            <w:r>
              <w:rPr>
                <w:noProof/>
                <w:webHidden/>
              </w:rPr>
              <w:instrText xml:space="preserve"> PAGEREF _Toc228252020 \h </w:instrText>
            </w:r>
            <w:r>
              <w:rPr>
                <w:noProof/>
                <w:webHidden/>
              </w:rPr>
            </w:r>
            <w:r>
              <w:rPr>
                <w:noProof/>
                <w:webHidden/>
              </w:rPr>
              <w:fldChar w:fldCharType="separate"/>
            </w:r>
            <w:r>
              <w:rPr>
                <w:noProof/>
                <w:webHidden/>
              </w:rPr>
              <w:t>18</w:t>
            </w:r>
            <w:r>
              <w:rPr>
                <w:noProof/>
                <w:webHidden/>
              </w:rPr>
              <w:fldChar w:fldCharType="end"/>
            </w:r>
          </w:hyperlink>
        </w:p>
        <w:p w14:paraId="11FE7EAB" w14:textId="6DD089B7"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21" w:history="1">
            <w:r w:rsidRPr="003F5471">
              <w:rPr>
                <w:rStyle w:val="Hiperpovezava"/>
                <w:noProof/>
              </w:rPr>
              <w:t>3.3</w:t>
            </w:r>
            <w:r>
              <w:rPr>
                <w:rFonts w:asciiTheme="minorHAnsi" w:eastAsiaTheme="minorEastAsia" w:hAnsiTheme="minorHAnsi"/>
                <w:noProof/>
                <w:kern w:val="2"/>
                <w:szCs w:val="24"/>
                <w:lang w:eastAsia="en-GB"/>
                <w14:ligatures w14:val="standardContextual"/>
              </w:rPr>
              <w:tab/>
            </w:r>
            <w:r w:rsidRPr="003F5471">
              <w:rPr>
                <w:rStyle w:val="Hiperpovezava"/>
                <w:noProof/>
              </w:rPr>
              <w:t>DNA ISOLATION</w:t>
            </w:r>
            <w:r>
              <w:rPr>
                <w:noProof/>
                <w:webHidden/>
              </w:rPr>
              <w:tab/>
            </w:r>
            <w:r>
              <w:rPr>
                <w:noProof/>
                <w:webHidden/>
              </w:rPr>
              <w:fldChar w:fldCharType="begin"/>
            </w:r>
            <w:r>
              <w:rPr>
                <w:noProof/>
                <w:webHidden/>
              </w:rPr>
              <w:instrText xml:space="preserve"> PAGEREF _Toc228252021 \h </w:instrText>
            </w:r>
            <w:r>
              <w:rPr>
                <w:noProof/>
                <w:webHidden/>
              </w:rPr>
            </w:r>
            <w:r>
              <w:rPr>
                <w:noProof/>
                <w:webHidden/>
              </w:rPr>
              <w:fldChar w:fldCharType="separate"/>
            </w:r>
            <w:r>
              <w:rPr>
                <w:noProof/>
                <w:webHidden/>
              </w:rPr>
              <w:t>19</w:t>
            </w:r>
            <w:r>
              <w:rPr>
                <w:noProof/>
                <w:webHidden/>
              </w:rPr>
              <w:fldChar w:fldCharType="end"/>
            </w:r>
          </w:hyperlink>
        </w:p>
        <w:p w14:paraId="6B4E232F" w14:textId="5E40326D"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2" w:history="1">
            <w:r w:rsidRPr="003F5471">
              <w:rPr>
                <w:rStyle w:val="Hiperpovezava"/>
                <w:noProof/>
              </w:rPr>
              <w:t>3.3.1</w:t>
            </w:r>
            <w:r>
              <w:rPr>
                <w:rFonts w:asciiTheme="minorHAnsi" w:eastAsiaTheme="minorEastAsia" w:hAnsiTheme="minorHAnsi"/>
                <w:noProof/>
                <w:kern w:val="2"/>
                <w:szCs w:val="24"/>
                <w:lang w:eastAsia="en-GB"/>
                <w14:ligatures w14:val="standardContextual"/>
              </w:rPr>
              <w:tab/>
            </w:r>
            <w:r w:rsidRPr="003F5471">
              <w:rPr>
                <w:rStyle w:val="Hiperpovezava"/>
                <w:noProof/>
              </w:rPr>
              <w:t>DNA isolation from stool samples</w:t>
            </w:r>
            <w:r>
              <w:rPr>
                <w:noProof/>
                <w:webHidden/>
              </w:rPr>
              <w:tab/>
            </w:r>
            <w:r>
              <w:rPr>
                <w:noProof/>
                <w:webHidden/>
              </w:rPr>
              <w:fldChar w:fldCharType="begin"/>
            </w:r>
            <w:r>
              <w:rPr>
                <w:noProof/>
                <w:webHidden/>
              </w:rPr>
              <w:instrText xml:space="preserve"> PAGEREF _Toc228252022 \h </w:instrText>
            </w:r>
            <w:r>
              <w:rPr>
                <w:noProof/>
                <w:webHidden/>
              </w:rPr>
            </w:r>
            <w:r>
              <w:rPr>
                <w:noProof/>
                <w:webHidden/>
              </w:rPr>
              <w:fldChar w:fldCharType="separate"/>
            </w:r>
            <w:r>
              <w:rPr>
                <w:noProof/>
                <w:webHidden/>
              </w:rPr>
              <w:t>19</w:t>
            </w:r>
            <w:r>
              <w:rPr>
                <w:noProof/>
                <w:webHidden/>
              </w:rPr>
              <w:fldChar w:fldCharType="end"/>
            </w:r>
          </w:hyperlink>
        </w:p>
        <w:p w14:paraId="2FA8C3B4" w14:textId="7DE8E503"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3" w:history="1">
            <w:r w:rsidRPr="003F5471">
              <w:rPr>
                <w:rStyle w:val="Hiperpovezava"/>
                <w:noProof/>
              </w:rPr>
              <w:t>3.3.2</w:t>
            </w:r>
            <w:r>
              <w:rPr>
                <w:rFonts w:asciiTheme="minorHAnsi" w:eastAsiaTheme="minorEastAsia" w:hAnsiTheme="minorHAnsi"/>
                <w:noProof/>
                <w:kern w:val="2"/>
                <w:szCs w:val="24"/>
                <w:lang w:eastAsia="en-GB"/>
                <w14:ligatures w14:val="standardContextual"/>
              </w:rPr>
              <w:tab/>
            </w:r>
            <w:r w:rsidRPr="003F5471">
              <w:rPr>
                <w:rStyle w:val="Hiperpovezava"/>
                <w:noProof/>
              </w:rPr>
              <w:t>DNA isolation from pure bacterial cultures</w:t>
            </w:r>
            <w:r>
              <w:rPr>
                <w:noProof/>
                <w:webHidden/>
              </w:rPr>
              <w:tab/>
            </w:r>
            <w:r>
              <w:rPr>
                <w:noProof/>
                <w:webHidden/>
              </w:rPr>
              <w:fldChar w:fldCharType="begin"/>
            </w:r>
            <w:r>
              <w:rPr>
                <w:noProof/>
                <w:webHidden/>
              </w:rPr>
              <w:instrText xml:space="preserve"> PAGEREF _Toc228252023 \h </w:instrText>
            </w:r>
            <w:r>
              <w:rPr>
                <w:noProof/>
                <w:webHidden/>
              </w:rPr>
            </w:r>
            <w:r>
              <w:rPr>
                <w:noProof/>
                <w:webHidden/>
              </w:rPr>
              <w:fldChar w:fldCharType="separate"/>
            </w:r>
            <w:r>
              <w:rPr>
                <w:noProof/>
                <w:webHidden/>
              </w:rPr>
              <w:t>19</w:t>
            </w:r>
            <w:r>
              <w:rPr>
                <w:noProof/>
                <w:webHidden/>
              </w:rPr>
              <w:fldChar w:fldCharType="end"/>
            </w:r>
          </w:hyperlink>
        </w:p>
        <w:p w14:paraId="78688D28" w14:textId="127E8B16"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24" w:history="1">
            <w:r w:rsidRPr="003F5471">
              <w:rPr>
                <w:rStyle w:val="Hiperpovezava"/>
                <w:noProof/>
              </w:rPr>
              <w:t>3.4</w:t>
            </w:r>
            <w:r>
              <w:rPr>
                <w:rFonts w:asciiTheme="minorHAnsi" w:eastAsiaTheme="minorEastAsia" w:hAnsiTheme="minorHAnsi"/>
                <w:noProof/>
                <w:kern w:val="2"/>
                <w:szCs w:val="24"/>
                <w:lang w:eastAsia="en-GB"/>
                <w14:ligatures w14:val="standardContextual"/>
              </w:rPr>
              <w:tab/>
            </w:r>
            <w:r w:rsidRPr="003F5471">
              <w:rPr>
                <w:rStyle w:val="Hiperpovezava"/>
                <w:noProof/>
              </w:rPr>
              <w:t>ABSOLUTE QUANTIFICATION OF THE 16S rRNA GENE IN UNTREATED AND ETHANOL TREATED SAMPLES USING DROPLET DIGITAL PCR</w:t>
            </w:r>
            <w:r>
              <w:rPr>
                <w:noProof/>
                <w:webHidden/>
              </w:rPr>
              <w:tab/>
            </w:r>
            <w:r>
              <w:rPr>
                <w:noProof/>
                <w:webHidden/>
              </w:rPr>
              <w:fldChar w:fldCharType="begin"/>
            </w:r>
            <w:r>
              <w:rPr>
                <w:noProof/>
                <w:webHidden/>
              </w:rPr>
              <w:instrText xml:space="preserve"> PAGEREF _Toc228252024 \h </w:instrText>
            </w:r>
            <w:r>
              <w:rPr>
                <w:noProof/>
                <w:webHidden/>
              </w:rPr>
            </w:r>
            <w:r>
              <w:rPr>
                <w:noProof/>
                <w:webHidden/>
              </w:rPr>
              <w:fldChar w:fldCharType="separate"/>
            </w:r>
            <w:r>
              <w:rPr>
                <w:noProof/>
                <w:webHidden/>
              </w:rPr>
              <w:t>19</w:t>
            </w:r>
            <w:r>
              <w:rPr>
                <w:noProof/>
                <w:webHidden/>
              </w:rPr>
              <w:fldChar w:fldCharType="end"/>
            </w:r>
          </w:hyperlink>
        </w:p>
        <w:p w14:paraId="5DFC1D48" w14:textId="79775418"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25" w:history="1">
            <w:r w:rsidRPr="003F5471">
              <w:rPr>
                <w:rStyle w:val="Hiperpovezava"/>
                <w:noProof/>
              </w:rPr>
              <w:t>3.5</w:t>
            </w:r>
            <w:r>
              <w:rPr>
                <w:rFonts w:asciiTheme="minorHAnsi" w:eastAsiaTheme="minorEastAsia" w:hAnsiTheme="minorHAnsi"/>
                <w:noProof/>
                <w:kern w:val="2"/>
                <w:szCs w:val="24"/>
                <w:lang w:eastAsia="en-GB"/>
                <w14:ligatures w14:val="standardContextual"/>
              </w:rPr>
              <w:tab/>
            </w:r>
            <w:r w:rsidRPr="003F5471">
              <w:rPr>
                <w:rStyle w:val="Hiperpovezava"/>
                <w:noProof/>
              </w:rPr>
              <w:t>SEQUENCING OF DNA FROM  ETHANOL TREATED AND UNTREATED STOOL SAMPLES, AND BACTERIAL ISOLATES</w:t>
            </w:r>
            <w:r>
              <w:rPr>
                <w:noProof/>
                <w:webHidden/>
              </w:rPr>
              <w:tab/>
            </w:r>
            <w:r>
              <w:rPr>
                <w:noProof/>
                <w:webHidden/>
              </w:rPr>
              <w:fldChar w:fldCharType="begin"/>
            </w:r>
            <w:r>
              <w:rPr>
                <w:noProof/>
                <w:webHidden/>
              </w:rPr>
              <w:instrText xml:space="preserve"> PAGEREF _Toc228252025 \h </w:instrText>
            </w:r>
            <w:r>
              <w:rPr>
                <w:noProof/>
                <w:webHidden/>
              </w:rPr>
            </w:r>
            <w:r>
              <w:rPr>
                <w:noProof/>
                <w:webHidden/>
              </w:rPr>
              <w:fldChar w:fldCharType="separate"/>
            </w:r>
            <w:r>
              <w:rPr>
                <w:noProof/>
                <w:webHidden/>
              </w:rPr>
              <w:t>20</w:t>
            </w:r>
            <w:r>
              <w:rPr>
                <w:noProof/>
                <w:webHidden/>
              </w:rPr>
              <w:fldChar w:fldCharType="end"/>
            </w:r>
          </w:hyperlink>
        </w:p>
        <w:p w14:paraId="2BFC46C6" w14:textId="0B0EF4F7"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6" w:history="1">
            <w:r w:rsidRPr="003F5471">
              <w:rPr>
                <w:rStyle w:val="Hiperpovezava"/>
                <w:noProof/>
              </w:rPr>
              <w:t>3.5.1</w:t>
            </w:r>
            <w:r>
              <w:rPr>
                <w:rFonts w:asciiTheme="minorHAnsi" w:eastAsiaTheme="minorEastAsia" w:hAnsiTheme="minorHAnsi"/>
                <w:noProof/>
                <w:kern w:val="2"/>
                <w:szCs w:val="24"/>
                <w:lang w:eastAsia="en-GB"/>
                <w14:ligatures w14:val="standardContextual"/>
              </w:rPr>
              <w:tab/>
            </w:r>
            <w:r w:rsidRPr="003F5471">
              <w:rPr>
                <w:rStyle w:val="Hiperpovezava"/>
                <w:noProof/>
              </w:rPr>
              <w:t>Amplicon sequencing of the 16S rRNA gene of ethanol treated and untreated stool samples</w:t>
            </w:r>
            <w:r>
              <w:rPr>
                <w:noProof/>
                <w:webHidden/>
              </w:rPr>
              <w:tab/>
            </w:r>
            <w:r>
              <w:rPr>
                <w:noProof/>
                <w:webHidden/>
              </w:rPr>
              <w:fldChar w:fldCharType="begin"/>
            </w:r>
            <w:r>
              <w:rPr>
                <w:noProof/>
                <w:webHidden/>
              </w:rPr>
              <w:instrText xml:space="preserve"> PAGEREF _Toc228252026 \h </w:instrText>
            </w:r>
            <w:r>
              <w:rPr>
                <w:noProof/>
                <w:webHidden/>
              </w:rPr>
            </w:r>
            <w:r>
              <w:rPr>
                <w:noProof/>
                <w:webHidden/>
              </w:rPr>
              <w:fldChar w:fldCharType="separate"/>
            </w:r>
            <w:r>
              <w:rPr>
                <w:noProof/>
                <w:webHidden/>
              </w:rPr>
              <w:t>20</w:t>
            </w:r>
            <w:r>
              <w:rPr>
                <w:noProof/>
                <w:webHidden/>
              </w:rPr>
              <w:fldChar w:fldCharType="end"/>
            </w:r>
          </w:hyperlink>
        </w:p>
        <w:p w14:paraId="0833D7D3" w14:textId="2177DA34"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7" w:history="1">
            <w:r w:rsidRPr="003F5471">
              <w:rPr>
                <w:rStyle w:val="Hiperpovezava"/>
                <w:noProof/>
              </w:rPr>
              <w:t>3.5.2</w:t>
            </w:r>
            <w:r>
              <w:rPr>
                <w:rFonts w:asciiTheme="minorHAnsi" w:eastAsiaTheme="minorEastAsia" w:hAnsiTheme="minorHAnsi"/>
                <w:noProof/>
                <w:kern w:val="2"/>
                <w:szCs w:val="24"/>
                <w:lang w:eastAsia="en-GB"/>
                <w14:ligatures w14:val="standardContextual"/>
              </w:rPr>
              <w:tab/>
            </w:r>
            <w:r w:rsidRPr="003F5471">
              <w:rPr>
                <w:rStyle w:val="Hiperpovezava"/>
                <w:noProof/>
              </w:rPr>
              <w:t>Shotgun metagenomic sequencing of ethanol treated and untreated stool samples</w:t>
            </w:r>
            <w:r>
              <w:rPr>
                <w:noProof/>
                <w:webHidden/>
              </w:rPr>
              <w:tab/>
            </w:r>
            <w:r>
              <w:rPr>
                <w:noProof/>
                <w:webHidden/>
              </w:rPr>
              <w:fldChar w:fldCharType="begin"/>
            </w:r>
            <w:r>
              <w:rPr>
                <w:noProof/>
                <w:webHidden/>
              </w:rPr>
              <w:instrText xml:space="preserve"> PAGEREF _Toc228252027 \h </w:instrText>
            </w:r>
            <w:r>
              <w:rPr>
                <w:noProof/>
                <w:webHidden/>
              </w:rPr>
            </w:r>
            <w:r>
              <w:rPr>
                <w:noProof/>
                <w:webHidden/>
              </w:rPr>
              <w:fldChar w:fldCharType="separate"/>
            </w:r>
            <w:r>
              <w:rPr>
                <w:noProof/>
                <w:webHidden/>
              </w:rPr>
              <w:t>20</w:t>
            </w:r>
            <w:r>
              <w:rPr>
                <w:noProof/>
                <w:webHidden/>
              </w:rPr>
              <w:fldChar w:fldCharType="end"/>
            </w:r>
          </w:hyperlink>
        </w:p>
        <w:p w14:paraId="47EB6E7A" w14:textId="6A435EA8"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28" w:history="1">
            <w:r w:rsidRPr="003F5471">
              <w:rPr>
                <w:rStyle w:val="Hiperpovezava"/>
                <w:noProof/>
              </w:rPr>
              <w:t>3.5.3</w:t>
            </w:r>
            <w:r>
              <w:rPr>
                <w:rFonts w:asciiTheme="minorHAnsi" w:eastAsiaTheme="minorEastAsia" w:hAnsiTheme="minorHAnsi"/>
                <w:noProof/>
                <w:kern w:val="2"/>
                <w:szCs w:val="24"/>
                <w:lang w:eastAsia="en-GB"/>
                <w14:ligatures w14:val="standardContextual"/>
              </w:rPr>
              <w:tab/>
            </w:r>
            <w:r w:rsidRPr="003F5471">
              <w:rPr>
                <w:rStyle w:val="Hiperpovezava"/>
                <w:noProof/>
              </w:rPr>
              <w:t>Whole-genome sequencing using Illumina short-read technology</w:t>
            </w:r>
            <w:r>
              <w:rPr>
                <w:noProof/>
                <w:webHidden/>
              </w:rPr>
              <w:tab/>
            </w:r>
            <w:r>
              <w:rPr>
                <w:noProof/>
                <w:webHidden/>
              </w:rPr>
              <w:fldChar w:fldCharType="begin"/>
            </w:r>
            <w:r>
              <w:rPr>
                <w:noProof/>
                <w:webHidden/>
              </w:rPr>
              <w:instrText xml:space="preserve"> PAGEREF _Toc228252028 \h </w:instrText>
            </w:r>
            <w:r>
              <w:rPr>
                <w:noProof/>
                <w:webHidden/>
              </w:rPr>
            </w:r>
            <w:r>
              <w:rPr>
                <w:noProof/>
                <w:webHidden/>
              </w:rPr>
              <w:fldChar w:fldCharType="separate"/>
            </w:r>
            <w:r>
              <w:rPr>
                <w:noProof/>
                <w:webHidden/>
              </w:rPr>
              <w:t>21</w:t>
            </w:r>
            <w:r>
              <w:rPr>
                <w:noProof/>
                <w:webHidden/>
              </w:rPr>
              <w:fldChar w:fldCharType="end"/>
            </w:r>
          </w:hyperlink>
        </w:p>
        <w:p w14:paraId="2DFA1A55" w14:textId="6D18970E" w:rsidR="00497A2F" w:rsidRDefault="00497A2F">
          <w:pPr>
            <w:pStyle w:val="Kazalovsebine3"/>
            <w:tabs>
              <w:tab w:val="right" w:leader="dot" w:pos="9396"/>
            </w:tabs>
            <w:rPr>
              <w:rFonts w:asciiTheme="minorHAnsi" w:eastAsiaTheme="minorEastAsia" w:hAnsiTheme="minorHAnsi"/>
              <w:noProof/>
              <w:kern w:val="2"/>
              <w:szCs w:val="24"/>
              <w:lang w:eastAsia="en-GB"/>
              <w14:ligatures w14:val="standardContextual"/>
            </w:rPr>
          </w:pPr>
          <w:hyperlink w:anchor="_Toc228252029" w:history="1">
            <w:r w:rsidRPr="003F5471">
              <w:rPr>
                <w:rStyle w:val="Hiperpovezava"/>
                <w:noProof/>
              </w:rPr>
              <w:t>3.5.4 Whole-genome sequencing using Oxford Nanopore Technologies long-read technology</w:t>
            </w:r>
            <w:r>
              <w:rPr>
                <w:noProof/>
                <w:webHidden/>
              </w:rPr>
              <w:tab/>
            </w:r>
            <w:r>
              <w:rPr>
                <w:noProof/>
                <w:webHidden/>
              </w:rPr>
              <w:fldChar w:fldCharType="begin"/>
            </w:r>
            <w:r>
              <w:rPr>
                <w:noProof/>
                <w:webHidden/>
              </w:rPr>
              <w:instrText xml:space="preserve"> PAGEREF _Toc228252029 \h </w:instrText>
            </w:r>
            <w:r>
              <w:rPr>
                <w:noProof/>
                <w:webHidden/>
              </w:rPr>
            </w:r>
            <w:r>
              <w:rPr>
                <w:noProof/>
                <w:webHidden/>
              </w:rPr>
              <w:fldChar w:fldCharType="separate"/>
            </w:r>
            <w:r>
              <w:rPr>
                <w:noProof/>
                <w:webHidden/>
              </w:rPr>
              <w:t>21</w:t>
            </w:r>
            <w:r>
              <w:rPr>
                <w:noProof/>
                <w:webHidden/>
              </w:rPr>
              <w:fldChar w:fldCharType="end"/>
            </w:r>
          </w:hyperlink>
        </w:p>
        <w:p w14:paraId="6ED10AD0" w14:textId="2669C8C0"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30" w:history="1">
            <w:r w:rsidRPr="003F5471">
              <w:rPr>
                <w:rStyle w:val="Hiperpovezava"/>
                <w:noProof/>
              </w:rPr>
              <w:t>3.6</w:t>
            </w:r>
            <w:r>
              <w:rPr>
                <w:rFonts w:asciiTheme="minorHAnsi" w:eastAsiaTheme="minorEastAsia" w:hAnsiTheme="minorHAnsi"/>
                <w:noProof/>
                <w:kern w:val="2"/>
                <w:szCs w:val="24"/>
                <w:lang w:eastAsia="en-GB"/>
                <w14:ligatures w14:val="standardContextual"/>
              </w:rPr>
              <w:tab/>
            </w:r>
            <w:r w:rsidRPr="003F5471">
              <w:rPr>
                <w:rStyle w:val="Hiperpovezava"/>
                <w:noProof/>
              </w:rPr>
              <w:t>DATA ANALYSIS</w:t>
            </w:r>
            <w:r>
              <w:rPr>
                <w:noProof/>
                <w:webHidden/>
              </w:rPr>
              <w:tab/>
            </w:r>
            <w:r>
              <w:rPr>
                <w:noProof/>
                <w:webHidden/>
              </w:rPr>
              <w:fldChar w:fldCharType="begin"/>
            </w:r>
            <w:r>
              <w:rPr>
                <w:noProof/>
                <w:webHidden/>
              </w:rPr>
              <w:instrText xml:space="preserve"> PAGEREF _Toc228252030 \h </w:instrText>
            </w:r>
            <w:r>
              <w:rPr>
                <w:noProof/>
                <w:webHidden/>
              </w:rPr>
            </w:r>
            <w:r>
              <w:rPr>
                <w:noProof/>
                <w:webHidden/>
              </w:rPr>
              <w:fldChar w:fldCharType="separate"/>
            </w:r>
            <w:r>
              <w:rPr>
                <w:noProof/>
                <w:webHidden/>
              </w:rPr>
              <w:t>21</w:t>
            </w:r>
            <w:r>
              <w:rPr>
                <w:noProof/>
                <w:webHidden/>
              </w:rPr>
              <w:fldChar w:fldCharType="end"/>
            </w:r>
          </w:hyperlink>
        </w:p>
        <w:p w14:paraId="6498C8E4" w14:textId="2044A105"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31" w:history="1">
            <w:r w:rsidRPr="003F5471">
              <w:rPr>
                <w:rStyle w:val="Hiperpovezava"/>
                <w:noProof/>
              </w:rPr>
              <w:t>3.6.1</w:t>
            </w:r>
            <w:r>
              <w:rPr>
                <w:rFonts w:asciiTheme="minorHAnsi" w:eastAsiaTheme="minorEastAsia" w:hAnsiTheme="minorHAnsi"/>
                <w:noProof/>
                <w:kern w:val="2"/>
                <w:szCs w:val="24"/>
                <w:lang w:eastAsia="en-GB"/>
                <w14:ligatures w14:val="standardContextual"/>
              </w:rPr>
              <w:tab/>
            </w:r>
            <w:r w:rsidRPr="003F5471">
              <w:rPr>
                <w:rStyle w:val="Hiperpovezava"/>
                <w:noProof/>
              </w:rPr>
              <w:t>16S amplicon (16S AS) data analysis</w:t>
            </w:r>
            <w:r>
              <w:rPr>
                <w:noProof/>
                <w:webHidden/>
              </w:rPr>
              <w:tab/>
            </w:r>
            <w:r>
              <w:rPr>
                <w:noProof/>
                <w:webHidden/>
              </w:rPr>
              <w:fldChar w:fldCharType="begin"/>
            </w:r>
            <w:r>
              <w:rPr>
                <w:noProof/>
                <w:webHidden/>
              </w:rPr>
              <w:instrText xml:space="preserve"> PAGEREF _Toc228252031 \h </w:instrText>
            </w:r>
            <w:r>
              <w:rPr>
                <w:noProof/>
                <w:webHidden/>
              </w:rPr>
            </w:r>
            <w:r>
              <w:rPr>
                <w:noProof/>
                <w:webHidden/>
              </w:rPr>
              <w:fldChar w:fldCharType="separate"/>
            </w:r>
            <w:r>
              <w:rPr>
                <w:noProof/>
                <w:webHidden/>
              </w:rPr>
              <w:t>21</w:t>
            </w:r>
            <w:r>
              <w:rPr>
                <w:noProof/>
                <w:webHidden/>
              </w:rPr>
              <w:fldChar w:fldCharType="end"/>
            </w:r>
          </w:hyperlink>
        </w:p>
        <w:p w14:paraId="545FD26E" w14:textId="12E82414"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32" w:history="1">
            <w:r w:rsidRPr="003F5471">
              <w:rPr>
                <w:rStyle w:val="Hiperpovezava"/>
                <w:noProof/>
              </w:rPr>
              <w:t>3.6.2</w:t>
            </w:r>
            <w:r>
              <w:rPr>
                <w:rFonts w:asciiTheme="minorHAnsi" w:eastAsiaTheme="minorEastAsia" w:hAnsiTheme="minorHAnsi"/>
                <w:noProof/>
                <w:kern w:val="2"/>
                <w:szCs w:val="24"/>
                <w:lang w:eastAsia="en-GB"/>
                <w14:ligatures w14:val="standardContextual"/>
              </w:rPr>
              <w:tab/>
            </w:r>
            <w:r w:rsidRPr="003F5471">
              <w:rPr>
                <w:rStyle w:val="Hiperpovezava"/>
                <w:noProof/>
              </w:rPr>
              <w:t>Shotgun metagenomic data analysis</w:t>
            </w:r>
            <w:r>
              <w:rPr>
                <w:noProof/>
                <w:webHidden/>
              </w:rPr>
              <w:tab/>
            </w:r>
            <w:r>
              <w:rPr>
                <w:noProof/>
                <w:webHidden/>
              </w:rPr>
              <w:fldChar w:fldCharType="begin"/>
            </w:r>
            <w:r>
              <w:rPr>
                <w:noProof/>
                <w:webHidden/>
              </w:rPr>
              <w:instrText xml:space="preserve"> PAGEREF _Toc228252032 \h </w:instrText>
            </w:r>
            <w:r>
              <w:rPr>
                <w:noProof/>
                <w:webHidden/>
              </w:rPr>
            </w:r>
            <w:r>
              <w:rPr>
                <w:noProof/>
                <w:webHidden/>
              </w:rPr>
              <w:fldChar w:fldCharType="separate"/>
            </w:r>
            <w:r>
              <w:rPr>
                <w:noProof/>
                <w:webHidden/>
              </w:rPr>
              <w:t>23</w:t>
            </w:r>
            <w:r>
              <w:rPr>
                <w:noProof/>
                <w:webHidden/>
              </w:rPr>
              <w:fldChar w:fldCharType="end"/>
            </w:r>
          </w:hyperlink>
        </w:p>
        <w:p w14:paraId="7B18AC9C" w14:textId="5BC51153"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33" w:history="1">
            <w:r w:rsidRPr="003F5471">
              <w:rPr>
                <w:rStyle w:val="Hiperpovezava"/>
                <w:noProof/>
              </w:rPr>
              <w:t>3.7</w:t>
            </w:r>
            <w:r>
              <w:rPr>
                <w:rFonts w:asciiTheme="minorHAnsi" w:eastAsiaTheme="minorEastAsia" w:hAnsiTheme="minorHAnsi"/>
                <w:noProof/>
                <w:kern w:val="2"/>
                <w:szCs w:val="24"/>
                <w:lang w:eastAsia="en-GB"/>
                <w14:ligatures w14:val="standardContextual"/>
              </w:rPr>
              <w:tab/>
            </w:r>
            <w:r w:rsidRPr="003F5471">
              <w:rPr>
                <w:rStyle w:val="Hiperpovezava"/>
                <w:noProof/>
              </w:rPr>
              <w:t>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_Toc228252033 \h </w:instrText>
            </w:r>
            <w:r>
              <w:rPr>
                <w:noProof/>
                <w:webHidden/>
              </w:rPr>
            </w:r>
            <w:r>
              <w:rPr>
                <w:noProof/>
                <w:webHidden/>
              </w:rPr>
              <w:fldChar w:fldCharType="separate"/>
            </w:r>
            <w:r>
              <w:rPr>
                <w:noProof/>
                <w:webHidden/>
              </w:rPr>
              <w:t>25</w:t>
            </w:r>
            <w:r>
              <w:rPr>
                <w:noProof/>
                <w:webHidden/>
              </w:rPr>
              <w:fldChar w:fldCharType="end"/>
            </w:r>
          </w:hyperlink>
        </w:p>
        <w:p w14:paraId="7CA2D707" w14:textId="6DBC48BD"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34" w:history="1">
            <w:r w:rsidRPr="003F5471">
              <w:rPr>
                <w:rStyle w:val="Hiperpovezava"/>
                <w:noProof/>
              </w:rPr>
              <w:t>3.7.1</w:t>
            </w:r>
            <w:r>
              <w:rPr>
                <w:rFonts w:asciiTheme="minorHAnsi" w:eastAsiaTheme="minorEastAsia" w:hAnsiTheme="minorHAnsi"/>
                <w:noProof/>
                <w:kern w:val="2"/>
                <w:szCs w:val="24"/>
                <w:lang w:eastAsia="en-GB"/>
                <w14:ligatures w14:val="standardContextual"/>
              </w:rPr>
              <w:tab/>
            </w:r>
            <w:r w:rsidRPr="003F5471">
              <w:rPr>
                <w:rStyle w:val="Hiperpovezava"/>
                <w:noProof/>
              </w:rPr>
              <w:t>Isolation of selected spore-forming bacteria from ethanol treated stool samples</w:t>
            </w:r>
            <w:r>
              <w:rPr>
                <w:noProof/>
                <w:webHidden/>
              </w:rPr>
              <w:tab/>
            </w:r>
            <w:r>
              <w:rPr>
                <w:noProof/>
                <w:webHidden/>
              </w:rPr>
              <w:fldChar w:fldCharType="begin"/>
            </w:r>
            <w:r>
              <w:rPr>
                <w:noProof/>
                <w:webHidden/>
              </w:rPr>
              <w:instrText xml:space="preserve"> PAGEREF _Toc228252034 \h </w:instrText>
            </w:r>
            <w:r>
              <w:rPr>
                <w:noProof/>
                <w:webHidden/>
              </w:rPr>
            </w:r>
            <w:r>
              <w:rPr>
                <w:noProof/>
                <w:webHidden/>
              </w:rPr>
              <w:fldChar w:fldCharType="separate"/>
            </w:r>
            <w:r>
              <w:rPr>
                <w:noProof/>
                <w:webHidden/>
              </w:rPr>
              <w:t>25</w:t>
            </w:r>
            <w:r>
              <w:rPr>
                <w:noProof/>
                <w:webHidden/>
              </w:rPr>
              <w:fldChar w:fldCharType="end"/>
            </w:r>
          </w:hyperlink>
        </w:p>
        <w:p w14:paraId="0E201936" w14:textId="7948B0D8"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35" w:history="1">
            <w:r w:rsidRPr="003F5471">
              <w:rPr>
                <w:rStyle w:val="Hiperpovezava"/>
                <w:noProof/>
              </w:rPr>
              <w:t>3.7.2</w:t>
            </w:r>
            <w:r>
              <w:rPr>
                <w:rFonts w:asciiTheme="minorHAnsi" w:eastAsiaTheme="minorEastAsia" w:hAnsiTheme="minorHAnsi"/>
                <w:noProof/>
                <w:kern w:val="2"/>
                <w:szCs w:val="24"/>
                <w:lang w:eastAsia="en-GB"/>
                <w14:ligatures w14:val="standardContextual"/>
              </w:rPr>
              <w:tab/>
            </w:r>
            <w:r w:rsidRPr="003F5471">
              <w:rPr>
                <w:rStyle w:val="Hiperpovezava"/>
                <w:noProof/>
              </w:rPr>
              <w:t>Analysis of whole-genome sequences</w:t>
            </w:r>
            <w:r>
              <w:rPr>
                <w:noProof/>
                <w:webHidden/>
              </w:rPr>
              <w:tab/>
            </w:r>
            <w:r>
              <w:rPr>
                <w:noProof/>
                <w:webHidden/>
              </w:rPr>
              <w:fldChar w:fldCharType="begin"/>
            </w:r>
            <w:r>
              <w:rPr>
                <w:noProof/>
                <w:webHidden/>
              </w:rPr>
              <w:instrText xml:space="preserve"> PAGEREF _Toc228252035 \h </w:instrText>
            </w:r>
            <w:r>
              <w:rPr>
                <w:noProof/>
                <w:webHidden/>
              </w:rPr>
            </w:r>
            <w:r>
              <w:rPr>
                <w:noProof/>
                <w:webHidden/>
              </w:rPr>
              <w:fldChar w:fldCharType="separate"/>
            </w:r>
            <w:r>
              <w:rPr>
                <w:noProof/>
                <w:webHidden/>
              </w:rPr>
              <w:t>26</w:t>
            </w:r>
            <w:r>
              <w:rPr>
                <w:noProof/>
                <w:webHidden/>
              </w:rPr>
              <w:fldChar w:fldCharType="end"/>
            </w:r>
          </w:hyperlink>
        </w:p>
        <w:p w14:paraId="0073F53A" w14:textId="6AEE2A59"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36" w:history="1">
            <w:r w:rsidRPr="003F5471">
              <w:rPr>
                <w:rStyle w:val="Hiperpovezava"/>
                <w:noProof/>
              </w:rPr>
              <w:t>4</w:t>
            </w:r>
            <w:r>
              <w:rPr>
                <w:rFonts w:asciiTheme="minorHAnsi" w:eastAsiaTheme="minorEastAsia" w:hAnsiTheme="minorHAnsi"/>
                <w:noProof/>
                <w:kern w:val="2"/>
                <w:szCs w:val="24"/>
                <w:lang w:eastAsia="en-GB"/>
                <w14:ligatures w14:val="standardContextual"/>
              </w:rPr>
              <w:tab/>
            </w:r>
            <w:r w:rsidRPr="003F5471">
              <w:rPr>
                <w:rStyle w:val="Hiperpovezava"/>
                <w:noProof/>
              </w:rPr>
              <w:t>RESULTS</w:t>
            </w:r>
            <w:r>
              <w:rPr>
                <w:noProof/>
                <w:webHidden/>
              </w:rPr>
              <w:tab/>
            </w:r>
            <w:r>
              <w:rPr>
                <w:noProof/>
                <w:webHidden/>
              </w:rPr>
              <w:fldChar w:fldCharType="begin"/>
            </w:r>
            <w:r>
              <w:rPr>
                <w:noProof/>
                <w:webHidden/>
              </w:rPr>
              <w:instrText xml:space="preserve"> PAGEREF _Toc228252036 \h </w:instrText>
            </w:r>
            <w:r>
              <w:rPr>
                <w:noProof/>
                <w:webHidden/>
              </w:rPr>
            </w:r>
            <w:r>
              <w:rPr>
                <w:noProof/>
                <w:webHidden/>
              </w:rPr>
              <w:fldChar w:fldCharType="separate"/>
            </w:r>
            <w:r>
              <w:rPr>
                <w:noProof/>
                <w:webHidden/>
              </w:rPr>
              <w:t>29</w:t>
            </w:r>
            <w:r>
              <w:rPr>
                <w:noProof/>
                <w:webHidden/>
              </w:rPr>
              <w:fldChar w:fldCharType="end"/>
            </w:r>
          </w:hyperlink>
        </w:p>
        <w:p w14:paraId="7B9365EB" w14:textId="7C2CD4E0"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37" w:history="1">
            <w:r w:rsidRPr="003F5471">
              <w:rPr>
                <w:rStyle w:val="Hiperpovezava"/>
                <w:noProof/>
              </w:rPr>
              <w:t>4.1</w:t>
            </w:r>
            <w:r>
              <w:rPr>
                <w:rFonts w:asciiTheme="minorHAnsi" w:eastAsiaTheme="minorEastAsia" w:hAnsiTheme="minorHAnsi"/>
                <w:noProof/>
                <w:kern w:val="2"/>
                <w:szCs w:val="24"/>
                <w:lang w:eastAsia="en-GB"/>
                <w14:ligatures w14:val="standardContextual"/>
              </w:rPr>
              <w:tab/>
            </w:r>
            <w:r w:rsidRPr="003F5471">
              <w:rPr>
                <w:rStyle w:val="Hiperpovezava"/>
                <w:noProof/>
              </w:rPr>
              <w:t>COMPARISON OF ISOLATION PROTOCOLS FOR BACTERIAL DNA FROM HUMAN STOOL SAMPLES</w:t>
            </w:r>
            <w:r>
              <w:rPr>
                <w:noProof/>
                <w:webHidden/>
              </w:rPr>
              <w:tab/>
            </w:r>
            <w:r>
              <w:rPr>
                <w:noProof/>
                <w:webHidden/>
              </w:rPr>
              <w:fldChar w:fldCharType="begin"/>
            </w:r>
            <w:r>
              <w:rPr>
                <w:noProof/>
                <w:webHidden/>
              </w:rPr>
              <w:instrText xml:space="preserve"> PAGEREF _Toc228252037 \h </w:instrText>
            </w:r>
            <w:r>
              <w:rPr>
                <w:noProof/>
                <w:webHidden/>
              </w:rPr>
            </w:r>
            <w:r>
              <w:rPr>
                <w:noProof/>
                <w:webHidden/>
              </w:rPr>
              <w:fldChar w:fldCharType="separate"/>
            </w:r>
            <w:r>
              <w:rPr>
                <w:noProof/>
                <w:webHidden/>
              </w:rPr>
              <w:t>29</w:t>
            </w:r>
            <w:r>
              <w:rPr>
                <w:noProof/>
                <w:webHidden/>
              </w:rPr>
              <w:fldChar w:fldCharType="end"/>
            </w:r>
          </w:hyperlink>
        </w:p>
        <w:p w14:paraId="60B9DCE2" w14:textId="281382E5"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38" w:history="1">
            <w:r w:rsidRPr="003F5471">
              <w:rPr>
                <w:rStyle w:val="Hiperpovezava"/>
                <w:noProof/>
              </w:rPr>
              <w:t>4.2</w:t>
            </w:r>
            <w:r>
              <w:rPr>
                <w:rFonts w:asciiTheme="minorHAnsi" w:eastAsiaTheme="minorEastAsia" w:hAnsiTheme="minorHAnsi"/>
                <w:noProof/>
                <w:kern w:val="2"/>
                <w:szCs w:val="24"/>
                <w:lang w:eastAsia="en-GB"/>
                <w14:ligatures w14:val="standardContextual"/>
              </w:rPr>
              <w:tab/>
            </w:r>
            <w:r w:rsidRPr="003F5471">
              <w:rPr>
                <w:rStyle w:val="Hiperpovezava"/>
                <w:noProof/>
              </w:rPr>
              <w:t>OPTIMIZATION OF REMOVAL OF VEGETATIVE CELLS AND THEIR DNA FROM STOOL SAMPLES</w:t>
            </w:r>
            <w:r>
              <w:rPr>
                <w:noProof/>
                <w:webHidden/>
              </w:rPr>
              <w:tab/>
            </w:r>
            <w:r>
              <w:rPr>
                <w:noProof/>
                <w:webHidden/>
              </w:rPr>
              <w:fldChar w:fldCharType="begin"/>
            </w:r>
            <w:r>
              <w:rPr>
                <w:noProof/>
                <w:webHidden/>
              </w:rPr>
              <w:instrText xml:space="preserve"> PAGEREF _Toc228252038 \h </w:instrText>
            </w:r>
            <w:r>
              <w:rPr>
                <w:noProof/>
                <w:webHidden/>
              </w:rPr>
            </w:r>
            <w:r>
              <w:rPr>
                <w:noProof/>
                <w:webHidden/>
              </w:rPr>
              <w:fldChar w:fldCharType="separate"/>
            </w:r>
            <w:r>
              <w:rPr>
                <w:noProof/>
                <w:webHidden/>
              </w:rPr>
              <w:t>31</w:t>
            </w:r>
            <w:r>
              <w:rPr>
                <w:noProof/>
                <w:webHidden/>
              </w:rPr>
              <w:fldChar w:fldCharType="end"/>
            </w:r>
          </w:hyperlink>
        </w:p>
        <w:p w14:paraId="555BC0DD" w14:textId="5808D3A3"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39" w:history="1">
            <w:r w:rsidRPr="003F5471">
              <w:rPr>
                <w:rStyle w:val="Hiperpovezava"/>
                <w:noProof/>
              </w:rPr>
              <w:t>4.3</w:t>
            </w:r>
            <w:r>
              <w:rPr>
                <w:rFonts w:asciiTheme="minorHAnsi" w:eastAsiaTheme="minorEastAsia" w:hAnsiTheme="minorHAnsi"/>
                <w:noProof/>
                <w:kern w:val="2"/>
                <w:szCs w:val="24"/>
                <w:lang w:eastAsia="en-GB"/>
                <w14:ligatures w14:val="standardContextual"/>
              </w:rPr>
              <w:tab/>
            </w:r>
            <w:r w:rsidRPr="003F5471">
              <w:rPr>
                <w:rStyle w:val="Hiperpovezava"/>
                <w:noProof/>
              </w:rPr>
              <w:t>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_Toc228252039 \h </w:instrText>
            </w:r>
            <w:r>
              <w:rPr>
                <w:noProof/>
                <w:webHidden/>
              </w:rPr>
            </w:r>
            <w:r>
              <w:rPr>
                <w:noProof/>
                <w:webHidden/>
              </w:rPr>
              <w:fldChar w:fldCharType="separate"/>
            </w:r>
            <w:r>
              <w:rPr>
                <w:noProof/>
                <w:webHidden/>
              </w:rPr>
              <w:t>33</w:t>
            </w:r>
            <w:r>
              <w:rPr>
                <w:noProof/>
                <w:webHidden/>
              </w:rPr>
              <w:fldChar w:fldCharType="end"/>
            </w:r>
          </w:hyperlink>
        </w:p>
        <w:p w14:paraId="3C02B44E" w14:textId="120327CD"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0" w:history="1">
            <w:r w:rsidRPr="003F5471">
              <w:rPr>
                <w:rStyle w:val="Hiperpovezava"/>
                <w:noProof/>
              </w:rPr>
              <w:t>4.3.1</w:t>
            </w:r>
            <w:r>
              <w:rPr>
                <w:rFonts w:asciiTheme="minorHAnsi" w:eastAsiaTheme="minorEastAsia" w:hAnsiTheme="minorHAnsi"/>
                <w:noProof/>
                <w:kern w:val="2"/>
                <w:szCs w:val="24"/>
                <w:lang w:eastAsia="en-GB"/>
                <w14:ligatures w14:val="standardContextual"/>
              </w:rPr>
              <w:tab/>
            </w:r>
            <w:r w:rsidRPr="003F5471">
              <w:rPr>
                <w:rStyle w:val="Hiperpovezava"/>
                <w:noProof/>
              </w:rPr>
              <w:t>Comparison of 16S amplicon and metagenomic sequencing approaches</w:t>
            </w:r>
            <w:r>
              <w:rPr>
                <w:noProof/>
                <w:webHidden/>
              </w:rPr>
              <w:tab/>
            </w:r>
            <w:r>
              <w:rPr>
                <w:noProof/>
                <w:webHidden/>
              </w:rPr>
              <w:fldChar w:fldCharType="begin"/>
            </w:r>
            <w:r>
              <w:rPr>
                <w:noProof/>
                <w:webHidden/>
              </w:rPr>
              <w:instrText xml:space="preserve"> PAGEREF _Toc228252040 \h </w:instrText>
            </w:r>
            <w:r>
              <w:rPr>
                <w:noProof/>
                <w:webHidden/>
              </w:rPr>
            </w:r>
            <w:r>
              <w:rPr>
                <w:noProof/>
                <w:webHidden/>
              </w:rPr>
              <w:fldChar w:fldCharType="separate"/>
            </w:r>
            <w:r>
              <w:rPr>
                <w:noProof/>
                <w:webHidden/>
              </w:rPr>
              <w:t>33</w:t>
            </w:r>
            <w:r>
              <w:rPr>
                <w:noProof/>
                <w:webHidden/>
              </w:rPr>
              <w:fldChar w:fldCharType="end"/>
            </w:r>
          </w:hyperlink>
        </w:p>
        <w:p w14:paraId="4ECBDBE4" w14:textId="7E964901"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1" w:history="1">
            <w:r w:rsidRPr="003F5471">
              <w:rPr>
                <w:rStyle w:val="Hiperpovezava"/>
                <w:noProof/>
              </w:rPr>
              <w:t>4.3.2</w:t>
            </w:r>
            <w:r>
              <w:rPr>
                <w:rFonts w:asciiTheme="minorHAnsi" w:eastAsiaTheme="minorEastAsia" w:hAnsiTheme="minorHAnsi"/>
                <w:noProof/>
                <w:kern w:val="2"/>
                <w:szCs w:val="24"/>
                <w:lang w:eastAsia="en-GB"/>
                <w14:ligatures w14:val="standardContextual"/>
              </w:rPr>
              <w:tab/>
            </w:r>
            <w:r w:rsidRPr="003F5471">
              <w:rPr>
                <w:rStyle w:val="Hiperpovezava"/>
                <w:noProof/>
              </w:rPr>
              <w:t>Composition, abundance and diversity of human gut microbiota</w:t>
            </w:r>
            <w:r>
              <w:rPr>
                <w:noProof/>
                <w:webHidden/>
              </w:rPr>
              <w:tab/>
            </w:r>
            <w:r>
              <w:rPr>
                <w:noProof/>
                <w:webHidden/>
              </w:rPr>
              <w:fldChar w:fldCharType="begin"/>
            </w:r>
            <w:r>
              <w:rPr>
                <w:noProof/>
                <w:webHidden/>
              </w:rPr>
              <w:instrText xml:space="preserve"> PAGEREF _Toc228252041 \h </w:instrText>
            </w:r>
            <w:r>
              <w:rPr>
                <w:noProof/>
                <w:webHidden/>
              </w:rPr>
            </w:r>
            <w:r>
              <w:rPr>
                <w:noProof/>
                <w:webHidden/>
              </w:rPr>
              <w:fldChar w:fldCharType="separate"/>
            </w:r>
            <w:r>
              <w:rPr>
                <w:noProof/>
                <w:webHidden/>
              </w:rPr>
              <w:t>36</w:t>
            </w:r>
            <w:r>
              <w:rPr>
                <w:noProof/>
                <w:webHidden/>
              </w:rPr>
              <w:fldChar w:fldCharType="end"/>
            </w:r>
          </w:hyperlink>
        </w:p>
        <w:p w14:paraId="7DBFA592" w14:textId="30F610E9"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2" w:history="1">
            <w:r w:rsidRPr="003F5471">
              <w:rPr>
                <w:rStyle w:val="Hiperpovezava"/>
                <w:noProof/>
              </w:rPr>
              <w:t>4.3.3</w:t>
            </w:r>
            <w:r>
              <w:rPr>
                <w:rFonts w:asciiTheme="minorHAnsi" w:eastAsiaTheme="minorEastAsia" w:hAnsiTheme="minorHAnsi"/>
                <w:noProof/>
                <w:kern w:val="2"/>
                <w:szCs w:val="24"/>
                <w:lang w:eastAsia="en-GB"/>
                <w14:ligatures w14:val="standardContextual"/>
              </w:rPr>
              <w:tab/>
            </w:r>
            <w:r w:rsidRPr="003F5471">
              <w:rPr>
                <w:rStyle w:val="Hiperpovezava"/>
                <w:noProof/>
              </w:rPr>
              <w:t>Composition, abundance and diversity of ethanol-resistant bacterial community and sporobiota in the human gut</w:t>
            </w:r>
            <w:r>
              <w:rPr>
                <w:noProof/>
                <w:webHidden/>
              </w:rPr>
              <w:tab/>
            </w:r>
            <w:r>
              <w:rPr>
                <w:noProof/>
                <w:webHidden/>
              </w:rPr>
              <w:fldChar w:fldCharType="begin"/>
            </w:r>
            <w:r>
              <w:rPr>
                <w:noProof/>
                <w:webHidden/>
              </w:rPr>
              <w:instrText xml:space="preserve"> PAGEREF _Toc228252042 \h </w:instrText>
            </w:r>
            <w:r>
              <w:rPr>
                <w:noProof/>
                <w:webHidden/>
              </w:rPr>
            </w:r>
            <w:r>
              <w:rPr>
                <w:noProof/>
                <w:webHidden/>
              </w:rPr>
              <w:fldChar w:fldCharType="separate"/>
            </w:r>
            <w:r>
              <w:rPr>
                <w:noProof/>
                <w:webHidden/>
              </w:rPr>
              <w:t>39</w:t>
            </w:r>
            <w:r>
              <w:rPr>
                <w:noProof/>
                <w:webHidden/>
              </w:rPr>
              <w:fldChar w:fldCharType="end"/>
            </w:r>
          </w:hyperlink>
        </w:p>
        <w:p w14:paraId="3C3FD9E2" w14:textId="1B5264B7"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3" w:history="1">
            <w:r w:rsidRPr="003F5471">
              <w:rPr>
                <w:rStyle w:val="Hiperpovezava"/>
                <w:noProof/>
              </w:rPr>
              <w:t>4.3.4</w:t>
            </w:r>
            <w:r>
              <w:rPr>
                <w:rFonts w:asciiTheme="minorHAnsi" w:eastAsiaTheme="minorEastAsia" w:hAnsiTheme="minorHAnsi"/>
                <w:noProof/>
                <w:kern w:val="2"/>
                <w:szCs w:val="24"/>
                <w:lang w:eastAsia="en-GB"/>
                <w14:ligatures w14:val="standardContextual"/>
              </w:rPr>
              <w:tab/>
            </w:r>
            <w:r w:rsidRPr="003F5471">
              <w:rPr>
                <w:rStyle w:val="Hiperpovezava"/>
                <w:noProof/>
              </w:rPr>
              <w:t>Between- and within-individual dynamics of ethanol-resistant community and sporobiota</w:t>
            </w:r>
            <w:r>
              <w:rPr>
                <w:noProof/>
                <w:webHidden/>
              </w:rPr>
              <w:tab/>
            </w:r>
            <w:r>
              <w:rPr>
                <w:noProof/>
                <w:webHidden/>
              </w:rPr>
              <w:fldChar w:fldCharType="begin"/>
            </w:r>
            <w:r>
              <w:rPr>
                <w:noProof/>
                <w:webHidden/>
              </w:rPr>
              <w:instrText xml:space="preserve"> PAGEREF _Toc228252043 \h </w:instrText>
            </w:r>
            <w:r>
              <w:rPr>
                <w:noProof/>
                <w:webHidden/>
              </w:rPr>
            </w:r>
            <w:r>
              <w:rPr>
                <w:noProof/>
                <w:webHidden/>
              </w:rPr>
              <w:fldChar w:fldCharType="separate"/>
            </w:r>
            <w:r>
              <w:rPr>
                <w:noProof/>
                <w:webHidden/>
              </w:rPr>
              <w:t>42</w:t>
            </w:r>
            <w:r>
              <w:rPr>
                <w:noProof/>
                <w:webHidden/>
              </w:rPr>
              <w:fldChar w:fldCharType="end"/>
            </w:r>
          </w:hyperlink>
        </w:p>
        <w:p w14:paraId="78969913" w14:textId="543BE923"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4" w:history="1">
            <w:r w:rsidRPr="003F5471">
              <w:rPr>
                <w:rStyle w:val="Hiperpovezava"/>
                <w:noProof/>
              </w:rPr>
              <w:t>4.3.5</w:t>
            </w:r>
            <w:r>
              <w:rPr>
                <w:rFonts w:asciiTheme="minorHAnsi" w:eastAsiaTheme="minorEastAsia" w:hAnsiTheme="minorHAnsi"/>
                <w:noProof/>
                <w:kern w:val="2"/>
                <w:szCs w:val="24"/>
                <w:lang w:eastAsia="en-GB"/>
                <w14:ligatures w14:val="standardContextual"/>
              </w:rPr>
              <w:tab/>
            </w:r>
            <w:r w:rsidRPr="003F5471">
              <w:rPr>
                <w:rStyle w:val="Hiperpovezava"/>
                <w:noProof/>
              </w:rPr>
              <w:t xml:space="preserve">Sporulation frequency of ethanol-resistant </w:t>
            </w:r>
            <w:r w:rsidRPr="003F5471">
              <w:rPr>
                <w:rStyle w:val="Hiperpovezava"/>
                <w:i/>
                <w:noProof/>
              </w:rPr>
              <w:t>Bacillota</w:t>
            </w:r>
            <w:r w:rsidRPr="003F5471">
              <w:rPr>
                <w:rStyle w:val="Hiperpovezava"/>
                <w:noProof/>
              </w:rPr>
              <w:t xml:space="preserve"> in the human gut is host and time dependent</w:t>
            </w:r>
            <w:r>
              <w:rPr>
                <w:noProof/>
                <w:webHidden/>
              </w:rPr>
              <w:tab/>
            </w:r>
            <w:r>
              <w:rPr>
                <w:noProof/>
                <w:webHidden/>
              </w:rPr>
              <w:fldChar w:fldCharType="begin"/>
            </w:r>
            <w:r>
              <w:rPr>
                <w:noProof/>
                <w:webHidden/>
              </w:rPr>
              <w:instrText xml:space="preserve"> PAGEREF _Toc228252044 \h </w:instrText>
            </w:r>
            <w:r>
              <w:rPr>
                <w:noProof/>
                <w:webHidden/>
              </w:rPr>
            </w:r>
            <w:r>
              <w:rPr>
                <w:noProof/>
                <w:webHidden/>
              </w:rPr>
              <w:fldChar w:fldCharType="separate"/>
            </w:r>
            <w:r>
              <w:rPr>
                <w:noProof/>
                <w:webHidden/>
              </w:rPr>
              <w:t>45</w:t>
            </w:r>
            <w:r>
              <w:rPr>
                <w:noProof/>
                <w:webHidden/>
              </w:rPr>
              <w:fldChar w:fldCharType="end"/>
            </w:r>
          </w:hyperlink>
        </w:p>
        <w:p w14:paraId="447B7646" w14:textId="553143CF"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45" w:history="1">
            <w:r w:rsidRPr="003F5471">
              <w:rPr>
                <w:rStyle w:val="Hiperpovezava"/>
                <w:noProof/>
              </w:rPr>
              <w:t>4.4</w:t>
            </w:r>
            <w:r>
              <w:rPr>
                <w:rFonts w:asciiTheme="minorHAnsi" w:eastAsiaTheme="minorEastAsia" w:hAnsiTheme="minorHAnsi"/>
                <w:noProof/>
                <w:kern w:val="2"/>
                <w:szCs w:val="24"/>
                <w:lang w:eastAsia="en-GB"/>
                <w14:ligatures w14:val="standardContextual"/>
              </w:rPr>
              <w:tab/>
            </w:r>
            <w:r w:rsidRPr="003F5471">
              <w:rPr>
                <w:rStyle w:val="Hiperpovezava"/>
                <w:noProof/>
              </w:rPr>
              <w:t>LONGITUDINAL CHANGES IN THE RESISTOME DEPENDING ON CHANGES IN THE INTESTINAL MICROBIOTA</w:t>
            </w:r>
            <w:r>
              <w:rPr>
                <w:noProof/>
                <w:webHidden/>
              </w:rPr>
              <w:tab/>
            </w:r>
            <w:r>
              <w:rPr>
                <w:noProof/>
                <w:webHidden/>
              </w:rPr>
              <w:fldChar w:fldCharType="begin"/>
            </w:r>
            <w:r>
              <w:rPr>
                <w:noProof/>
                <w:webHidden/>
              </w:rPr>
              <w:instrText xml:space="preserve"> PAGEREF _Toc228252045 \h </w:instrText>
            </w:r>
            <w:r>
              <w:rPr>
                <w:noProof/>
                <w:webHidden/>
              </w:rPr>
            </w:r>
            <w:r>
              <w:rPr>
                <w:noProof/>
                <w:webHidden/>
              </w:rPr>
              <w:fldChar w:fldCharType="separate"/>
            </w:r>
            <w:r>
              <w:rPr>
                <w:noProof/>
                <w:webHidden/>
              </w:rPr>
              <w:t>47</w:t>
            </w:r>
            <w:r>
              <w:rPr>
                <w:noProof/>
                <w:webHidden/>
              </w:rPr>
              <w:fldChar w:fldCharType="end"/>
            </w:r>
          </w:hyperlink>
        </w:p>
        <w:p w14:paraId="4F752562" w14:textId="3DD51CF1"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6" w:history="1">
            <w:r w:rsidRPr="003F5471">
              <w:rPr>
                <w:rStyle w:val="Hiperpovezava"/>
                <w:noProof/>
              </w:rPr>
              <w:t>4.4.1</w:t>
            </w:r>
            <w:r>
              <w:rPr>
                <w:rFonts w:asciiTheme="minorHAnsi" w:eastAsiaTheme="minorEastAsia" w:hAnsiTheme="minorHAnsi"/>
                <w:noProof/>
                <w:kern w:val="2"/>
                <w:szCs w:val="24"/>
                <w:lang w:eastAsia="en-GB"/>
                <w14:ligatures w14:val="standardContextual"/>
              </w:rPr>
              <w:tab/>
            </w:r>
            <w:r w:rsidRPr="003F5471">
              <w:rPr>
                <w:rStyle w:val="Hiperpovezava"/>
                <w:noProof/>
              </w:rPr>
              <w:t>Overall diversity and abundance of antimicrobial resistance genes</w:t>
            </w:r>
            <w:r>
              <w:rPr>
                <w:noProof/>
                <w:webHidden/>
              </w:rPr>
              <w:tab/>
            </w:r>
            <w:r>
              <w:rPr>
                <w:noProof/>
                <w:webHidden/>
              </w:rPr>
              <w:fldChar w:fldCharType="begin"/>
            </w:r>
            <w:r>
              <w:rPr>
                <w:noProof/>
                <w:webHidden/>
              </w:rPr>
              <w:instrText xml:space="preserve"> PAGEREF _Toc228252046 \h </w:instrText>
            </w:r>
            <w:r>
              <w:rPr>
                <w:noProof/>
                <w:webHidden/>
              </w:rPr>
            </w:r>
            <w:r>
              <w:rPr>
                <w:noProof/>
                <w:webHidden/>
              </w:rPr>
              <w:fldChar w:fldCharType="separate"/>
            </w:r>
            <w:r>
              <w:rPr>
                <w:noProof/>
                <w:webHidden/>
              </w:rPr>
              <w:t>47</w:t>
            </w:r>
            <w:r>
              <w:rPr>
                <w:noProof/>
                <w:webHidden/>
              </w:rPr>
              <w:fldChar w:fldCharType="end"/>
            </w:r>
          </w:hyperlink>
        </w:p>
        <w:p w14:paraId="5C280527" w14:textId="05079698"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7" w:history="1">
            <w:r w:rsidRPr="003F5471">
              <w:rPr>
                <w:rStyle w:val="Hiperpovezava"/>
                <w:noProof/>
              </w:rPr>
              <w:t>4.4.2</w:t>
            </w:r>
            <w:r>
              <w:rPr>
                <w:rFonts w:asciiTheme="minorHAnsi" w:eastAsiaTheme="minorEastAsia" w:hAnsiTheme="minorHAnsi"/>
                <w:noProof/>
                <w:kern w:val="2"/>
                <w:szCs w:val="24"/>
                <w:lang w:eastAsia="en-GB"/>
                <w14:ligatures w14:val="standardContextual"/>
              </w:rPr>
              <w:tab/>
            </w:r>
            <w:r w:rsidRPr="003F5471">
              <w:rPr>
                <w:rStyle w:val="Hiperpovezava"/>
                <w:noProof/>
              </w:rPr>
              <w:t>Persistence of antimicrobial resistance genes in the human gut</w:t>
            </w:r>
            <w:r>
              <w:rPr>
                <w:noProof/>
                <w:webHidden/>
              </w:rPr>
              <w:tab/>
            </w:r>
            <w:r>
              <w:rPr>
                <w:noProof/>
                <w:webHidden/>
              </w:rPr>
              <w:fldChar w:fldCharType="begin"/>
            </w:r>
            <w:r>
              <w:rPr>
                <w:noProof/>
                <w:webHidden/>
              </w:rPr>
              <w:instrText xml:space="preserve"> PAGEREF _Toc228252047 \h </w:instrText>
            </w:r>
            <w:r>
              <w:rPr>
                <w:noProof/>
                <w:webHidden/>
              </w:rPr>
            </w:r>
            <w:r>
              <w:rPr>
                <w:noProof/>
                <w:webHidden/>
              </w:rPr>
              <w:fldChar w:fldCharType="separate"/>
            </w:r>
            <w:r>
              <w:rPr>
                <w:noProof/>
                <w:webHidden/>
              </w:rPr>
              <w:t>49</w:t>
            </w:r>
            <w:r>
              <w:rPr>
                <w:noProof/>
                <w:webHidden/>
              </w:rPr>
              <w:fldChar w:fldCharType="end"/>
            </w:r>
          </w:hyperlink>
        </w:p>
        <w:p w14:paraId="065AA03C" w14:textId="2F8970FA"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48" w:history="1">
            <w:r w:rsidRPr="003F5471">
              <w:rPr>
                <w:rStyle w:val="Hiperpovezava"/>
                <w:noProof/>
              </w:rPr>
              <w:t>4.5</w:t>
            </w:r>
            <w:r>
              <w:rPr>
                <w:rFonts w:asciiTheme="minorHAnsi" w:eastAsiaTheme="minorEastAsia" w:hAnsiTheme="minorHAnsi"/>
                <w:noProof/>
                <w:kern w:val="2"/>
                <w:szCs w:val="24"/>
                <w:lang w:eastAsia="en-GB"/>
                <w14:ligatures w14:val="standardContextual"/>
              </w:rPr>
              <w:tab/>
            </w:r>
            <w:r w:rsidRPr="003F5471">
              <w:rPr>
                <w:rStyle w:val="Hiperpovezava"/>
                <w:noProof/>
              </w:rPr>
              <w:t>CULTIVATION AND MOLECULAR CHARACTERIZATION OF THE REPRESENTATIVE SPORE-FORMING SPECIES</w:t>
            </w:r>
            <w:r>
              <w:rPr>
                <w:noProof/>
                <w:webHidden/>
              </w:rPr>
              <w:tab/>
            </w:r>
            <w:r>
              <w:rPr>
                <w:noProof/>
                <w:webHidden/>
              </w:rPr>
              <w:fldChar w:fldCharType="begin"/>
            </w:r>
            <w:r>
              <w:rPr>
                <w:noProof/>
                <w:webHidden/>
              </w:rPr>
              <w:instrText xml:space="preserve"> PAGEREF _Toc228252048 \h </w:instrText>
            </w:r>
            <w:r>
              <w:rPr>
                <w:noProof/>
                <w:webHidden/>
              </w:rPr>
            </w:r>
            <w:r>
              <w:rPr>
                <w:noProof/>
                <w:webHidden/>
              </w:rPr>
              <w:fldChar w:fldCharType="separate"/>
            </w:r>
            <w:r>
              <w:rPr>
                <w:noProof/>
                <w:webHidden/>
              </w:rPr>
              <w:t>53</w:t>
            </w:r>
            <w:r>
              <w:rPr>
                <w:noProof/>
                <w:webHidden/>
              </w:rPr>
              <w:fldChar w:fldCharType="end"/>
            </w:r>
          </w:hyperlink>
        </w:p>
        <w:p w14:paraId="5DC1C2F6" w14:textId="4F929D4E"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49" w:history="1">
            <w:r w:rsidRPr="003F5471">
              <w:rPr>
                <w:rStyle w:val="Hiperpovezava"/>
                <w:noProof/>
              </w:rPr>
              <w:t>4.5.1</w:t>
            </w:r>
            <w:r>
              <w:rPr>
                <w:rFonts w:asciiTheme="minorHAnsi" w:eastAsiaTheme="minorEastAsia" w:hAnsiTheme="minorHAnsi"/>
                <w:noProof/>
                <w:kern w:val="2"/>
                <w:szCs w:val="24"/>
                <w:lang w:eastAsia="en-GB"/>
                <w14:ligatures w14:val="standardContextual"/>
              </w:rPr>
              <w:tab/>
            </w:r>
            <w:r w:rsidRPr="003F5471">
              <w:rPr>
                <w:rStyle w:val="Hiperpovezava"/>
                <w:noProof/>
              </w:rPr>
              <w:t>Cultivation and whole-genome sequencing of selected spore-forming species from ethanol treated stool samples</w:t>
            </w:r>
            <w:r>
              <w:rPr>
                <w:noProof/>
                <w:webHidden/>
              </w:rPr>
              <w:tab/>
            </w:r>
            <w:r>
              <w:rPr>
                <w:noProof/>
                <w:webHidden/>
              </w:rPr>
              <w:fldChar w:fldCharType="begin"/>
            </w:r>
            <w:r>
              <w:rPr>
                <w:noProof/>
                <w:webHidden/>
              </w:rPr>
              <w:instrText xml:space="preserve"> PAGEREF _Toc228252049 \h </w:instrText>
            </w:r>
            <w:r>
              <w:rPr>
                <w:noProof/>
                <w:webHidden/>
              </w:rPr>
            </w:r>
            <w:r>
              <w:rPr>
                <w:noProof/>
                <w:webHidden/>
              </w:rPr>
              <w:fldChar w:fldCharType="separate"/>
            </w:r>
            <w:r>
              <w:rPr>
                <w:noProof/>
                <w:webHidden/>
              </w:rPr>
              <w:t>53</w:t>
            </w:r>
            <w:r>
              <w:rPr>
                <w:noProof/>
                <w:webHidden/>
              </w:rPr>
              <w:fldChar w:fldCharType="end"/>
            </w:r>
          </w:hyperlink>
        </w:p>
        <w:p w14:paraId="6D6134CD" w14:textId="759F1310"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51" w:history="1">
            <w:r w:rsidRPr="003F5471">
              <w:rPr>
                <w:rStyle w:val="Hiperpovezava"/>
                <w:noProof/>
              </w:rPr>
              <w:t>4.5.2</w:t>
            </w:r>
            <w:r>
              <w:rPr>
                <w:rFonts w:asciiTheme="minorHAnsi" w:eastAsiaTheme="minorEastAsia" w:hAnsiTheme="minorHAnsi"/>
                <w:noProof/>
                <w:kern w:val="2"/>
                <w:szCs w:val="24"/>
                <w:lang w:eastAsia="en-GB"/>
                <w14:ligatures w14:val="standardContextual"/>
              </w:rPr>
              <w:tab/>
            </w:r>
            <w:r w:rsidRPr="003F5471">
              <w:rPr>
                <w:rStyle w:val="Hiperpovezava"/>
                <w:noProof/>
              </w:rPr>
              <w:t>Average nucleotide identity, core SNPs analysis and pangenome construction</w:t>
            </w:r>
            <w:r>
              <w:rPr>
                <w:noProof/>
                <w:webHidden/>
              </w:rPr>
              <w:tab/>
            </w:r>
            <w:r>
              <w:rPr>
                <w:noProof/>
                <w:webHidden/>
              </w:rPr>
              <w:fldChar w:fldCharType="begin"/>
            </w:r>
            <w:r>
              <w:rPr>
                <w:noProof/>
                <w:webHidden/>
              </w:rPr>
              <w:instrText xml:space="preserve"> PAGEREF _Toc228252051 \h </w:instrText>
            </w:r>
            <w:r>
              <w:rPr>
                <w:noProof/>
                <w:webHidden/>
              </w:rPr>
            </w:r>
            <w:r>
              <w:rPr>
                <w:noProof/>
                <w:webHidden/>
              </w:rPr>
              <w:fldChar w:fldCharType="separate"/>
            </w:r>
            <w:r>
              <w:rPr>
                <w:noProof/>
                <w:webHidden/>
              </w:rPr>
              <w:t>54</w:t>
            </w:r>
            <w:r>
              <w:rPr>
                <w:noProof/>
                <w:webHidden/>
              </w:rPr>
              <w:fldChar w:fldCharType="end"/>
            </w:r>
          </w:hyperlink>
        </w:p>
        <w:p w14:paraId="453389B8" w14:textId="316E5BED"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52" w:history="1">
            <w:r w:rsidRPr="003F5471">
              <w:rPr>
                <w:rStyle w:val="Hiperpovezava"/>
                <w:noProof/>
              </w:rPr>
              <w:t>4.5.3</w:t>
            </w:r>
            <w:r>
              <w:rPr>
                <w:rFonts w:asciiTheme="minorHAnsi" w:eastAsiaTheme="minorEastAsia" w:hAnsiTheme="minorHAnsi"/>
                <w:noProof/>
                <w:kern w:val="2"/>
                <w:szCs w:val="24"/>
                <w:lang w:eastAsia="en-GB"/>
                <w14:ligatures w14:val="standardContextual"/>
              </w:rPr>
              <w:tab/>
            </w:r>
            <w:r w:rsidRPr="003F5471">
              <w:rPr>
                <w:rStyle w:val="Hiperpovezava"/>
                <w:noProof/>
              </w:rPr>
              <w:t>Strain persistence revealed in metagenomic data</w:t>
            </w:r>
            <w:r>
              <w:rPr>
                <w:noProof/>
                <w:webHidden/>
              </w:rPr>
              <w:tab/>
            </w:r>
            <w:r>
              <w:rPr>
                <w:noProof/>
                <w:webHidden/>
              </w:rPr>
              <w:fldChar w:fldCharType="begin"/>
            </w:r>
            <w:r>
              <w:rPr>
                <w:noProof/>
                <w:webHidden/>
              </w:rPr>
              <w:instrText xml:space="preserve"> PAGEREF _Toc228252052 \h </w:instrText>
            </w:r>
            <w:r>
              <w:rPr>
                <w:noProof/>
                <w:webHidden/>
              </w:rPr>
            </w:r>
            <w:r>
              <w:rPr>
                <w:noProof/>
                <w:webHidden/>
              </w:rPr>
              <w:fldChar w:fldCharType="separate"/>
            </w:r>
            <w:r>
              <w:rPr>
                <w:noProof/>
                <w:webHidden/>
              </w:rPr>
              <w:t>57</w:t>
            </w:r>
            <w:r>
              <w:rPr>
                <w:noProof/>
                <w:webHidden/>
              </w:rPr>
              <w:fldChar w:fldCharType="end"/>
            </w:r>
          </w:hyperlink>
        </w:p>
        <w:p w14:paraId="65372B63" w14:textId="535A336A"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53" w:history="1">
            <w:r w:rsidRPr="003F5471">
              <w:rPr>
                <w:rStyle w:val="Hiperpovezava"/>
                <w:noProof/>
              </w:rPr>
              <w:t>5</w:t>
            </w:r>
            <w:r>
              <w:rPr>
                <w:rFonts w:asciiTheme="minorHAnsi" w:eastAsiaTheme="minorEastAsia" w:hAnsiTheme="minorHAnsi"/>
                <w:noProof/>
                <w:kern w:val="2"/>
                <w:szCs w:val="24"/>
                <w:lang w:eastAsia="en-GB"/>
                <w14:ligatures w14:val="standardContextual"/>
              </w:rPr>
              <w:tab/>
            </w:r>
            <w:r w:rsidRPr="003F5471">
              <w:rPr>
                <w:rStyle w:val="Hiperpovezava"/>
                <w:noProof/>
              </w:rPr>
              <w:t>DISCUSSION</w:t>
            </w:r>
            <w:r>
              <w:rPr>
                <w:noProof/>
                <w:webHidden/>
              </w:rPr>
              <w:tab/>
            </w:r>
            <w:r>
              <w:rPr>
                <w:noProof/>
                <w:webHidden/>
              </w:rPr>
              <w:fldChar w:fldCharType="begin"/>
            </w:r>
            <w:r>
              <w:rPr>
                <w:noProof/>
                <w:webHidden/>
              </w:rPr>
              <w:instrText xml:space="preserve"> PAGEREF _Toc228252053 \h </w:instrText>
            </w:r>
            <w:r>
              <w:rPr>
                <w:noProof/>
                <w:webHidden/>
              </w:rPr>
            </w:r>
            <w:r>
              <w:rPr>
                <w:noProof/>
                <w:webHidden/>
              </w:rPr>
              <w:fldChar w:fldCharType="separate"/>
            </w:r>
            <w:r>
              <w:rPr>
                <w:noProof/>
                <w:webHidden/>
              </w:rPr>
              <w:t>60</w:t>
            </w:r>
            <w:r>
              <w:rPr>
                <w:noProof/>
                <w:webHidden/>
              </w:rPr>
              <w:fldChar w:fldCharType="end"/>
            </w:r>
          </w:hyperlink>
        </w:p>
        <w:p w14:paraId="1088631D" w14:textId="52BCD308"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54" w:history="1">
            <w:r w:rsidRPr="003F5471">
              <w:rPr>
                <w:rStyle w:val="Hiperpovezava"/>
                <w:noProof/>
              </w:rPr>
              <w:t>5.1</w:t>
            </w:r>
            <w:r>
              <w:rPr>
                <w:rFonts w:asciiTheme="minorHAnsi" w:eastAsiaTheme="minorEastAsia" w:hAnsiTheme="minorHAnsi"/>
                <w:noProof/>
                <w:kern w:val="2"/>
                <w:szCs w:val="24"/>
                <w:lang w:eastAsia="en-GB"/>
                <w14:ligatures w14:val="standardContextual"/>
              </w:rPr>
              <w:tab/>
            </w:r>
            <w:r w:rsidRPr="003F5471">
              <w:rPr>
                <w:rStyle w:val="Hiperpovezava"/>
                <w:noProof/>
              </w:rPr>
              <w:t>DESCRIPTION AND COMPARISON OF TEMPORAL STABILITY OF THE GUT MICROBIOTA AND SPOROBIOTA IN HEALTHY INDIVIDUALS (GOAL 1)</w:t>
            </w:r>
            <w:r>
              <w:rPr>
                <w:noProof/>
                <w:webHidden/>
              </w:rPr>
              <w:tab/>
            </w:r>
            <w:r>
              <w:rPr>
                <w:noProof/>
                <w:webHidden/>
              </w:rPr>
              <w:fldChar w:fldCharType="begin"/>
            </w:r>
            <w:r>
              <w:rPr>
                <w:noProof/>
                <w:webHidden/>
              </w:rPr>
              <w:instrText xml:space="preserve"> PAGEREF _Toc228252054 \h </w:instrText>
            </w:r>
            <w:r>
              <w:rPr>
                <w:noProof/>
                <w:webHidden/>
              </w:rPr>
            </w:r>
            <w:r>
              <w:rPr>
                <w:noProof/>
                <w:webHidden/>
              </w:rPr>
              <w:fldChar w:fldCharType="separate"/>
            </w:r>
            <w:r>
              <w:rPr>
                <w:noProof/>
                <w:webHidden/>
              </w:rPr>
              <w:t>60</w:t>
            </w:r>
            <w:r>
              <w:rPr>
                <w:noProof/>
                <w:webHidden/>
              </w:rPr>
              <w:fldChar w:fldCharType="end"/>
            </w:r>
          </w:hyperlink>
        </w:p>
        <w:p w14:paraId="5B4F0376" w14:textId="52C09947"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55" w:history="1">
            <w:r w:rsidRPr="003F5471">
              <w:rPr>
                <w:rStyle w:val="Hiperpovezava"/>
                <w:noProof/>
              </w:rPr>
              <w:t>5.1.1</w:t>
            </w:r>
            <w:r>
              <w:rPr>
                <w:rFonts w:asciiTheme="minorHAnsi" w:eastAsiaTheme="minorEastAsia" w:hAnsiTheme="minorHAnsi"/>
                <w:noProof/>
                <w:kern w:val="2"/>
                <w:szCs w:val="24"/>
                <w:lang w:eastAsia="en-GB"/>
                <w14:ligatures w14:val="standardContextual"/>
              </w:rPr>
              <w:tab/>
            </w:r>
            <w:r w:rsidRPr="003F5471">
              <w:rPr>
                <w:rStyle w:val="Hiperpovezava"/>
                <w:noProof/>
              </w:rPr>
              <w:t>Human gut microbiota</w:t>
            </w:r>
            <w:r>
              <w:rPr>
                <w:noProof/>
                <w:webHidden/>
              </w:rPr>
              <w:tab/>
            </w:r>
            <w:r>
              <w:rPr>
                <w:noProof/>
                <w:webHidden/>
              </w:rPr>
              <w:fldChar w:fldCharType="begin"/>
            </w:r>
            <w:r>
              <w:rPr>
                <w:noProof/>
                <w:webHidden/>
              </w:rPr>
              <w:instrText xml:space="preserve"> PAGEREF _Toc228252055 \h </w:instrText>
            </w:r>
            <w:r>
              <w:rPr>
                <w:noProof/>
                <w:webHidden/>
              </w:rPr>
            </w:r>
            <w:r>
              <w:rPr>
                <w:noProof/>
                <w:webHidden/>
              </w:rPr>
              <w:fldChar w:fldCharType="separate"/>
            </w:r>
            <w:r>
              <w:rPr>
                <w:noProof/>
                <w:webHidden/>
              </w:rPr>
              <w:t>60</w:t>
            </w:r>
            <w:r>
              <w:rPr>
                <w:noProof/>
                <w:webHidden/>
              </w:rPr>
              <w:fldChar w:fldCharType="end"/>
            </w:r>
          </w:hyperlink>
        </w:p>
        <w:p w14:paraId="01449AFD" w14:textId="42D58697" w:rsidR="00497A2F" w:rsidRDefault="00497A2F">
          <w:pPr>
            <w:pStyle w:val="Kazalovsebine3"/>
            <w:tabs>
              <w:tab w:val="right" w:leader="dot" w:pos="9396"/>
            </w:tabs>
            <w:rPr>
              <w:rFonts w:asciiTheme="minorHAnsi" w:eastAsiaTheme="minorEastAsia" w:hAnsiTheme="minorHAnsi"/>
              <w:noProof/>
              <w:kern w:val="2"/>
              <w:szCs w:val="24"/>
              <w:lang w:eastAsia="en-GB"/>
              <w14:ligatures w14:val="standardContextual"/>
            </w:rPr>
          </w:pPr>
          <w:hyperlink w:anchor="_Toc228252056" w:history="1">
            <w:r w:rsidRPr="003F5471">
              <w:rPr>
                <w:rStyle w:val="Hiperpovezava"/>
                <w:noProof/>
              </w:rPr>
              <w:t>5.1.2 Human gut sporobiota</w:t>
            </w:r>
            <w:r>
              <w:rPr>
                <w:noProof/>
                <w:webHidden/>
              </w:rPr>
              <w:tab/>
            </w:r>
            <w:r>
              <w:rPr>
                <w:noProof/>
                <w:webHidden/>
              </w:rPr>
              <w:fldChar w:fldCharType="begin"/>
            </w:r>
            <w:r>
              <w:rPr>
                <w:noProof/>
                <w:webHidden/>
              </w:rPr>
              <w:instrText xml:space="preserve"> PAGEREF _Toc228252056 \h </w:instrText>
            </w:r>
            <w:r>
              <w:rPr>
                <w:noProof/>
                <w:webHidden/>
              </w:rPr>
            </w:r>
            <w:r>
              <w:rPr>
                <w:noProof/>
                <w:webHidden/>
              </w:rPr>
              <w:fldChar w:fldCharType="separate"/>
            </w:r>
            <w:r>
              <w:rPr>
                <w:noProof/>
                <w:webHidden/>
              </w:rPr>
              <w:t>61</w:t>
            </w:r>
            <w:r>
              <w:rPr>
                <w:noProof/>
                <w:webHidden/>
              </w:rPr>
              <w:fldChar w:fldCharType="end"/>
            </w:r>
          </w:hyperlink>
        </w:p>
        <w:p w14:paraId="3FFA9C93" w14:textId="517ED490" w:rsidR="00497A2F" w:rsidRDefault="00497A2F">
          <w:pPr>
            <w:pStyle w:val="Kazalovsebine3"/>
            <w:tabs>
              <w:tab w:val="left" w:pos="1200"/>
              <w:tab w:val="right" w:leader="dot" w:pos="9396"/>
            </w:tabs>
            <w:rPr>
              <w:rFonts w:asciiTheme="minorHAnsi" w:eastAsiaTheme="minorEastAsia" w:hAnsiTheme="minorHAnsi"/>
              <w:noProof/>
              <w:kern w:val="2"/>
              <w:szCs w:val="24"/>
              <w:lang w:eastAsia="en-GB"/>
              <w14:ligatures w14:val="standardContextual"/>
            </w:rPr>
          </w:pPr>
          <w:hyperlink w:anchor="_Toc228252057" w:history="1">
            <w:r w:rsidRPr="003F5471">
              <w:rPr>
                <w:rStyle w:val="Hiperpovezava"/>
                <w:noProof/>
              </w:rPr>
              <w:t>5.1.3</w:t>
            </w:r>
            <w:r>
              <w:rPr>
                <w:rFonts w:asciiTheme="minorHAnsi" w:eastAsiaTheme="minorEastAsia" w:hAnsiTheme="minorHAnsi"/>
                <w:noProof/>
                <w:kern w:val="2"/>
                <w:szCs w:val="24"/>
                <w:lang w:eastAsia="en-GB"/>
                <w14:ligatures w14:val="standardContextual"/>
              </w:rPr>
              <w:tab/>
            </w:r>
            <w:r w:rsidRPr="003F5471">
              <w:rPr>
                <w:rStyle w:val="Hiperpovezava"/>
                <w:noProof/>
              </w:rPr>
              <w:t>Between and within individual dynamics of spore-forming bacteria</w:t>
            </w:r>
            <w:r>
              <w:rPr>
                <w:noProof/>
                <w:webHidden/>
              </w:rPr>
              <w:tab/>
            </w:r>
            <w:r>
              <w:rPr>
                <w:noProof/>
                <w:webHidden/>
              </w:rPr>
              <w:fldChar w:fldCharType="begin"/>
            </w:r>
            <w:r>
              <w:rPr>
                <w:noProof/>
                <w:webHidden/>
              </w:rPr>
              <w:instrText xml:space="preserve"> PAGEREF _Toc228252057 \h </w:instrText>
            </w:r>
            <w:r>
              <w:rPr>
                <w:noProof/>
                <w:webHidden/>
              </w:rPr>
            </w:r>
            <w:r>
              <w:rPr>
                <w:noProof/>
                <w:webHidden/>
              </w:rPr>
              <w:fldChar w:fldCharType="separate"/>
            </w:r>
            <w:r>
              <w:rPr>
                <w:noProof/>
                <w:webHidden/>
              </w:rPr>
              <w:t>62</w:t>
            </w:r>
            <w:r>
              <w:rPr>
                <w:noProof/>
                <w:webHidden/>
              </w:rPr>
              <w:fldChar w:fldCharType="end"/>
            </w:r>
          </w:hyperlink>
        </w:p>
        <w:p w14:paraId="0C5583E1" w14:textId="5CE1A0C5" w:rsidR="00497A2F" w:rsidRDefault="00497A2F">
          <w:pPr>
            <w:pStyle w:val="Kazalovsebine3"/>
            <w:tabs>
              <w:tab w:val="right" w:leader="dot" w:pos="9396"/>
            </w:tabs>
            <w:rPr>
              <w:rFonts w:asciiTheme="minorHAnsi" w:eastAsiaTheme="minorEastAsia" w:hAnsiTheme="minorHAnsi"/>
              <w:noProof/>
              <w:kern w:val="2"/>
              <w:szCs w:val="24"/>
              <w:lang w:eastAsia="en-GB"/>
              <w14:ligatures w14:val="standardContextual"/>
            </w:rPr>
          </w:pPr>
          <w:hyperlink w:anchor="_Toc228252058" w:history="1">
            <w:r w:rsidRPr="003F5471">
              <w:rPr>
                <w:rStyle w:val="Hiperpovezava"/>
                <w:noProof/>
              </w:rPr>
              <w:t>5.1.4 Sporulation frequency in the human gut is individual and time-specific</w:t>
            </w:r>
            <w:r>
              <w:rPr>
                <w:noProof/>
                <w:webHidden/>
              </w:rPr>
              <w:tab/>
            </w:r>
            <w:r>
              <w:rPr>
                <w:noProof/>
                <w:webHidden/>
              </w:rPr>
              <w:fldChar w:fldCharType="begin"/>
            </w:r>
            <w:r>
              <w:rPr>
                <w:noProof/>
                <w:webHidden/>
              </w:rPr>
              <w:instrText xml:space="preserve"> PAGEREF _Toc228252058 \h </w:instrText>
            </w:r>
            <w:r>
              <w:rPr>
                <w:noProof/>
                <w:webHidden/>
              </w:rPr>
            </w:r>
            <w:r>
              <w:rPr>
                <w:noProof/>
                <w:webHidden/>
              </w:rPr>
              <w:fldChar w:fldCharType="separate"/>
            </w:r>
            <w:r>
              <w:rPr>
                <w:noProof/>
                <w:webHidden/>
              </w:rPr>
              <w:t>63</w:t>
            </w:r>
            <w:r>
              <w:rPr>
                <w:noProof/>
                <w:webHidden/>
              </w:rPr>
              <w:fldChar w:fldCharType="end"/>
            </w:r>
          </w:hyperlink>
        </w:p>
        <w:p w14:paraId="47B110D3" w14:textId="28149A16"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59" w:history="1">
            <w:r w:rsidRPr="003F5471">
              <w:rPr>
                <w:rStyle w:val="Hiperpovezava"/>
                <w:noProof/>
              </w:rPr>
              <w:t>5.2</w:t>
            </w:r>
            <w:r>
              <w:rPr>
                <w:rFonts w:asciiTheme="minorHAnsi" w:eastAsiaTheme="minorEastAsia" w:hAnsiTheme="minorHAnsi"/>
                <w:noProof/>
                <w:kern w:val="2"/>
                <w:szCs w:val="24"/>
                <w:lang w:eastAsia="en-GB"/>
                <w14:ligatures w14:val="standardContextual"/>
              </w:rPr>
              <w:tab/>
            </w:r>
            <w:r w:rsidRPr="003F5471">
              <w:rPr>
                <w:rStyle w:val="Hiperpovezava"/>
                <w:noProof/>
              </w:rPr>
              <w:t>MONITORING LONGITUDINAL CHANGES IN THE GUT RESISTOME OF HEALTHY INDIVIDUALS (GOAL 3)</w:t>
            </w:r>
            <w:r>
              <w:rPr>
                <w:noProof/>
                <w:webHidden/>
              </w:rPr>
              <w:tab/>
            </w:r>
            <w:r>
              <w:rPr>
                <w:noProof/>
                <w:webHidden/>
              </w:rPr>
              <w:fldChar w:fldCharType="begin"/>
            </w:r>
            <w:r>
              <w:rPr>
                <w:noProof/>
                <w:webHidden/>
              </w:rPr>
              <w:instrText xml:space="preserve"> PAGEREF _Toc228252059 \h </w:instrText>
            </w:r>
            <w:r>
              <w:rPr>
                <w:noProof/>
                <w:webHidden/>
              </w:rPr>
            </w:r>
            <w:r>
              <w:rPr>
                <w:noProof/>
                <w:webHidden/>
              </w:rPr>
              <w:fldChar w:fldCharType="separate"/>
            </w:r>
            <w:r>
              <w:rPr>
                <w:noProof/>
                <w:webHidden/>
              </w:rPr>
              <w:t>63</w:t>
            </w:r>
            <w:r>
              <w:rPr>
                <w:noProof/>
                <w:webHidden/>
              </w:rPr>
              <w:fldChar w:fldCharType="end"/>
            </w:r>
          </w:hyperlink>
        </w:p>
        <w:p w14:paraId="6EDF506E" w14:textId="68532477"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60" w:history="1">
            <w:r w:rsidRPr="003F5471">
              <w:rPr>
                <w:rStyle w:val="Hiperpovezava"/>
                <w:noProof/>
              </w:rPr>
              <w:t>5.3</w:t>
            </w:r>
            <w:r>
              <w:rPr>
                <w:rFonts w:asciiTheme="minorHAnsi" w:eastAsiaTheme="minorEastAsia" w:hAnsiTheme="minorHAnsi"/>
                <w:noProof/>
                <w:kern w:val="2"/>
                <w:szCs w:val="24"/>
                <w:lang w:eastAsia="en-GB"/>
                <w14:ligatures w14:val="standardContextual"/>
              </w:rPr>
              <w:tab/>
            </w:r>
            <w:r w:rsidRPr="003F5471">
              <w:rPr>
                <w:rStyle w:val="Hiperpovezava"/>
                <w:noProof/>
              </w:rPr>
              <w:t>INDIVIDUAL-SPECIFIC POPULATION GENETIC ANALYSIS ON THE ISOLATED SPORE-FORMING SPECIES (GOAL 2)</w:t>
            </w:r>
            <w:r>
              <w:rPr>
                <w:noProof/>
                <w:webHidden/>
              </w:rPr>
              <w:tab/>
            </w:r>
            <w:r>
              <w:rPr>
                <w:noProof/>
                <w:webHidden/>
              </w:rPr>
              <w:fldChar w:fldCharType="begin"/>
            </w:r>
            <w:r>
              <w:rPr>
                <w:noProof/>
                <w:webHidden/>
              </w:rPr>
              <w:instrText xml:space="preserve"> PAGEREF _Toc228252060 \h </w:instrText>
            </w:r>
            <w:r>
              <w:rPr>
                <w:noProof/>
                <w:webHidden/>
              </w:rPr>
            </w:r>
            <w:r>
              <w:rPr>
                <w:noProof/>
                <w:webHidden/>
              </w:rPr>
              <w:fldChar w:fldCharType="separate"/>
            </w:r>
            <w:r>
              <w:rPr>
                <w:noProof/>
                <w:webHidden/>
              </w:rPr>
              <w:t>64</w:t>
            </w:r>
            <w:r>
              <w:rPr>
                <w:noProof/>
                <w:webHidden/>
              </w:rPr>
              <w:fldChar w:fldCharType="end"/>
            </w:r>
          </w:hyperlink>
        </w:p>
        <w:p w14:paraId="081D8DBE" w14:textId="2BC5074C"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61" w:history="1">
            <w:r w:rsidRPr="003F5471">
              <w:rPr>
                <w:rStyle w:val="Hiperpovezava"/>
                <w:noProof/>
              </w:rPr>
              <w:t>6</w:t>
            </w:r>
            <w:r>
              <w:rPr>
                <w:rFonts w:asciiTheme="minorHAnsi" w:eastAsiaTheme="minorEastAsia" w:hAnsiTheme="minorHAnsi"/>
                <w:noProof/>
                <w:kern w:val="2"/>
                <w:szCs w:val="24"/>
                <w:lang w:eastAsia="en-GB"/>
                <w14:ligatures w14:val="standardContextual"/>
              </w:rPr>
              <w:tab/>
            </w:r>
            <w:r w:rsidRPr="003F5471">
              <w:rPr>
                <w:rStyle w:val="Hiperpovezava"/>
                <w:noProof/>
              </w:rPr>
              <w:t>CONCLUSIONS</w:t>
            </w:r>
            <w:r>
              <w:rPr>
                <w:noProof/>
                <w:webHidden/>
              </w:rPr>
              <w:tab/>
            </w:r>
            <w:r>
              <w:rPr>
                <w:noProof/>
                <w:webHidden/>
              </w:rPr>
              <w:fldChar w:fldCharType="begin"/>
            </w:r>
            <w:r>
              <w:rPr>
                <w:noProof/>
                <w:webHidden/>
              </w:rPr>
              <w:instrText xml:space="preserve"> PAGEREF _Toc228252061 \h </w:instrText>
            </w:r>
            <w:r>
              <w:rPr>
                <w:noProof/>
                <w:webHidden/>
              </w:rPr>
            </w:r>
            <w:r>
              <w:rPr>
                <w:noProof/>
                <w:webHidden/>
              </w:rPr>
              <w:fldChar w:fldCharType="separate"/>
            </w:r>
            <w:r>
              <w:rPr>
                <w:noProof/>
                <w:webHidden/>
              </w:rPr>
              <w:t>67</w:t>
            </w:r>
            <w:r>
              <w:rPr>
                <w:noProof/>
                <w:webHidden/>
              </w:rPr>
              <w:fldChar w:fldCharType="end"/>
            </w:r>
          </w:hyperlink>
        </w:p>
        <w:p w14:paraId="70D35636" w14:textId="15A75A2E"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62" w:history="1">
            <w:r w:rsidRPr="003F5471">
              <w:rPr>
                <w:rStyle w:val="Hiperpovezava"/>
                <w:noProof/>
              </w:rPr>
              <w:t>7</w:t>
            </w:r>
            <w:r>
              <w:rPr>
                <w:rFonts w:asciiTheme="minorHAnsi" w:eastAsiaTheme="minorEastAsia" w:hAnsiTheme="minorHAnsi"/>
                <w:noProof/>
                <w:kern w:val="2"/>
                <w:szCs w:val="24"/>
                <w:lang w:eastAsia="en-GB"/>
                <w14:ligatures w14:val="standardContextual"/>
              </w:rPr>
              <w:tab/>
            </w:r>
            <w:r w:rsidRPr="003F5471">
              <w:rPr>
                <w:rStyle w:val="Hiperpovezava"/>
                <w:noProof/>
              </w:rPr>
              <w:t>SUMMARY</w:t>
            </w:r>
            <w:r>
              <w:rPr>
                <w:noProof/>
                <w:webHidden/>
              </w:rPr>
              <w:tab/>
            </w:r>
            <w:r>
              <w:rPr>
                <w:noProof/>
                <w:webHidden/>
              </w:rPr>
              <w:fldChar w:fldCharType="begin"/>
            </w:r>
            <w:r>
              <w:rPr>
                <w:noProof/>
                <w:webHidden/>
              </w:rPr>
              <w:instrText xml:space="preserve"> PAGEREF _Toc228252062 \h </w:instrText>
            </w:r>
            <w:r>
              <w:rPr>
                <w:noProof/>
                <w:webHidden/>
              </w:rPr>
            </w:r>
            <w:r>
              <w:rPr>
                <w:noProof/>
                <w:webHidden/>
              </w:rPr>
              <w:fldChar w:fldCharType="separate"/>
            </w:r>
            <w:r>
              <w:rPr>
                <w:noProof/>
                <w:webHidden/>
              </w:rPr>
              <w:t>68</w:t>
            </w:r>
            <w:r>
              <w:rPr>
                <w:noProof/>
                <w:webHidden/>
              </w:rPr>
              <w:fldChar w:fldCharType="end"/>
            </w:r>
          </w:hyperlink>
        </w:p>
        <w:p w14:paraId="769F4B8D" w14:textId="10740444"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63" w:history="1">
            <w:r w:rsidRPr="003F5471">
              <w:rPr>
                <w:rStyle w:val="Hiperpovezava"/>
                <w:noProof/>
              </w:rPr>
              <w:t>7.1</w:t>
            </w:r>
            <w:r>
              <w:rPr>
                <w:rFonts w:asciiTheme="minorHAnsi" w:eastAsiaTheme="minorEastAsia" w:hAnsiTheme="minorHAnsi"/>
                <w:noProof/>
                <w:kern w:val="2"/>
                <w:szCs w:val="24"/>
                <w:lang w:eastAsia="en-GB"/>
                <w14:ligatures w14:val="standardContextual"/>
              </w:rPr>
              <w:tab/>
            </w:r>
            <w:r w:rsidRPr="003F5471">
              <w:rPr>
                <w:rStyle w:val="Hiperpovezava"/>
                <w:noProof/>
              </w:rPr>
              <w:t>SUMMARY</w:t>
            </w:r>
            <w:r>
              <w:rPr>
                <w:noProof/>
                <w:webHidden/>
              </w:rPr>
              <w:tab/>
            </w:r>
            <w:r>
              <w:rPr>
                <w:noProof/>
                <w:webHidden/>
              </w:rPr>
              <w:fldChar w:fldCharType="begin"/>
            </w:r>
            <w:r>
              <w:rPr>
                <w:noProof/>
                <w:webHidden/>
              </w:rPr>
              <w:instrText xml:space="preserve"> PAGEREF _Toc228252063 \h </w:instrText>
            </w:r>
            <w:r>
              <w:rPr>
                <w:noProof/>
                <w:webHidden/>
              </w:rPr>
            </w:r>
            <w:r>
              <w:rPr>
                <w:noProof/>
                <w:webHidden/>
              </w:rPr>
              <w:fldChar w:fldCharType="separate"/>
            </w:r>
            <w:r>
              <w:rPr>
                <w:noProof/>
                <w:webHidden/>
              </w:rPr>
              <w:t>68</w:t>
            </w:r>
            <w:r>
              <w:rPr>
                <w:noProof/>
                <w:webHidden/>
              </w:rPr>
              <w:fldChar w:fldCharType="end"/>
            </w:r>
          </w:hyperlink>
        </w:p>
        <w:p w14:paraId="58225CD4" w14:textId="6492C20A" w:rsidR="00497A2F" w:rsidRDefault="00497A2F">
          <w:pPr>
            <w:pStyle w:val="Kazalovsebine2"/>
            <w:tabs>
              <w:tab w:val="left" w:pos="960"/>
              <w:tab w:val="right" w:leader="dot" w:pos="9396"/>
            </w:tabs>
            <w:rPr>
              <w:rFonts w:asciiTheme="minorHAnsi" w:eastAsiaTheme="minorEastAsia" w:hAnsiTheme="minorHAnsi"/>
              <w:noProof/>
              <w:kern w:val="2"/>
              <w:szCs w:val="24"/>
              <w:lang w:eastAsia="en-GB"/>
              <w14:ligatures w14:val="standardContextual"/>
            </w:rPr>
          </w:pPr>
          <w:hyperlink w:anchor="_Toc228252064" w:history="1">
            <w:r w:rsidRPr="003F5471">
              <w:rPr>
                <w:rStyle w:val="Hiperpovezava"/>
                <w:noProof/>
                <w:lang w:val="sl-SI"/>
              </w:rPr>
              <w:t>7.2</w:t>
            </w:r>
            <w:r>
              <w:rPr>
                <w:rFonts w:asciiTheme="minorHAnsi" w:eastAsiaTheme="minorEastAsia" w:hAnsiTheme="minorHAnsi"/>
                <w:noProof/>
                <w:kern w:val="2"/>
                <w:szCs w:val="24"/>
                <w:lang w:eastAsia="en-GB"/>
                <w14:ligatures w14:val="standardContextual"/>
              </w:rPr>
              <w:tab/>
            </w:r>
            <w:r w:rsidRPr="003F5471">
              <w:rPr>
                <w:rStyle w:val="Hiperpovezava"/>
                <w:noProof/>
                <w:lang w:val="sl-SI"/>
              </w:rPr>
              <w:t>POVZETEK (10% obsega angleškega dela doktorske naloge)</w:t>
            </w:r>
            <w:r>
              <w:rPr>
                <w:noProof/>
                <w:webHidden/>
              </w:rPr>
              <w:tab/>
            </w:r>
            <w:r>
              <w:rPr>
                <w:noProof/>
                <w:webHidden/>
              </w:rPr>
              <w:fldChar w:fldCharType="begin"/>
            </w:r>
            <w:r>
              <w:rPr>
                <w:noProof/>
                <w:webHidden/>
              </w:rPr>
              <w:instrText xml:space="preserve"> PAGEREF _Toc228252064 \h </w:instrText>
            </w:r>
            <w:r>
              <w:rPr>
                <w:noProof/>
                <w:webHidden/>
              </w:rPr>
            </w:r>
            <w:r>
              <w:rPr>
                <w:noProof/>
                <w:webHidden/>
              </w:rPr>
              <w:fldChar w:fldCharType="separate"/>
            </w:r>
            <w:r>
              <w:rPr>
                <w:noProof/>
                <w:webHidden/>
              </w:rPr>
              <w:t>71</w:t>
            </w:r>
            <w:r>
              <w:rPr>
                <w:noProof/>
                <w:webHidden/>
              </w:rPr>
              <w:fldChar w:fldCharType="end"/>
            </w:r>
          </w:hyperlink>
        </w:p>
        <w:p w14:paraId="39500D8E" w14:textId="20D145AE" w:rsidR="00497A2F" w:rsidRDefault="00497A2F">
          <w:pPr>
            <w:pStyle w:val="Kazalovsebine1"/>
            <w:tabs>
              <w:tab w:val="left" w:pos="440"/>
              <w:tab w:val="right" w:leader="dot" w:pos="9396"/>
            </w:tabs>
            <w:rPr>
              <w:rFonts w:asciiTheme="minorHAnsi" w:eastAsiaTheme="minorEastAsia" w:hAnsiTheme="minorHAnsi"/>
              <w:noProof/>
              <w:kern w:val="2"/>
              <w:szCs w:val="24"/>
              <w:lang w:eastAsia="en-GB"/>
              <w14:ligatures w14:val="standardContextual"/>
            </w:rPr>
          </w:pPr>
          <w:hyperlink w:anchor="_Toc228252065" w:history="1">
            <w:r w:rsidRPr="003F5471">
              <w:rPr>
                <w:rStyle w:val="Hiperpovezava"/>
                <w:noProof/>
              </w:rPr>
              <w:t>8</w:t>
            </w:r>
            <w:r>
              <w:rPr>
                <w:rFonts w:asciiTheme="minorHAnsi" w:eastAsiaTheme="minorEastAsia" w:hAnsiTheme="minorHAnsi"/>
                <w:noProof/>
                <w:kern w:val="2"/>
                <w:szCs w:val="24"/>
                <w:lang w:eastAsia="en-GB"/>
                <w14:ligatures w14:val="standardContextual"/>
              </w:rPr>
              <w:tab/>
            </w:r>
            <w:r w:rsidRPr="003F5471">
              <w:rPr>
                <w:rStyle w:val="Hiperpovezava"/>
                <w:noProof/>
              </w:rPr>
              <w:t>REFERENCES</w:t>
            </w:r>
            <w:r>
              <w:rPr>
                <w:noProof/>
                <w:webHidden/>
              </w:rPr>
              <w:tab/>
            </w:r>
            <w:r>
              <w:rPr>
                <w:noProof/>
                <w:webHidden/>
              </w:rPr>
              <w:fldChar w:fldCharType="begin"/>
            </w:r>
            <w:r>
              <w:rPr>
                <w:noProof/>
                <w:webHidden/>
              </w:rPr>
              <w:instrText xml:space="preserve"> PAGEREF _Toc228252065 \h </w:instrText>
            </w:r>
            <w:r>
              <w:rPr>
                <w:noProof/>
                <w:webHidden/>
              </w:rPr>
            </w:r>
            <w:r>
              <w:rPr>
                <w:noProof/>
                <w:webHidden/>
              </w:rPr>
              <w:fldChar w:fldCharType="separate"/>
            </w:r>
            <w:r>
              <w:rPr>
                <w:noProof/>
                <w:webHidden/>
              </w:rPr>
              <w:t>75</w:t>
            </w:r>
            <w:r>
              <w:rPr>
                <w:noProof/>
                <w:webHidden/>
              </w:rPr>
              <w:fldChar w:fldCharType="end"/>
            </w:r>
          </w:hyperlink>
        </w:p>
        <w:p w14:paraId="7893D39B" w14:textId="4F24C093" w:rsidR="00A52895" w:rsidRDefault="00A52895">
          <w:r>
            <w:rPr>
              <w:b/>
              <w:bCs/>
              <w:noProof/>
            </w:rPr>
            <w:fldChar w:fldCharType="end"/>
          </w:r>
        </w:p>
      </w:sdtContent>
    </w:sdt>
    <w:p w14:paraId="0DD3A213" w14:textId="1CD33AF9" w:rsidR="00A52895" w:rsidRDefault="00A52895">
      <w:pPr>
        <w:spacing w:line="259" w:lineRule="auto"/>
        <w:jc w:val="left"/>
      </w:pPr>
      <w:r>
        <w:br w:type="page"/>
      </w:r>
    </w:p>
    <w:p w14:paraId="7352D1FE" w14:textId="16A3B8F5" w:rsidR="00CD77AB" w:rsidRPr="00D93D74" w:rsidRDefault="00281EC3">
      <w:pPr>
        <w:pStyle w:val="Naslov1"/>
        <w:numPr>
          <w:ilvl w:val="0"/>
          <w:numId w:val="3"/>
        </w:numPr>
      </w:pPr>
      <w:bookmarkStart w:id="1" w:name="_Toc212712188"/>
      <w:bookmarkStart w:id="2" w:name="_Toc216099703"/>
      <w:bookmarkStart w:id="3" w:name="_Toc220932815"/>
      <w:bookmarkStart w:id="4" w:name="_Toc228252002"/>
      <w:r w:rsidRPr="00D93D74">
        <w:lastRenderedPageBreak/>
        <w:t>INTRODUCTION</w:t>
      </w:r>
      <w:bookmarkEnd w:id="1"/>
      <w:bookmarkEnd w:id="2"/>
      <w:bookmarkEnd w:id="3"/>
      <w:bookmarkEnd w:id="4"/>
    </w:p>
    <w:p w14:paraId="7883F584" w14:textId="6736A40C" w:rsidR="001528FF" w:rsidDel="00D23E9B" w:rsidRDefault="00D23E9B" w:rsidP="001528FF">
      <w:pPr>
        <w:rPr>
          <w:del w:id="5" w:author="Urša Miklavčič" w:date="2026-04-28T07:22:00Z" w16du:dateUtc="2026-04-28T05:22:00Z"/>
        </w:rPr>
      </w:pPr>
      <w:ins w:id="6" w:author="Urša Miklavčič" w:date="2026-04-28T07:24:00Z" w16du:dateUtc="2026-04-28T05:24:00Z">
        <w:r>
          <w:t xml:space="preserve">Transmission of gut bacteria between </w:t>
        </w:r>
      </w:ins>
      <w:ins w:id="7" w:author="Urša Miklavčič" w:date="2026-04-28T07:25:00Z" w16du:dateUtc="2026-04-28T05:25:00Z">
        <w:r>
          <w:t>individuals</w:t>
        </w:r>
      </w:ins>
      <w:ins w:id="8" w:author="Urša Miklavčič" w:date="2026-04-28T07:24:00Z" w16du:dateUtc="2026-04-28T05:24:00Z">
        <w:r>
          <w:t xml:space="preserve"> and </w:t>
        </w:r>
      </w:ins>
      <w:ins w:id="9" w:author="Urša Miklavčič" w:date="2026-04-28T07:25:00Z" w16du:dateUtc="2026-04-28T05:25:00Z">
        <w:r>
          <w:t xml:space="preserve">their </w:t>
        </w:r>
      </w:ins>
      <w:ins w:id="10" w:author="Urša Miklavčič" w:date="2026-04-28T07:24:00Z" w16du:dateUtc="2026-04-28T05:24:00Z">
        <w:r>
          <w:t xml:space="preserve">colonization </w:t>
        </w:r>
      </w:ins>
      <w:ins w:id="11" w:author="Urša Miklavčič" w:date="2026-04-28T07:25:00Z" w16du:dateUtc="2026-04-28T05:25:00Z">
        <w:r>
          <w:t xml:space="preserve">within an individual depends on survival in intermittent environments and </w:t>
        </w:r>
      </w:ins>
      <w:ins w:id="12" w:author="Urša Miklavčič" w:date="2026-04-28T11:15:00Z" w16du:dateUtc="2026-04-28T09:15:00Z">
        <w:r w:rsidR="001C2A55">
          <w:t xml:space="preserve">their </w:t>
        </w:r>
      </w:ins>
      <w:ins w:id="13" w:author="Urša Miklavčič" w:date="2026-04-28T07:26:00Z" w16du:dateUtc="2026-04-28T05:26:00Z">
        <w:r>
          <w:t xml:space="preserve">prevalence </w:t>
        </w:r>
      </w:ins>
      <w:del w:id="14" w:author="Urša Miklavčič" w:date="2026-04-28T07:26:00Z" w16du:dateUtc="2026-04-28T05:26:00Z">
        <w:r w:rsidR="001528FF" w:rsidRPr="00D93D74" w:rsidDel="00D23E9B">
          <w:delText xml:space="preserve">Successful colonization of commensal bacteria depends both on their capacity to spread between human hosts and their ability to establish and grow within an individual host </w:delText>
        </w:r>
      </w:del>
      <w:r w:rsidR="001528FF" w:rsidRPr="00D93D74">
        <w:fldChar w:fldCharType="begin"/>
      </w:r>
      <w:r w:rsidR="001C2A55">
        <w:instrText xml:space="preserve"> ADDIN ZOTERO_ITEM CSL_CITATION {"citationID":"tbynMraH","properties":{"formattedCitation":"(Martino et al., 2022; Valles-Colomer et al., 2023)","plainCitation":"(Martino et al., 2022; Valles-Colomer et al., 2023)","noteIndex":0},"citationItems":[{"id":1166,"uris":["http://zotero.org/users/8873894/items/VS3A8XM3"],"itemData":{"id":1166,"type":"article-journal","abstract":"Associations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L."},{"family":"Jeste","given":"Dilip"},{"family":"Knight","given":"Rob"}],"issued":{"date-parts":[["2022",7,29]]}}},{"id":1879,"uris":["http://zotero.org/users/8873894/items/8PIGTYZD"],"itemData":{"id":1879,"type":"article-journal","abstract":"The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001528FF" w:rsidRPr="00D93D74">
        <w:fldChar w:fldCharType="separate"/>
      </w:r>
      <w:r w:rsidR="001C2A55" w:rsidRPr="001C2A55">
        <w:rPr>
          <w:rFonts w:cs="Times New Roman"/>
        </w:rPr>
        <w:t>(Martino et al., 2022; Valles-Colomer et al., 2023)</w:t>
      </w:r>
      <w:r w:rsidR="001528FF" w:rsidRPr="00D93D74">
        <w:fldChar w:fldCharType="end"/>
      </w:r>
      <w:del w:id="15" w:author="Urša Miklavčič" w:date="2026-04-28T07:26:00Z" w16du:dateUtc="2026-04-28T05:26:00Z">
        <w:r w:rsidR="001528FF" w:rsidRPr="00D93D74" w:rsidDel="00D23E9B">
          <w:delText>. The likelihood of transmission increases with bacteria’s utilization of different life strategies (e.g. dormancy) and their prevalence</w:delText>
        </w:r>
      </w:del>
      <w:del w:id="16" w:author="Urša Miklavčič" w:date="2026-04-28T11:14:00Z" w16du:dateUtc="2026-04-28T09:14:00Z">
        <w:r w:rsidR="001528FF" w:rsidRPr="00D93D74" w:rsidDel="001C2A55">
          <w:delText xml:space="preserve"> </w:delText>
        </w:r>
        <w:r w:rsidR="001528FF" w:rsidRPr="00D93D74" w:rsidDel="001C2A55">
          <w:fldChar w:fldCharType="begin"/>
        </w:r>
        <w:r w:rsidR="001C2A55" w:rsidDel="001C2A55">
          <w:delInstrText xml:space="preserve"> ADDIN ZOTERO_ITEM CSL_CITATION {"citationID":"dMREYwRl","properties":{"formattedCitation":"(Valles-Colomer et al., 2023)","plainCitation":"(Valles-Colomer et al., 2023)","noteIndex":0},"citationItems":[{"id":1879,"uris":["http://zotero.org/users/8873894/items/8PIGTYZD"],"itemData":{"id":1879,"type":"article-journal","abstract":"The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delInstrText>
        </w:r>
        <w:r w:rsidR="001528FF" w:rsidRPr="00D93D74" w:rsidDel="001C2A55">
          <w:fldChar w:fldCharType="separate"/>
        </w:r>
        <w:r w:rsidR="001528FF" w:rsidRPr="00D93D74" w:rsidDel="001C2A55">
          <w:delText>(Valles-Colomer et al., 2023)</w:delText>
        </w:r>
        <w:r w:rsidR="001528FF" w:rsidRPr="00D93D74" w:rsidDel="001C2A55">
          <w:fldChar w:fldCharType="end"/>
        </w:r>
      </w:del>
      <w:r w:rsidR="001528FF" w:rsidRPr="00D93D74">
        <w:t xml:space="preserve">. </w:t>
      </w:r>
      <w:moveToRangeStart w:id="17" w:author="Urša Miklavčič" w:date="2026-04-28T11:16:00Z" w:name="move228267404"/>
      <w:moveTo w:id="18" w:author="Urša Miklavčič" w:date="2026-04-28T11:16:00Z" w16du:dateUtc="2026-04-28T09:16:00Z">
        <w:r w:rsidR="001C2A55" w:rsidRPr="00D93D74">
          <w:t xml:space="preserve">Sporulation is one of the most researched strategies for increasing survival time outside of the human gut as spore-forming bacteria are present in the most abundant phylum in human gut </w:t>
        </w:r>
        <w:r w:rsidR="001C2A55" w:rsidRPr="00D93D74">
          <w:rPr>
            <w:i/>
            <w:iCs/>
          </w:rPr>
          <w:t>Bacillota</w:t>
        </w:r>
        <w:r w:rsidR="001C2A55" w:rsidRPr="00D93D74">
          <w:t xml:space="preserve"> </w:t>
        </w:r>
        <w:r w:rsidR="001C2A55" w:rsidRPr="00D93D74">
          <w:fldChar w:fldCharType="begin"/>
        </w:r>
        <w:r w:rsidR="001C2A55">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2014)","noteIndex":0},"citationItems":[{"id":1150,"uris":["http://zotero.org/users/8873894/items/SJCCTPEG"],"itemData":{"id":1150,"type":"article-journal","abstract":"The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Paul"},{"family":"Stanton","given":"Catherine"}],"issued":{"date-parts":[["2021",1,1]]}}},{"id":445,"uris":["http://zotero.org/users/8873894/items/AGBLRT42"],"itemData":{"id":445,"type":"article-journal","abstract":"Formation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Y."}],"issued":{"date-parts":[["2013",12]]}}},{"id":1600,"uris":["http://zotero.org/users/8873894/items/3WWYG98M"],"itemData":{"id":1600,"type":"article-journal","abstract":"The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001C2A55" w:rsidRPr="00D93D74">
          <w:fldChar w:fldCharType="separate"/>
        </w:r>
        <w:r w:rsidR="001C2A55" w:rsidRPr="00D93D74">
          <w:rPr>
            <w:rFonts w:cs="Times New Roman"/>
          </w:rPr>
          <w:t>(Egan et al., 2021; Galperin, 2013; Rajilić-Stojanović &amp; de Vos, 2014)</w:t>
        </w:r>
        <w:r w:rsidR="001C2A55" w:rsidRPr="00D93D74">
          <w:fldChar w:fldCharType="end"/>
        </w:r>
        <w:r w:rsidR="001C2A55" w:rsidRPr="00D93D74">
          <w:t>.</w:t>
        </w:r>
      </w:moveTo>
      <w:moveToRangeEnd w:id="17"/>
      <w:ins w:id="19" w:author="Urša Miklavčič" w:date="2026-04-28T11:16:00Z" w16du:dateUtc="2026-04-28T09:16:00Z">
        <w:r w:rsidR="001C2A55">
          <w:t xml:space="preserve"> At least </w:t>
        </w:r>
      </w:ins>
      <w:del w:id="20" w:author="Urša Miklavčič" w:date="2026-04-28T11:16:00Z" w16du:dateUtc="2026-04-28T09:16:00Z">
        <w:r w:rsidR="001528FF" w:rsidRPr="00D93D74" w:rsidDel="001C2A55">
          <w:delText>A</w:delText>
        </w:r>
      </w:del>
      <w:del w:id="21" w:author="Urša Miklavčič" w:date="2026-04-28T07:26:00Z" w16du:dateUtc="2026-04-28T05:26:00Z">
        <w:r w:rsidR="001528FF" w:rsidRPr="00D93D74" w:rsidDel="00D23E9B">
          <w:delText xml:space="preserve"> high proportion of gut bacteria, at</w:delText>
        </w:r>
      </w:del>
      <w:del w:id="22" w:author="Urša Miklavčič" w:date="2026-04-28T11:16:00Z" w16du:dateUtc="2026-04-28T09:16:00Z">
        <w:r w:rsidR="001528FF" w:rsidRPr="00D93D74" w:rsidDel="001C2A55">
          <w:delText xml:space="preserve"> least </w:delText>
        </w:r>
      </w:del>
      <w:r w:rsidR="001528FF" w:rsidRPr="00D93D74">
        <w:t>50%</w:t>
      </w:r>
      <w:ins w:id="23" w:author="Urša Miklavčič" w:date="2026-04-28T07:26:00Z" w16du:dateUtc="2026-04-28T05:26:00Z">
        <w:r>
          <w:t xml:space="preserve"> of gut bacteria</w:t>
        </w:r>
      </w:ins>
      <w:del w:id="24" w:author="Urša Miklavčič" w:date="2026-04-28T07:26:00Z" w16du:dateUtc="2026-04-28T05:26:00Z">
        <w:r w:rsidR="001528FF" w:rsidRPr="00D93D74" w:rsidDel="00D23E9B">
          <w:delText>,</w:delText>
        </w:r>
      </w:del>
      <w:r w:rsidR="001528FF" w:rsidRPr="00D93D74">
        <w:t xml:space="preserve"> possess the genetic ability for sporulation</w:t>
      </w:r>
      <w:ins w:id="25" w:author="Urša Miklavčič" w:date="2026-04-28T11:17:00Z" w16du:dateUtc="2026-04-28T09:17:00Z">
        <w:r w:rsidR="001C2A55">
          <w:t xml:space="preserve"> </w:t>
        </w:r>
      </w:ins>
      <w:r w:rsidR="001C2A55">
        <w:fldChar w:fldCharType="begin"/>
      </w:r>
      <w:r w:rsidR="001C2A55">
        <w:instrText xml:space="preserve"> ADDIN ZOTERO_ITEM CSL_CITATION {"citationID":"DXlg7TJl","properties":{"formattedCitation":"(Browne et al., 2016b)","plainCitation":"(Browne et al., 2016b)","noteIndex":0},"citationItems":[{"id":29,"uris":["http://zotero.org/users/8873894/items/YDIPWJ3L"],"itemData":{"id":29,"type":"article-journal","abstract":"A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1C2A55">
        <w:fldChar w:fldCharType="separate"/>
      </w:r>
      <w:r w:rsidR="001C2A55" w:rsidRPr="001C2A55">
        <w:rPr>
          <w:rFonts w:cs="Times New Roman"/>
        </w:rPr>
        <w:t>(Browne et al., 2016b)</w:t>
      </w:r>
      <w:r w:rsidR="001C2A55">
        <w:fldChar w:fldCharType="end"/>
      </w:r>
      <w:r w:rsidR="001528FF" w:rsidRPr="00D93D74">
        <w:t xml:space="preserve">, </w:t>
      </w:r>
      <w:ins w:id="26" w:author="Urša Miklavčič" w:date="2026-04-28T11:17:00Z" w16du:dateUtc="2026-04-28T09:17:00Z">
        <w:r w:rsidR="001C2A55">
          <w:t xml:space="preserve">giving them the </w:t>
        </w:r>
      </w:ins>
      <w:del w:id="27" w:author="Urša Miklavčič" w:date="2026-04-28T11:17:00Z" w16du:dateUtc="2026-04-28T09:17:00Z">
        <w:r w:rsidR="001528FF" w:rsidRPr="00D93D74" w:rsidDel="001C2A55">
          <w:delText xml:space="preserve">suggesting that a considerable fraction of human gut microbiota harbour the capacity to survive conditions that are unfavourable for growth </w:delText>
        </w:r>
        <w:r w:rsidR="001528FF" w:rsidRPr="00D93D74" w:rsidDel="001C2A55">
          <w:fldChar w:fldCharType="begin"/>
        </w:r>
        <w:r w:rsidR="001C2A55" w:rsidDel="001C2A55">
          <w:delInstrText xml:space="preserve"> ADDIN ZOTERO_ITEM CSL_CITATION {"citationID":"1u78q8Nq","properties":{"formattedCitation":"(Browne et al., 2016a)","plainCitation":"(Browne et al., 2016a)","noteIndex":0},"citationItems":[{"id":3042,"uris":["http://zotero.org/users/8873894/items/S6UVG3L2"],"itemData":{"id":3042,"type":"article-journal","abstract":"A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delInstrText>
        </w:r>
        <w:r w:rsidR="001528FF" w:rsidRPr="00D93D74" w:rsidDel="001C2A55">
          <w:fldChar w:fldCharType="separate"/>
        </w:r>
        <w:r w:rsidR="001528FF" w:rsidRPr="00D93D74" w:rsidDel="001C2A55">
          <w:delText>(Browne et al., 2016a)</w:delText>
        </w:r>
        <w:r w:rsidR="001528FF" w:rsidRPr="00D93D74" w:rsidDel="001C2A55">
          <w:fldChar w:fldCharType="end"/>
        </w:r>
        <w:r w:rsidR="001528FF" w:rsidRPr="00D93D74" w:rsidDel="001C2A55">
          <w:delText xml:space="preserve">. </w:delText>
        </w:r>
      </w:del>
      <w:moveFromRangeStart w:id="28" w:author="Urša Miklavčič" w:date="2026-04-28T11:16:00Z" w:name="move228267404"/>
      <w:moveFrom w:id="29" w:author="Urša Miklavčič" w:date="2026-04-28T11:16:00Z" w16du:dateUtc="2026-04-28T09:16:00Z">
        <w:del w:id="30" w:author="Urša Miklavčič" w:date="2026-04-28T11:17:00Z" w16du:dateUtc="2026-04-28T09:17:00Z">
          <w:r w:rsidR="001528FF" w:rsidRPr="00D93D74" w:rsidDel="001C2A55">
            <w:delText xml:space="preserve">Sporulation is one of the most researched strategies for increasing survival time outside of the human gut as spore-forming bacteria are present in the most abundant phylum in human gut </w:delText>
          </w:r>
          <w:r w:rsidR="001528FF" w:rsidRPr="00D93D74" w:rsidDel="001C2A55">
            <w:rPr>
              <w:i/>
              <w:iCs/>
            </w:rPr>
            <w:delText>Bacillota</w:delText>
          </w:r>
          <w:r w:rsidR="001528FF" w:rsidRPr="00D93D74" w:rsidDel="001C2A55">
            <w:delText xml:space="preserve"> </w:delText>
          </w:r>
          <w:r w:rsidR="001528FF" w:rsidRPr="00D93D74" w:rsidDel="001C2A55">
            <w:fldChar w:fldCharType="begin"/>
          </w:r>
          <w:r w:rsidR="001C2A55" w:rsidDel="001C2A55">
            <w:del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2014)","noteIndex":0},"citationItems":[{"id":1150,"uris":["http://zotero.org/users/8873894/items/SJCCTPEG"],"itemData":{"id":1150,"type":"article-journal","abstract":"The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Paul"},{"family":"Stanton","given":"Catherine"}],"issued":{"date-parts":[["2021",1,1]]}}},{"id":445,"uris":["http://zotero.org/users/8873894/items/AGBLRT42"],"itemData":{"id":445,"type":"article-journal","abstract":"Formation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Y."}],"issued":{"date-parts":[["2013",12]]}}},{"id":1600,"uris":["http://zotero.org/users/8873894/items/3WWYG98M"],"itemData":{"id":1600,"type":"article-journal","abstract":"The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delInstrText>
          </w:r>
          <w:r w:rsidR="001528FF" w:rsidRPr="00D93D74" w:rsidDel="001C2A55">
            <w:fldChar w:fldCharType="separate"/>
          </w:r>
          <w:r w:rsidR="00162CD1" w:rsidRPr="00D93D74" w:rsidDel="001C2A55">
            <w:rPr>
              <w:rFonts w:cs="Times New Roman"/>
            </w:rPr>
            <w:delText>(Egan et al., 2021; Galperin, 2013; Rajilić-Stojanović &amp; de Vos, 2014)</w:delText>
          </w:r>
          <w:r w:rsidR="001528FF" w:rsidRPr="00D93D74" w:rsidDel="001C2A55">
            <w:fldChar w:fldCharType="end"/>
          </w:r>
          <w:r w:rsidR="001528FF" w:rsidRPr="00D93D74" w:rsidDel="001C2A55">
            <w:delText xml:space="preserve">. </w:delText>
          </w:r>
        </w:del>
      </w:moveFrom>
      <w:moveFromRangeEnd w:id="28"/>
      <w:del w:id="31" w:author="Urša Miklavčič" w:date="2026-04-28T11:17:00Z" w16du:dateUtc="2026-04-28T09:17:00Z">
        <w:r w:rsidR="001528FF" w:rsidRPr="00D93D74" w:rsidDel="001C2A55">
          <w:delText xml:space="preserve">The </w:delText>
        </w:r>
      </w:del>
      <w:r w:rsidR="001528FF" w:rsidRPr="00D93D74">
        <w:t xml:space="preserve">ability </w:t>
      </w:r>
      <w:del w:id="32" w:author="Urša Miklavčič" w:date="2026-04-28T11:17:00Z" w16du:dateUtc="2026-04-28T09:17:00Z">
        <w:r w:rsidR="001528FF" w:rsidRPr="00D93D74" w:rsidDel="001C2A55">
          <w:delText xml:space="preserve">of gut residing spore-forming bacteria </w:delText>
        </w:r>
      </w:del>
      <w:r w:rsidR="001528FF" w:rsidRPr="00D93D74">
        <w:t>to endure unfavourable conditions, such as oxygen</w:t>
      </w:r>
      <w:del w:id="33" w:author="Urša Miklavčič" w:date="2026-04-28T11:18:00Z" w16du:dateUtc="2026-04-28T09:18:00Z">
        <w:r w:rsidR="001528FF" w:rsidRPr="00D93D74" w:rsidDel="001C2A55">
          <w:delText xml:space="preserve"> (for anaerobes)</w:delText>
        </w:r>
      </w:del>
      <w:r w:rsidR="001528FF" w:rsidRPr="00D93D74">
        <w:t>, antibiotic treatment, inflammation, and other disease</w:t>
      </w:r>
      <w:ins w:id="34" w:author="Urša Miklavčič" w:date="2026-04-28T11:18:00Z" w16du:dateUtc="2026-04-28T09:18:00Z">
        <w:r w:rsidR="001C2A55">
          <w:t>s. This</w:t>
        </w:r>
      </w:ins>
      <w:del w:id="35" w:author="Urša Miklavčič" w:date="2026-04-28T11:18:00Z" w16du:dateUtc="2026-04-28T09:18:00Z">
        <w:r w:rsidR="001528FF" w:rsidRPr="00D93D74" w:rsidDel="001C2A55">
          <w:delText>s,</w:delText>
        </w:r>
      </w:del>
      <w:r w:rsidR="001528FF" w:rsidRPr="00D93D74">
        <w:t xml:space="preserve"> allows them to persist and potentially recolonize the gut following disruptions but also facilitates transmission between individuals </w:t>
      </w:r>
      <w:r w:rsidR="001528FF" w:rsidRPr="00D93D74">
        <w:fldChar w:fldCharType="begin"/>
      </w:r>
      <w:r w:rsidR="001C2A55">
        <w:instrText xml:space="preserve"> ADDIN ZOTERO_ITEM CSL_CITATION {"citationID":"Wedxp187","properties":{"formattedCitation":"(Swick et al., 2016; Tetz &amp; Tetz, 2017)","plainCitation":"(Swick et al., 2016; Tetz &amp; Tetz, 2017)","noteIndex":0},"citationItems":[{"id":1870,"uris":["http://zotero.org/users/8873894/items/8U7JDRN7"],"itemData":{"id":1870,"type":"article-journal","container-title":"Microbiology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M."},{"family":"Driks","given":"Adam"}],"issued":{"date-parts":[["2016",8]]}}},{"id":1149,"uris":["http://zotero.org/users/8873894/items/G5RWXQYI"],"itemData":{"id":1149,"type":"article-journal","abstract":"Unrelated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001528FF" w:rsidRPr="00D93D74">
        <w:fldChar w:fldCharType="separate"/>
      </w:r>
      <w:r w:rsidR="00162CD1" w:rsidRPr="00D93D74">
        <w:rPr>
          <w:rFonts w:cs="Times New Roman"/>
        </w:rPr>
        <w:t>(Swick et al., 2016; Tetz &amp; Tetz, 2017)</w:t>
      </w:r>
      <w:r w:rsidR="001528FF" w:rsidRPr="00D93D74">
        <w:fldChar w:fldCharType="end"/>
      </w:r>
      <w:r w:rsidR="001528FF" w:rsidRPr="00D93D74">
        <w:t>. Other mechanisms hypothesized to increase transmission between human hosts include aero</w:t>
      </w:r>
      <w:ins w:id="36" w:author="Urša Miklavčič" w:date="2026-04-28T11:18:00Z" w16du:dateUtc="2026-04-28T09:18:00Z">
        <w:r w:rsidR="001C2A55">
          <w:t>-</w:t>
        </w:r>
      </w:ins>
      <w:r w:rsidR="001528FF" w:rsidRPr="00D93D74">
        <w:t xml:space="preserve">toleration, and viable, but not-culturable state, where an increased survival ability is achieved through decreased metabolic activity and strengthened cell walls </w:t>
      </w:r>
      <w:r w:rsidR="001528FF" w:rsidRPr="00D93D74">
        <w:fldChar w:fldCharType="begin"/>
      </w:r>
      <w:r w:rsidR="001C2A55">
        <w:instrText xml:space="preserve"> ADDIN ZOTERO_ITEM CSL_CITATION {"citationID":"ESMYRXz6","properties":{"formattedCitation":"(Setlow, 2014)","plainCitation":"(Setlow, 2014)","noteIndex":0},"citationItems":[{"id":3233,"uris":["http://zotero.org/users/8873894/items/25YLJMM3"],"itemData":{"id":3233,"type":"article-journal","abstract":"Spores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Spectrum","DOI":"10.1128/microbiolspec.tbs-0003-2012","issue":"5","page":"10.1128/microbiolspec.tbs-0003-2012","publisher":"American Society for Microbiology","source":"journals.asm.org (Atypon)","title":"Spore Resistance Properties","volume":"2","author":[{"family":"Setlow","given":"Peter"}],"issued":{"date-parts":[["2014",9,19]]}}}],"schema":"https://github.com/citation-style-language/schema/raw/master/csl-citation.json"} </w:instrText>
      </w:r>
      <w:r w:rsidR="001528FF" w:rsidRPr="00D93D74">
        <w:fldChar w:fldCharType="separate"/>
      </w:r>
      <w:r w:rsidR="001528FF" w:rsidRPr="00D93D74">
        <w:t>(Setlow, 2014)</w:t>
      </w:r>
      <w:r w:rsidR="001528FF" w:rsidRPr="00D93D74">
        <w:fldChar w:fldCharType="end"/>
      </w:r>
      <w:r w:rsidR="001528FF" w:rsidRPr="00D93D74">
        <w:t>.</w:t>
      </w:r>
      <w:ins w:id="37" w:author="Urša Miklavčič" w:date="2026-04-28T07:22:00Z" w16du:dateUtc="2026-04-28T05:22:00Z">
        <w:r>
          <w:t xml:space="preserve"> </w:t>
        </w:r>
      </w:ins>
      <w:del w:id="38" w:author="Urša Miklavčič" w:date="2026-04-28T07:22:00Z" w16du:dateUtc="2026-04-28T05:22:00Z">
        <w:r w:rsidR="001528FF" w:rsidRPr="00D93D74" w:rsidDel="00D23E9B">
          <w:delText xml:space="preserve"> </w:delText>
        </w:r>
      </w:del>
    </w:p>
    <w:p w14:paraId="14773381" w14:textId="77777777" w:rsidR="00D23E9B" w:rsidRPr="00D93D74" w:rsidRDefault="00D23E9B" w:rsidP="001528FF">
      <w:pPr>
        <w:rPr>
          <w:ins w:id="39" w:author="Urša Miklavčič" w:date="2026-04-28T07:27:00Z" w16du:dateUtc="2026-04-28T05:27:00Z"/>
        </w:rPr>
      </w:pPr>
    </w:p>
    <w:p w14:paraId="796EB91E" w14:textId="5562466B" w:rsidR="001528FF" w:rsidRPr="00D93D74" w:rsidDel="00D23E9B" w:rsidRDefault="001528FF" w:rsidP="00D03059">
      <w:pPr>
        <w:rPr>
          <w:del w:id="40" w:author="Urša Miklavčič" w:date="2026-04-28T07:23:00Z" w16du:dateUtc="2026-04-28T05:23:00Z"/>
        </w:rPr>
      </w:pPr>
      <w:r w:rsidRPr="00D93D74">
        <w:t xml:space="preserve">To investigate transmission of spore-forming bacteria between human hosts in a culture-independent manner, studies used either lysozyme treatment or ethanol shock to remove vegetative cells from stool samples </w:t>
      </w:r>
      <w:r w:rsidRPr="00D93D74">
        <w:fldChar w:fldCharType="begin"/>
      </w:r>
      <w:r w:rsidR="001C2A55">
        <w:instrText xml:space="preserve"> ADDIN ZOTERO_ITEM CSL_CITATION {"citationID":"5d9UB6im","properties":{"formattedCitation":"(Avershina et al., 2020; Kearney et al., 2018)","plainCitation":"(Avershina et al., 2020; Kearney et al., 2018)","noteIndex":0},"citationItems":[{"id":144,"uris":["http://zotero.org/users/8873894/items/UNE5VPVB"],"itemData":{"id":144,"type":"article-journal","abstract":"Abstract\n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(Avershina et al., 2020; Kearney et al., 2018)</w:t>
      </w:r>
      <w:r w:rsidRPr="00D93D74">
        <w:fldChar w:fldCharType="end"/>
      </w:r>
      <w:r w:rsidRPr="00D93D74">
        <w:t>. In a cohort of healthy human adults, it was shown that lysozyme resistant OTUs</w:t>
      </w:r>
      <w:ins w:id="41" w:author="Urša Miklavčič" w:date="2026-04-28T07:27:00Z" w16du:dateUtc="2026-04-28T05:27:00Z">
        <w:r w:rsidR="00D23E9B">
          <w:t xml:space="preserve"> </w:t>
        </w:r>
      </w:ins>
      <w:del w:id="42" w:author="Urša Miklavčič" w:date="2026-04-28T07:27:00Z" w16du:dateUtc="2026-04-28T05:27:00Z">
        <w:r w:rsidRPr="00D93D74" w:rsidDel="00D23E9B">
          <w:delText xml:space="preserve">  </w:delText>
        </w:r>
      </w:del>
      <w:r w:rsidRPr="00D93D74">
        <w:t xml:space="preserve">(operational taxonomic units) are more frequently shared between individuals than other taxa </w:t>
      </w:r>
      <w:r w:rsidRPr="00D93D74">
        <w:fldChar w:fldCharType="begin"/>
      </w:r>
      <w:r w:rsidR="001C2A55">
        <w:instrText xml:space="preserve"> ADDIN ZOTERO_ITEM CSL_CITATION {"citationID":"6SirLCRg","properties":{"formattedCitation":"(Kearney et al., 2018)","plainCitation":"(Kearney et al., 2018)","noteIndex":0},"citationItems":[{"id":34,"uris":["http://zotero.org/users/8873894/items/3G69ZQ2W"],"itemData":{"id":34,"type":"article-journal","abstract":"Endospore-formers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While a comparison of infant-mother pairs showed that the majority of OTUs determined as spore-forming are acquired from environment rather than mother-to-child transmission </w:t>
      </w:r>
      <w:r w:rsidRPr="00D93D74">
        <w:fldChar w:fldCharType="begin"/>
      </w:r>
      <w:r w:rsidR="001C2A55">
        <w:instrText xml:space="preserve"> ADDIN ZOTERO_ITEM CSL_CITATION {"citationID":"OgvbXXJK","properties":{"formattedCitation":"(Avershina et al., 2020)","plainCitation":"(Avershina et al., 2020)","noteIndex":0},"citationItems":[{"id":144,"uris":["http://zotero.org/users/8873894/items/UNE5VPVB"],"itemData":{"id":144,"type":"article-journal","abstract":"Abstract\n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fldChar w:fldCharType="separate"/>
      </w:r>
      <w:r w:rsidRPr="00D93D74">
        <w:t>(Avershina et al., 2020)</w:t>
      </w:r>
      <w:r w:rsidRPr="00D93D74">
        <w:fldChar w:fldCharType="end"/>
      </w:r>
      <w:r w:rsidRPr="00D93D74">
        <w:t xml:space="preserve">. </w:t>
      </w:r>
      <w:ins w:id="43" w:author="Urša Miklavčič" w:date="2026-04-28T07:27:00Z" w16du:dateUtc="2026-04-28T05:27:00Z">
        <w:r w:rsidR="00D23E9B">
          <w:t xml:space="preserve">Analysis of </w:t>
        </w:r>
      </w:ins>
      <w:ins w:id="44" w:author="Urša Miklavčič" w:date="2026-04-28T07:28:00Z" w16du:dateUtc="2026-04-28T05:28:00Z">
        <w:r w:rsidR="00D23E9B">
          <w:t xml:space="preserve">metagenomes derived from the human gut </w:t>
        </w:r>
      </w:ins>
      <w:del w:id="45" w:author="Urša Miklavčič" w:date="2026-04-28T07:27:00Z" w16du:dateUtc="2026-04-28T05:27:00Z">
        <w:r w:rsidRPr="00D93D74" w:rsidDel="00D23E9B">
          <w:delText>A</w:delText>
        </w:r>
      </w:del>
      <w:del w:id="46" w:author="Urša Miklavčič" w:date="2026-04-28T07:28:00Z" w16du:dateUtc="2026-04-28T05:28:00Z">
        <w:r w:rsidRPr="00D93D74" w:rsidDel="00D23E9B">
          <w:delText xml:space="preserve"> meta-analysis of human gut microbiomes </w:delText>
        </w:r>
      </w:del>
      <w:r w:rsidRPr="00D93D74">
        <w:t xml:space="preserve">revealed that the sporulation ability increases its prevalence in a broader population, but decreases bacterial species’ relative abundance in an individual </w:t>
      </w:r>
      <w:r w:rsidRPr="00D93D74">
        <w:fldChar w:fldCharType="begin"/>
      </w:r>
      <w:r w:rsidR="001C2A55">
        <w:instrText xml:space="preserve"> ADDIN ZOTERO_ITEM CSL_CITATION {"citationID":"8LIDAxKu","properties":{"formattedCitation":"(Browne et al., 2021)","plainCitation":"(Browne et al., 2021)","noteIndex":0},"citationItems":[{"id":33,"uris":["http://zotero.org/users/8873894/items/N88GZHKF"],"itemData":{"id":33,"type":"article-journal","abstract":"Background: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ins w:id="47" w:author="Urša Miklavčič" w:date="2026-04-28T07:23:00Z" w16du:dateUtc="2026-04-28T05:23:00Z">
        <w:r w:rsidR="00D23E9B">
          <w:t>While</w:t>
        </w:r>
      </w:ins>
      <w:ins w:id="48" w:author="Urša Miklavčič" w:date="2026-04-28T07:29:00Z" w16du:dateUtc="2026-04-28T05:29:00Z">
        <w:r w:rsidR="00D23E9B">
          <w:t xml:space="preserve"> </w:t>
        </w:r>
      </w:ins>
    </w:p>
    <w:p w14:paraId="52D935C7" w14:textId="69E8A647" w:rsidR="00D23E9B" w:rsidRDefault="001528FF" w:rsidP="00D23E9B">
      <w:pPr>
        <w:rPr>
          <w:ins w:id="49" w:author="Urša Miklavčič" w:date="2026-04-28T07:23:00Z" w16du:dateUtc="2026-04-28T05:23:00Z"/>
        </w:rPr>
      </w:pPr>
      <w:del w:id="50" w:author="Urša Miklavčič" w:date="2026-04-28T07:23:00Z" w16du:dateUtc="2026-04-28T05:23:00Z">
        <w:r w:rsidRPr="00D93D74" w:rsidDel="00D23E9B">
          <w:delText xml:space="preserve">At the </w:delText>
        </w:r>
      </w:del>
      <w:del w:id="51" w:author="Urša Miklavčič" w:date="2026-04-28T07:29:00Z" w16du:dateUtc="2026-04-28T05:29:00Z">
        <w:r w:rsidRPr="00D93D74" w:rsidDel="00D23E9B">
          <w:delText xml:space="preserve">level of </w:delText>
        </w:r>
      </w:del>
      <w:r w:rsidRPr="00D93D74">
        <w:t>cultured strains</w:t>
      </w:r>
      <w:ins w:id="52" w:author="Urša Miklavčič" w:date="2026-04-28T07:29:00Z" w16du:dateUtc="2026-04-28T05:29:00Z">
        <w:r w:rsidR="00D23E9B">
          <w:t xml:space="preserve"> revealed one-time colonization events for</w:t>
        </w:r>
      </w:ins>
      <w:del w:id="53" w:author="Urša Miklavčič" w:date="2026-04-28T07:29:00Z" w16du:dateUtc="2026-04-28T05:29:00Z">
        <w:r w:rsidRPr="00D93D74" w:rsidDel="00D23E9B">
          <w:delText>,</w:delText>
        </w:r>
      </w:del>
      <w:r w:rsidRPr="00D93D74">
        <w:t xml:space="preserve"> the </w:t>
      </w:r>
      <w:del w:id="54" w:author="Urša Miklavčič" w:date="2026-04-28T07:23:00Z" w16du:dateUtc="2026-04-28T05:23:00Z">
        <w:r w:rsidRPr="00D93D74" w:rsidDel="00D23E9B">
          <w:delText>dynamics of</w:delText>
        </w:r>
      </w:del>
      <w:ins w:id="55" w:author="Urša Miklavčič" w:date="2026-04-28T07:23:00Z" w16du:dateUtc="2026-04-28T05:23:00Z">
        <w:r w:rsidR="00D23E9B" w:rsidRPr="00D93D74">
          <w:t xml:space="preserve">non-spore-forming strains of </w:t>
        </w:r>
        <w:r w:rsidR="00D23E9B" w:rsidRPr="00D93D74">
          <w:rPr>
            <w:i/>
            <w:iCs/>
          </w:rPr>
          <w:t>Bacteroides vulgatus</w:t>
        </w:r>
        <w:r w:rsidR="00D23E9B" w:rsidRPr="00D93D74">
          <w:t xml:space="preserve"> and </w:t>
        </w:r>
        <w:r w:rsidR="00D23E9B" w:rsidRPr="00D93D74">
          <w:rPr>
            <w:i/>
            <w:iCs/>
          </w:rPr>
          <w:t>Bacteroides ovatus</w:t>
        </w:r>
        <w:r w:rsidR="00D23E9B" w:rsidRPr="00D93D74">
          <w:t xml:space="preserve"> </w:t>
        </w:r>
      </w:ins>
      <w:ins w:id="56" w:author="Urša Miklavčič" w:date="2026-04-28T07:29:00Z" w16du:dateUtc="2026-04-28T05:29:00Z">
        <w:r w:rsidR="00D23E9B">
          <w:t xml:space="preserve">and a </w:t>
        </w:r>
        <w:r w:rsidR="00D23E9B" w:rsidRPr="00D93D74">
          <w:t>mix of strains that were persistent and those that were replaced over time</w:t>
        </w:r>
        <w:r w:rsidR="00D23E9B" w:rsidRPr="00D93D74">
          <w:rPr>
            <w:i/>
            <w:iCs/>
          </w:rPr>
          <w:t xml:space="preserve"> </w:t>
        </w:r>
        <w:r w:rsidR="00D23E9B">
          <w:t xml:space="preserve">for </w:t>
        </w:r>
      </w:ins>
      <w:ins w:id="57" w:author="Urša Miklavčič" w:date="2026-04-28T07:23:00Z" w16du:dateUtc="2026-04-28T05:23:00Z">
        <w:r w:rsidR="00D23E9B" w:rsidRPr="00D93D74">
          <w:rPr>
            <w:i/>
            <w:iCs/>
          </w:rPr>
          <w:t>Escherichia coli</w:t>
        </w:r>
        <w:r w:rsidR="00D23E9B" w:rsidRPr="00D93D74">
          <w:t xml:space="preserve">. In contrast, the spore-forming bacterium </w:t>
        </w:r>
        <w:r w:rsidR="00D23E9B" w:rsidRPr="00D93D74">
          <w:rPr>
            <w:i/>
            <w:iCs/>
          </w:rPr>
          <w:t>Turicibacter sanguinis</w:t>
        </w:r>
        <w:r w:rsidR="00D23E9B" w:rsidRPr="00D93D74">
          <w:t xml:space="preserve"> showed a pattern of serial colonisations by multiple distantly related strains</w:t>
        </w:r>
        <w:r w:rsidR="00D23E9B">
          <w:t xml:space="preserve"> </w:t>
        </w:r>
      </w:ins>
      <w:del w:id="58" w:author="Urša Miklavčič" w:date="2026-04-28T07:23:00Z" w16du:dateUtc="2026-04-28T05:23:00Z">
        <w:r w:rsidRPr="00D93D74" w:rsidDel="00D23E9B">
          <w:delText xml:space="preserve"> three non-spore-forming and one spore-forming species have been tracked over time in human gut </w:delText>
        </w:r>
        <w:r w:rsidRPr="00D93D74" w:rsidDel="00D23E9B">
          <w:fldChar w:fldCharType="begin"/>
        </w:r>
        <w:r w:rsidRPr="00D93D74" w:rsidDel="00D23E9B">
          <w:delInstrText xml:space="preserve"> ADDIN ZOTERO_ITEM CSL_CITATION {"citationID":"si64N3w3","properties":{"formattedCitation":"(Martinson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delInstrText>
        </w:r>
        <w:r w:rsidRPr="00D93D74" w:rsidDel="00D23E9B">
          <w:fldChar w:fldCharType="separate"/>
        </w:r>
        <w:r w:rsidRPr="00D93D74" w:rsidDel="00D23E9B">
          <w:delText>(Martinson et al., 2019; Poyet et al., 2019)</w:delText>
        </w:r>
        <w:r w:rsidRPr="00D93D74" w:rsidDel="00D23E9B">
          <w:fldChar w:fldCharType="end"/>
        </w:r>
        <w:r w:rsidRPr="00D93D74" w:rsidDel="00D23E9B">
          <w:delText xml:space="preserve"> The non-spore-forming strains of </w:delText>
        </w:r>
        <w:r w:rsidRPr="00D93D74" w:rsidDel="00D23E9B">
          <w:rPr>
            <w:i/>
            <w:iCs/>
          </w:rPr>
          <w:delText>Bacteroides vulgatus</w:delText>
        </w:r>
        <w:r w:rsidRPr="00D93D74" w:rsidDel="00D23E9B">
          <w:delText xml:space="preserve"> and </w:delText>
        </w:r>
        <w:r w:rsidRPr="00D93D74" w:rsidDel="00D23E9B">
          <w:rPr>
            <w:i/>
            <w:iCs/>
          </w:rPr>
          <w:delText>Bacteroides ovatus</w:delText>
        </w:r>
        <w:r w:rsidRPr="00D93D74" w:rsidDel="00D23E9B">
          <w:delText xml:space="preserve"> colonized an individual only once, while </w:delText>
        </w:r>
        <w:r w:rsidRPr="00D93D74" w:rsidDel="00D23E9B">
          <w:rPr>
            <w:i/>
            <w:iCs/>
          </w:rPr>
          <w:delText>Escherichia coli</w:delText>
        </w:r>
        <w:r w:rsidRPr="00D93D74" w:rsidDel="00D23E9B">
          <w:delText xml:space="preserve"> exhibited a mix of strains that were persistent and those that were replaced over time. In contrast, the spore-forming bacterium </w:delText>
        </w:r>
        <w:r w:rsidRPr="00D93D74" w:rsidDel="00D23E9B">
          <w:rPr>
            <w:i/>
            <w:iCs/>
          </w:rPr>
          <w:delText>Turicibacter sanguinis</w:delText>
        </w:r>
        <w:r w:rsidRPr="00D93D74" w:rsidDel="00D23E9B">
          <w:delText xml:space="preserve"> showed a pattern of serial colonisations by multiple distantly related strains </w:delText>
        </w:r>
      </w:del>
      <w:r w:rsidRPr="00D93D74">
        <w:fldChar w:fldCharType="begin"/>
      </w:r>
      <w:r w:rsidR="001C2A55">
        <w:instrText xml:space="preserve"> ADDIN ZOTERO_ITEM CSL_CITATION {"citationID":"4XY64oDa","properties":{"formattedCitation":"(Martinson et al., 2019; Poyet et al., 2019)","plainCitation":"(Martinson et al., 2019; Poyet et al., 2019)","noteIndex":0},"citationItems":[{"id":1129,"uris":["http://zotero.org/users/8873894/items/NLVU5PGV"],"itemData":{"id":1129,"type":"article-journal","abstract":"Longitudinal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(Martinson et al., 2019; Poyet et al., 2019)</w:t>
      </w:r>
      <w:r w:rsidRPr="00D93D74">
        <w:fldChar w:fldCharType="end"/>
      </w:r>
      <w:r w:rsidRPr="00D93D74">
        <w:t xml:space="preserve">. </w:t>
      </w:r>
    </w:p>
    <w:p w14:paraId="27C0B0F5" w14:textId="46EAA825" w:rsidR="001528FF" w:rsidRPr="00D93D74" w:rsidDel="00D23E9B" w:rsidRDefault="001528FF" w:rsidP="001528FF">
      <w:pPr>
        <w:rPr>
          <w:del w:id="59" w:author="Urša Miklavčič" w:date="2026-04-28T07:24:00Z" w16du:dateUtc="2026-04-28T05:24:00Z"/>
        </w:rPr>
      </w:pPr>
      <w:del w:id="60" w:author="Urša Miklavčič" w:date="2026-04-28T07:24:00Z" w16du:dateUtc="2026-04-28T05:24:00Z">
        <w:r w:rsidRPr="00D93D74" w:rsidDel="00D23E9B">
          <w:delText xml:space="preserve">Interestingly, evidence from a 24-day daily time series of an individuals’ 16S rRNA amplicon sequences showed </w:delText>
        </w:r>
        <w:commentRangeStart w:id="61"/>
        <w:r w:rsidRPr="00D93D74" w:rsidDel="00D23E9B">
          <w:delText xml:space="preserve">a higher correlation between </w:delText>
        </w:r>
        <w:r w:rsidR="003749A2" w:rsidRPr="00D93D74" w:rsidDel="00D23E9B">
          <w:delText>lysozyme</w:delText>
        </w:r>
        <w:r w:rsidRPr="00D93D74" w:rsidDel="00D23E9B">
          <w:delText xml:space="preserve"> resistant OTUs </w:delText>
        </w:r>
        <w:r w:rsidR="003749A2" w:rsidRPr="00D93D74" w:rsidDel="00D23E9B">
          <w:delText>through</w:delText>
        </w:r>
        <w:r w:rsidRPr="00D93D74" w:rsidDel="00D23E9B">
          <w:delText xml:space="preserve"> time than other OTUs through time in this person’s gut</w:delText>
        </w:r>
        <w:commentRangeEnd w:id="61"/>
        <w:r w:rsidRPr="00D93D74" w:rsidDel="00D23E9B">
          <w:rPr>
            <w:rStyle w:val="Pripombasklic"/>
            <w:sz w:val="24"/>
            <w:szCs w:val="22"/>
          </w:rPr>
          <w:commentReference w:id="61"/>
        </w:r>
        <w:r w:rsidRPr="00D93D74" w:rsidDel="00D23E9B">
          <w:delText xml:space="preserve">, supporting the hypothesis that spore-forming bacteria can establish a persistent community of dormant cells </w:delText>
        </w:r>
        <w:commentRangeStart w:id="62"/>
        <w:r w:rsidRPr="00D93D74" w:rsidDel="00D23E9B">
          <w:delText>in an either gut, soil or aquatic environment</w:delText>
        </w:r>
        <w:commentRangeEnd w:id="62"/>
        <w:r w:rsidRPr="00D93D74" w:rsidDel="00D23E9B">
          <w:rPr>
            <w:rStyle w:val="Pripombasklic"/>
            <w:sz w:val="24"/>
            <w:szCs w:val="22"/>
          </w:rPr>
          <w:commentReference w:id="62"/>
        </w:r>
        <w:r w:rsidRPr="00D93D74" w:rsidDel="00D23E9B">
          <w:delText xml:space="preserve"> termed ‘seed bank’ </w:delText>
        </w:r>
        <w:r w:rsidRPr="00D93D74" w:rsidDel="00D23E9B">
          <w:fldChar w:fldCharType="begin"/>
        </w:r>
        <w:r w:rsidR="00162CD1" w:rsidRPr="00D93D74" w:rsidDel="00D23E9B">
          <w:del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delInstrText>
        </w:r>
        <w:r w:rsidRPr="00D93D74" w:rsidDel="00D23E9B">
          <w:fldChar w:fldCharType="separate"/>
        </w:r>
        <w:r w:rsidR="00162CD1" w:rsidRPr="00D93D74" w:rsidDel="00D23E9B">
          <w:rPr>
            <w:rFonts w:cs="Times New Roman"/>
          </w:rPr>
          <w:delText>(Kearney et al., 2018; Lennon &amp; Jones, 2011)</w:delText>
        </w:r>
        <w:r w:rsidRPr="00D93D74" w:rsidDel="00D23E9B">
          <w:fldChar w:fldCharType="end"/>
        </w:r>
        <w:r w:rsidRPr="00D93D74" w:rsidDel="00D23E9B">
          <w:delText xml:space="preserve">. </w:delText>
        </w:r>
      </w:del>
    </w:p>
    <w:p w14:paraId="265160A0" w14:textId="29518ACD" w:rsidR="001528FF" w:rsidRDefault="001528FF" w:rsidP="001528FF">
      <w:pPr>
        <w:rPr>
          <w:ins w:id="63" w:author="Urša Miklavčič" w:date="2026-04-28T07:31:00Z" w16du:dateUtc="2026-04-28T05:31:00Z"/>
        </w:rPr>
      </w:pPr>
      <w:r w:rsidRPr="00D93D74">
        <w:t xml:space="preserve">Gut microbiota is also an important reservoir of antibiotic-resistant bacteria and antibiotic resistance genes (ARGs) </w:t>
      </w:r>
      <w:r w:rsidRPr="00D93D74">
        <w:fldChar w:fldCharType="begin"/>
      </w:r>
      <w:r w:rsidR="001C2A55">
        <w:instrText xml:space="preserve"> ADDIN ZOTERO_ITEM CSL_CITATION {"citationID":"UKcB3Zbo","properties":{"formattedCitation":"(X. Li et al., 2023)","plainCitation":"(X. Li et al., 2023)","noteIndex":0},"citationItems":[{"id":3429,"uris":["http://zotero.org/users/8873894/items/V5ETH9ZX"],"itemData":{"id":3429,"type":"article-journal","abstract":"Despite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 Especially important are non-spore</w:t>
      </w:r>
      <w:ins w:id="64" w:author="Urša Miklavčič" w:date="2026-04-28T07:30:00Z" w16du:dateUtc="2026-04-28T05:30:00Z">
        <w:r w:rsidR="00CE3464">
          <w:t>-</w:t>
        </w:r>
      </w:ins>
      <w:del w:id="65" w:author="Urša Miklavčič" w:date="2026-04-28T07:30:00Z" w16du:dateUtc="2026-04-28T05:30:00Z">
        <w:r w:rsidRPr="00D93D74" w:rsidDel="00CE3464">
          <w:delText xml:space="preserve"> </w:delText>
        </w:r>
      </w:del>
      <w:r w:rsidRPr="00D93D74">
        <w:t xml:space="preserve">forming gram negative bacteria, although other groups must not be overlooked. Antimicrobial resistance genes in the human gut resistome can be encoded in core genome, or acquired through horizontal gene transfer via plasmids, transposons and integrative elements </w:t>
      </w:r>
      <w:r w:rsidRPr="00D93D74">
        <w:fldChar w:fldCharType="begin"/>
      </w:r>
      <w:r w:rsidR="001C2A55">
        <w:instrText xml:space="preserve"> ADDIN ZOTERO_ITEM CSL_CITATION {"citationID":"cNlXR57p","properties":{"formattedCitation":"(Wuethrich et al., 2021)","plainCitation":"(Wuethrich et al., 2021)","noteIndex":0},"citationItems":[{"id":2245,"uris":["http://zotero.org/users/8873894/items/JFXZYL67"],"itemData":{"id":2245,"type":"article-journal","container-title":"Gut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Metagenomic surveys show that </w:t>
      </w:r>
      <w:r w:rsidRPr="00D93D74">
        <w:rPr>
          <w:i/>
          <w:iCs/>
        </w:rPr>
        <w:t>in silico</w:t>
      </w:r>
      <w:r w:rsidRPr="00D93D74">
        <w:t xml:space="preserve"> determined resistance to tetracyclines, bacitracin and glycopeptides (e.g. vancomycin) is particularly common in healthy individuals,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1C2A55">
        <w:instrText xml:space="preserve"> ADDIN ZOTERO_ITEM CSL_CITATION {"citationID":"VbW6GLSL","properties":{"formattedCitation":"(Lee et al., 2023)","plainCitation":"(Lee et al., 2023)","noteIndex":0},"citationItems":[{"id":3413,"uris":["http://zotero.org/users/8873894/items/GX8ISJXU"],"itemData":{"id":3413,"type":"article-journal","abstract":"The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Pr="00D93D74">
        <w:noBreakHyphen/>
        <w:t xml:space="preserve">specific analyses indicate that ARG abundance and diversity correlate with national antibiotic consumption patterns </w:t>
      </w:r>
      <w:r w:rsidRPr="00D93D74">
        <w:fldChar w:fldCharType="begin"/>
      </w:r>
      <w:r w:rsidR="001C2A55">
        <w:instrText xml:space="preserve"> ADDIN ZOTERO_ITEM CSL_CITATION {"citationID":"hP5onPGQ","properties":{"formattedCitation":"(Xia et al., 2019)","plainCitation":"(Xia et al., 2019)","noteIndex":0},"citationItems":[{"id":"WZezgJu1/96Voc0iS","uris":["http://zotero.org/users/8873894/items/5W5HXCIU"],"itemData":{"id":3489,"type":"article-journal","abstract":"The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w:t>
      </w:r>
    </w:p>
    <w:p w14:paraId="35AE0A6F" w14:textId="71F5B9F4" w:rsidR="00CE3464" w:rsidRPr="00D93D74" w:rsidDel="00CE3464" w:rsidRDefault="00CE3464" w:rsidP="001528FF">
      <w:pPr>
        <w:rPr>
          <w:del w:id="66" w:author="Urša Miklavčič" w:date="2026-04-28T07:35:00Z" w16du:dateUtc="2026-04-28T05:35:00Z"/>
        </w:rPr>
      </w:pPr>
    </w:p>
    <w:p w14:paraId="1AF4A7C1" w14:textId="77777777" w:rsidR="001528FF" w:rsidRPr="00D93D74" w:rsidRDefault="001528FF" w:rsidP="001528FF"/>
    <w:p w14:paraId="04FC2DD3" w14:textId="77777777" w:rsidR="00DA42F5" w:rsidRPr="00D93D74" w:rsidRDefault="00DA42F5" w:rsidP="00DA42F5"/>
    <w:p w14:paraId="5976A9EE" w14:textId="1FFF039B" w:rsidR="00DA42F5" w:rsidRDefault="00DA42F5">
      <w:pPr>
        <w:pStyle w:val="Naslov2"/>
        <w:numPr>
          <w:ilvl w:val="1"/>
          <w:numId w:val="3"/>
        </w:numPr>
        <w:rPr>
          <w:ins w:id="67" w:author="Urša Miklavčič" w:date="2026-04-28T07:36:00Z" w16du:dateUtc="2026-04-28T05:36:00Z"/>
        </w:rPr>
      </w:pPr>
      <w:bookmarkStart w:id="68" w:name="_Toc220932816"/>
      <w:bookmarkStart w:id="69" w:name="_Toc228252003"/>
      <w:commentRangeStart w:id="70"/>
      <w:r w:rsidRPr="00D93D74">
        <w:t>RESEARCH GOALS</w:t>
      </w:r>
      <w:bookmarkEnd w:id="68"/>
      <w:bookmarkEnd w:id="69"/>
      <w:commentRangeEnd w:id="70"/>
      <w:r w:rsidR="00BE1C36">
        <w:rPr>
          <w:rStyle w:val="Pripombasklic"/>
          <w:sz w:val="24"/>
          <w:szCs w:val="22"/>
        </w:rPr>
        <w:commentReference w:id="70"/>
      </w:r>
    </w:p>
    <w:p w14:paraId="0D27F254" w14:textId="4694F738" w:rsidR="00CE3464" w:rsidRPr="00CE3464" w:rsidRDefault="00CE3464" w:rsidP="00CE3464">
      <w:pPr>
        <w:pPrChange w:id="71" w:author="Urša Miklavčič" w:date="2026-04-28T07:36:00Z" w16du:dateUtc="2026-04-28T05:36:00Z">
          <w:pPr>
            <w:pStyle w:val="Naslov2"/>
            <w:numPr>
              <w:numId w:val="3"/>
            </w:numPr>
          </w:pPr>
        </w:pPrChange>
      </w:pPr>
      <w:ins w:id="72" w:author="Urša Miklavčič" w:date="2026-04-28T07:36:00Z" w16du:dateUtc="2026-04-28T05:36:00Z">
        <w:r>
          <w:t xml:space="preserve">This studies </w:t>
        </w:r>
        <w:r>
          <w:t>goal</w:t>
        </w:r>
        <w:r>
          <w:t xml:space="preserve"> was to investigate the whole community of spore-forming bacteria (sporobiota) in the human gut through extended period of time </w:t>
        </w:r>
      </w:ins>
      <w:ins w:id="73" w:author="Urša Miklavčič" w:date="2026-04-28T07:37:00Z" w16du:dateUtc="2026-04-28T05:37:00Z">
        <w:r>
          <w:t xml:space="preserve">in multiple individuals </w:t>
        </w:r>
      </w:ins>
      <w:ins w:id="74" w:author="Urša Miklavčič" w:date="2026-04-28T07:36:00Z" w16du:dateUtc="2026-04-28T05:36:00Z">
        <w:r>
          <w:t xml:space="preserve">using both culture-independent and culture-dependant methods. </w:t>
        </w:r>
      </w:ins>
      <w:ins w:id="75" w:author="Urša Miklavčič" w:date="2026-04-28T07:37:00Z" w16du:dateUtc="2026-04-28T05:37:00Z">
        <w:r>
          <w:t xml:space="preserve">This study was set out to be exploratory with an aim of </w:t>
        </w:r>
      </w:ins>
      <w:ins w:id="76" w:author="Urša Miklavčič" w:date="2026-04-28T07:38:00Z" w16du:dateUtc="2026-04-28T05:38:00Z">
        <w:r>
          <w:t>extending</w:t>
        </w:r>
      </w:ins>
      <w:ins w:id="77" w:author="Urša Miklavčič" w:date="2026-04-28T07:37:00Z" w16du:dateUtc="2026-04-28T05:37:00Z">
        <w:r>
          <w:t xml:space="preserve"> the knowledge of sporobiota. </w:t>
        </w:r>
      </w:ins>
      <w:ins w:id="78" w:author="Urša Miklavčič" w:date="2026-04-28T07:36:00Z" w16du:dateUtc="2026-04-28T05:36:00Z">
        <w:r>
          <w:t>To achieve this, we set ourselves three research goals</w:t>
        </w:r>
      </w:ins>
      <w:ins w:id="79" w:author="Urša Miklavčič" w:date="2026-04-28T07:38:00Z" w16du:dateUtc="2026-04-28T05:38:00Z">
        <w:r>
          <w:t xml:space="preserve">: </w:t>
        </w:r>
      </w:ins>
    </w:p>
    <w:p w14:paraId="0B9FFDF5" w14:textId="77777777" w:rsidR="001528FF" w:rsidRPr="00D93D74" w:rsidRDefault="001528FF" w:rsidP="001528FF">
      <w:pPr>
        <w:rPr>
          <w:b/>
          <w:bCs/>
        </w:rPr>
      </w:pPr>
      <w:r w:rsidRPr="00D93D74">
        <w:rPr>
          <w:b/>
          <w:bCs/>
        </w:rPr>
        <w:t>Goal 1. Description and comparison of the temporal stability of the gut microbiota and sporobiota in healthy individuals.</w:t>
      </w:r>
    </w:p>
    <w:p w14:paraId="13DE5C06" w14:textId="796B0A50" w:rsidR="001528FF" w:rsidRPr="00D93D74" w:rsidDel="00CE3464" w:rsidRDefault="001528FF" w:rsidP="001528FF">
      <w:pPr>
        <w:rPr>
          <w:del w:id="80" w:author="Urša Miklavčič" w:date="2026-04-28T07:36:00Z" w16du:dateUtc="2026-04-28T05:36:00Z"/>
        </w:rPr>
      </w:pPr>
      <w:del w:id="81" w:author="Urša Miklavčič" w:date="2026-04-28T07:36:00Z" w16du:dateUtc="2026-04-28T05:36:00Z">
        <w:r w:rsidRPr="00D93D74" w:rsidDel="00CE3464">
          <w:delText xml:space="preserve">The goal was accomplished by creating a collection of stool samples provided by nine healthy male individuals at 14-day intervals for six months. Sporobiota was analysed by two approaches. First by analysis of untreated stool samples and ethanol treated stool samples by both 16S rRNA amplicons and metagenomic sequencing. Second, sporobiota was determined in metagenomic dataset by presence of sporulation genes for each species with available genome.  </w:delText>
        </w:r>
      </w:del>
    </w:p>
    <w:p w14:paraId="547D189D" w14:textId="77777777" w:rsidR="001528FF" w:rsidRPr="00D93D74" w:rsidRDefault="001528FF" w:rsidP="001528FF">
      <w:pPr>
        <w:rPr>
          <w:b/>
          <w:bCs/>
        </w:rPr>
      </w:pPr>
      <w:r w:rsidRPr="00D93D74">
        <w:rPr>
          <w:b/>
          <w:bCs/>
        </w:rPr>
        <w:t xml:space="preserve">Goal 2. Individual-specific population genetics analysis on the isolated spore-forming species. </w:t>
      </w:r>
    </w:p>
    <w:p w14:paraId="5E260EFB" w14:textId="1C320365" w:rsidR="001528FF" w:rsidRPr="00D93D74" w:rsidDel="00CE3464" w:rsidRDefault="001528FF" w:rsidP="001528FF">
      <w:pPr>
        <w:rPr>
          <w:del w:id="82" w:author="Urša Miklavčič" w:date="2026-04-28T07:36:00Z" w16du:dateUtc="2026-04-28T05:36:00Z"/>
        </w:rPr>
      </w:pPr>
      <w:del w:id="83" w:author="Urša Miklavčič" w:date="2026-04-28T07:36:00Z" w16du:dateUtc="2026-04-28T05:36:00Z">
        <w:r w:rsidRPr="00D93D74" w:rsidDel="00CE3464">
          <w:delText xml:space="preserve">The goal was accomplished by isolation of 42 isolates of spore-forming species </w:delText>
        </w:r>
        <w:r w:rsidRPr="00D93D74" w:rsidDel="00CE3464">
          <w:rPr>
            <w:i/>
            <w:iCs/>
          </w:rPr>
          <w:delText>Clostridium saudiense</w:delText>
        </w:r>
        <w:r w:rsidRPr="00D93D74" w:rsidDel="00CE3464">
          <w:delText xml:space="preserve"> from three samples (spanning 3 months) of a single individual. Isolates were successfully sequenced and determined into 7 strains based on SNP analysis of core genome and pangenome. This strains significantly expanded the 38 previously published genomes of this species. We showed that the determined 7 strains were present throughout the duration of the study (six months), despite antibiotics consumed by this individual, based on metagenomic sequences obtained from all stool samples of this individual. </w:delText>
        </w:r>
      </w:del>
    </w:p>
    <w:p w14:paraId="7519AC1D" w14:textId="77777777" w:rsidR="001528FF" w:rsidRPr="00D93D74" w:rsidRDefault="001528FF" w:rsidP="001528FF">
      <w:pPr>
        <w:rPr>
          <w:b/>
          <w:bCs/>
        </w:rPr>
      </w:pPr>
      <w:r w:rsidRPr="00D93D74">
        <w:rPr>
          <w:b/>
          <w:bCs/>
        </w:rPr>
        <w:t>Goal 3. Monitoring longitudinal changes in the resistome depending on changes in the intestinal microbiota.</w:t>
      </w:r>
    </w:p>
    <w:p w14:paraId="74ECDB2E" w14:textId="1E6DC5BF" w:rsidR="001528FF" w:rsidRPr="00D93D74" w:rsidDel="00CE3464" w:rsidRDefault="001528FF" w:rsidP="001528FF">
      <w:pPr>
        <w:rPr>
          <w:del w:id="84" w:author="Urša Miklavčič" w:date="2026-04-28T07:36:00Z" w16du:dateUtc="2026-04-28T05:36:00Z"/>
        </w:rPr>
      </w:pPr>
      <w:del w:id="85" w:author="Urša Miklavčič" w:date="2026-04-28T07:36:00Z" w16du:dateUtc="2026-04-28T05:36:00Z">
        <w:r w:rsidRPr="00D93D74" w:rsidDel="00CE3464">
          <w:delText xml:space="preserve">The goal was accomplished by determining the abundance of antimicrobial resistance genes in sequences from all untreated stool samples using AMRfinder+. Analysis of correlation between reported events in individual’s life and changes in the resistome as well as changes in the gut microbiota diversity and abundance and resistome was performed. </w:delText>
        </w:r>
      </w:del>
    </w:p>
    <w:p w14:paraId="3612D68C" w14:textId="77777777" w:rsidR="001528FF" w:rsidRDefault="001528FF" w:rsidP="00CE3464">
      <w:pPr>
        <w:pPrChange w:id="86" w:author="Urša Miklavčič" w:date="2026-04-28T07:36:00Z" w16du:dateUtc="2026-04-28T05:36:00Z">
          <w:pPr>
            <w:spacing w:line="259" w:lineRule="auto"/>
            <w:jc w:val="left"/>
          </w:pPr>
        </w:pPrChange>
      </w:pPr>
    </w:p>
    <w:p w14:paraId="5DB26FB5" w14:textId="77777777" w:rsidR="003749A2" w:rsidRPr="00D93D74" w:rsidRDefault="003749A2" w:rsidP="001528FF">
      <w:pPr>
        <w:spacing w:line="259" w:lineRule="auto"/>
        <w:jc w:val="left"/>
      </w:pPr>
    </w:p>
    <w:p w14:paraId="1208CC54" w14:textId="209FDE00" w:rsidR="006C4143" w:rsidRPr="00D93D74" w:rsidRDefault="001528FF">
      <w:pPr>
        <w:pStyle w:val="Naslov2"/>
        <w:numPr>
          <w:ilvl w:val="1"/>
          <w:numId w:val="3"/>
        </w:numPr>
      </w:pPr>
      <w:bookmarkStart w:id="87" w:name="_Toc228252004"/>
      <w:r w:rsidRPr="00D93D74">
        <w:t>RESEARCH HYPOTHESES</w:t>
      </w:r>
      <w:bookmarkEnd w:id="87"/>
      <w:r w:rsidRPr="00D93D74">
        <w:t xml:space="preserve"> </w:t>
      </w:r>
    </w:p>
    <w:p w14:paraId="0C3CB7FB" w14:textId="5213A790" w:rsidR="001528FF" w:rsidRPr="00D93D74" w:rsidRDefault="006C4143" w:rsidP="00715F9C">
      <w:r w:rsidRPr="00D93D74">
        <w:t>W</w:t>
      </w:r>
      <w:r w:rsidR="001528FF" w:rsidRPr="00D93D74">
        <w:t xml:space="preserve">e set three </w:t>
      </w:r>
      <w:commentRangeStart w:id="88"/>
      <w:commentRangeStart w:id="89"/>
      <w:r w:rsidR="001528FF" w:rsidRPr="00D93D74">
        <w:t>hypotheses</w:t>
      </w:r>
      <w:commentRangeEnd w:id="88"/>
      <w:r w:rsidR="001528FF">
        <w:rPr>
          <w:rStyle w:val="Pripombasklic"/>
          <w:sz w:val="24"/>
          <w:szCs w:val="22"/>
        </w:rPr>
        <w:commentReference w:id="88"/>
      </w:r>
      <w:commentRangeEnd w:id="89"/>
      <w:r w:rsidR="001C2A55">
        <w:rPr>
          <w:rStyle w:val="Pripombasklic"/>
          <w:sz w:val="24"/>
          <w:szCs w:val="22"/>
        </w:rPr>
        <w:commentReference w:id="89"/>
      </w:r>
      <w:r w:rsidR="00497A2F">
        <w:t>:</w:t>
      </w:r>
    </w:p>
    <w:p w14:paraId="106ADD0C" w14:textId="77777777" w:rsidR="001528FF" w:rsidRPr="00D93D74" w:rsidRDefault="001528FF" w:rsidP="00715F9C">
      <w:pPr>
        <w:rPr>
          <w:b/>
          <w:bCs/>
        </w:rPr>
      </w:pPr>
      <w:r w:rsidRPr="00D93D74">
        <w:rPr>
          <w:b/>
          <w:bCs/>
        </w:rPr>
        <w:t xml:space="preserve">Hypothesis 1. </w:t>
      </w:r>
      <w:commentRangeStart w:id="90"/>
      <w:r w:rsidRPr="00D93D74">
        <w:rPr>
          <w:b/>
          <w:bCs/>
        </w:rPr>
        <w:t>The gut sporobiota of an individual will be less stable than the gut microbiota.</w:t>
      </w:r>
      <w:commentRangeEnd w:id="90"/>
      <w:r w:rsidRPr="00D93D74">
        <w:rPr>
          <w:rStyle w:val="Pripombasklic"/>
          <w:b/>
          <w:bCs/>
          <w:sz w:val="24"/>
          <w:szCs w:val="22"/>
        </w:rPr>
        <w:commentReference w:id="90"/>
      </w:r>
    </w:p>
    <w:p w14:paraId="270BF988" w14:textId="631488A1" w:rsidR="006A2FDE" w:rsidRDefault="00CE3464" w:rsidP="00715F9C">
      <w:pPr>
        <w:rPr>
          <w:ins w:id="91" w:author="Urša Miklavčič" w:date="2026-04-28T08:12:00Z" w16du:dateUtc="2026-04-28T06:12:00Z"/>
        </w:rPr>
      </w:pPr>
      <w:ins w:id="92" w:author="Urša Miklavčič" w:date="2026-04-28T07:39:00Z" w16du:dateUtc="2026-04-28T05:39:00Z">
        <w:r>
          <w:t>Previous work on lysozyme-resistant community in the human gut assessed stability in a single individual over 24-days and suggested this community is less variable than the rest of the microbiota</w:t>
        </w:r>
      </w:ins>
      <w:ins w:id="93" w:author="Urša Miklavčič" w:date="2026-04-28T08:11:00Z" w16du:dateUtc="2026-04-28T06:11:00Z">
        <w:r w:rsidR="006A2FDE">
          <w:t>, at the level of OTUs</w:t>
        </w:r>
      </w:ins>
      <w:ins w:id="94" w:author="Urša Miklavčič" w:date="2026-04-28T07:39:00Z" w16du:dateUtc="2026-04-28T05:39:00Z">
        <w:r>
          <w:t xml:space="preserve">. </w:t>
        </w:r>
      </w:ins>
      <w:ins w:id="95" w:author="Urša Miklavčič" w:date="2026-04-28T08:10:00Z" w16du:dateUtc="2026-04-28T06:10:00Z">
        <w:r w:rsidR="006A2FDE">
          <w:t>In contrast, longitudinal shotgun metagenomic st</w:t>
        </w:r>
      </w:ins>
      <w:ins w:id="96" w:author="Urša Miklavčič" w:date="2026-04-28T08:11:00Z" w16du:dateUtc="2026-04-28T06:11:00Z">
        <w:r w:rsidR="006A2FDE">
          <w:t xml:space="preserve">udies reported members from the </w:t>
        </w:r>
      </w:ins>
      <w:ins w:id="97" w:author="Urša Miklavčič" w:date="2026-04-28T07:07:00Z" w16du:dateUtc="2026-04-28T05:07:00Z">
        <w:r w:rsidR="00497A2F">
          <w:t xml:space="preserve">phylum </w:t>
        </w:r>
        <w:r w:rsidR="00497A2F">
          <w:rPr>
            <w:i/>
            <w:iCs/>
          </w:rPr>
          <w:t>Bacilllota</w:t>
        </w:r>
      </w:ins>
      <w:ins w:id="98" w:author="Urša Miklavčič" w:date="2026-04-28T08:11:00Z" w16du:dateUtc="2026-04-28T06:11:00Z">
        <w:r w:rsidR="006A2FDE">
          <w:t>, which include many spore</w:t>
        </w:r>
      </w:ins>
      <w:ins w:id="99" w:author="Urša Miklavčič" w:date="2026-04-28T08:12:00Z" w16du:dateUtc="2026-04-28T06:12:00Z">
        <w:r w:rsidR="006A2FDE">
          <w:t xml:space="preserve">-forming bacteria tend to fluctuate more over time than non-spore-forming species. </w:t>
        </w:r>
        <w:r w:rsidR="006A2FDE" w:rsidRPr="006A2FDE">
          <w:t>In addition, cultivation‑based studies have documented replacement events</w:t>
        </w:r>
      </w:ins>
      <w:ins w:id="100" w:author="Urša Miklavčič" w:date="2026-04-28T08:13:00Z" w16du:dateUtc="2026-04-28T06:13:00Z">
        <w:r w:rsidR="006A2FDE">
          <w:t xml:space="preserve"> </w:t>
        </w:r>
      </w:ins>
      <w:ins w:id="101" w:author="Urša Miklavčič" w:date="2026-04-28T08:12:00Z" w16du:dateUtc="2026-04-28T06:12:00Z">
        <w:r w:rsidR="006A2FDE" w:rsidRPr="006A2FDE">
          <w:t xml:space="preserve">for spore‑forming taxa such as </w:t>
        </w:r>
        <w:r w:rsidR="006A2FDE" w:rsidRPr="006A2FDE">
          <w:rPr>
            <w:i/>
            <w:iCs/>
            <w:rPrChange w:id="102" w:author="Urša Miklavčič" w:date="2026-04-28T08:13:00Z" w16du:dateUtc="2026-04-28T06:13:00Z">
              <w:rPr/>
            </w:rPrChange>
          </w:rPr>
          <w:t>T. sanguinis</w:t>
        </w:r>
        <w:r w:rsidR="006A2FDE" w:rsidRPr="006A2FDE">
          <w:t xml:space="preserve">, whereas non‑spore‑formers like </w:t>
        </w:r>
        <w:r w:rsidR="006A2FDE" w:rsidRPr="006A2FDE">
          <w:rPr>
            <w:i/>
            <w:iCs/>
            <w:rPrChange w:id="103" w:author="Urša Miklavčič" w:date="2026-04-28T08:13:00Z" w16du:dateUtc="2026-04-28T06:13:00Z">
              <w:rPr/>
            </w:rPrChange>
          </w:rPr>
          <w:t>B. vulgatus</w:t>
        </w:r>
        <w:r w:rsidR="006A2FDE" w:rsidRPr="006A2FDE">
          <w:t xml:space="preserve"> and </w:t>
        </w:r>
        <w:r w:rsidR="006A2FDE" w:rsidRPr="006A2FDE">
          <w:rPr>
            <w:i/>
            <w:iCs/>
            <w:rPrChange w:id="104" w:author="Urša Miklavčič" w:date="2026-04-28T08:13:00Z" w16du:dateUtc="2026-04-28T06:13:00Z">
              <w:rPr/>
            </w:rPrChange>
          </w:rPr>
          <w:t>B. ovatus</w:t>
        </w:r>
        <w:r w:rsidR="006A2FDE" w:rsidRPr="006A2FDE">
          <w:t xml:space="preserve"> persisted, pointing to a potentially more dynamic lifestyle of spore formers in the gut ecosystem.</w:t>
        </w:r>
      </w:ins>
      <w:ins w:id="105" w:author="Urša Miklavčič" w:date="2026-04-28T08:13:00Z" w16du:dateUtc="2026-04-28T06:13:00Z">
        <w:r w:rsidR="006A2FDE">
          <w:t xml:space="preserve"> </w:t>
        </w:r>
      </w:ins>
      <w:ins w:id="106" w:author="Urša Miklavčič" w:date="2026-04-28T08:15:00Z" w16du:dateUtc="2026-04-28T06:15:00Z">
        <w:r w:rsidR="006A2FDE" w:rsidRPr="006A2FDE">
          <w:t xml:space="preserve">We formulated this hypothesis before </w:t>
        </w:r>
        <w:r w:rsidR="006A2FDE">
          <w:t>coming across the ‘seed bank’ hypothesis</w:t>
        </w:r>
        <w:r w:rsidR="006A2FDE" w:rsidRPr="006A2FDE">
          <w:t>, which predicts that dormant forms such as endospores can increase persistence by buffering populations against environmental fluctuations.</w:t>
        </w:r>
        <w:r w:rsidR="006A2FDE" w:rsidRPr="006A2FDE">
          <w:t xml:space="preserve"> </w:t>
        </w:r>
      </w:ins>
      <w:ins w:id="107" w:author="Urša Miklavčič" w:date="2026-04-28T08:13:00Z" w16du:dateUtc="2026-04-28T06:13:00Z">
        <w:r w:rsidR="006A2FDE">
          <w:t xml:space="preserve">Based on this, we initially expected the sporobiota to show lower within host stability than the rest of microbiota. </w:t>
        </w:r>
      </w:ins>
    </w:p>
    <w:p w14:paraId="6EAEC60F" w14:textId="42CE9A1F" w:rsidR="001528FF" w:rsidRDefault="006A2FDE" w:rsidP="00715F9C">
      <w:pPr>
        <w:rPr>
          <w:ins w:id="108" w:author="Urša Miklavčič" w:date="2026-04-28T08:16:00Z" w16du:dateUtc="2026-04-28T06:16:00Z"/>
        </w:rPr>
      </w:pPr>
      <w:ins w:id="109" w:author="Urša Miklavčič" w:date="2026-04-28T08:14:00Z" w16du:dateUtc="2026-04-28T06:14:00Z">
        <w:r>
          <w:t xml:space="preserve">Contrary to our expectation, this hypothesis was not confirmed. </w:t>
        </w:r>
      </w:ins>
      <w:del w:id="110" w:author="Urša Miklavčič" w:date="2026-04-28T08:14:00Z" w16du:dateUtc="2026-04-28T06:14:00Z">
        <w:r w:rsidR="001528FF" w:rsidRPr="00D93D74" w:rsidDel="006A2FDE">
          <w:delText xml:space="preserve">The first hypothesis was not confirmed. </w:delText>
        </w:r>
      </w:del>
      <w:ins w:id="111" w:author="Urša Miklavčič" w:date="2026-04-28T08:14:00Z" w16du:dateUtc="2026-04-28T06:14:00Z">
        <w:r>
          <w:t xml:space="preserve">When we defined </w:t>
        </w:r>
      </w:ins>
      <w:del w:id="112" w:author="Urša Miklavčič" w:date="2026-04-28T08:14:00Z" w16du:dateUtc="2026-04-28T06:14:00Z">
        <w:r w:rsidR="001528FF" w:rsidRPr="00D93D74" w:rsidDel="006A2FDE">
          <w:delText>S</w:delText>
        </w:r>
      </w:del>
      <w:ins w:id="113" w:author="Urša Miklavčič" w:date="2026-04-28T08:14:00Z" w16du:dateUtc="2026-04-28T06:14:00Z">
        <w:r>
          <w:t>s</w:t>
        </w:r>
      </w:ins>
      <w:r w:rsidR="001528FF" w:rsidRPr="00D93D74">
        <w:t xml:space="preserve">tability </w:t>
      </w:r>
      <w:del w:id="114" w:author="Urša Miklavčič" w:date="2026-04-28T08:14:00Z" w16du:dateUtc="2026-04-28T06:14:00Z">
        <w:r w:rsidR="001528FF" w:rsidRPr="00D93D74" w:rsidDel="006A2FDE">
          <w:delText xml:space="preserve">here </w:delText>
        </w:r>
      </w:del>
      <w:del w:id="115" w:author="Urša Miklavčič" w:date="2026-04-28T07:12:00Z" w16du:dateUtc="2026-04-28T05:12:00Z">
        <w:r w:rsidR="001528FF" w:rsidRPr="00D93D74" w:rsidDel="00EB406B">
          <w:delText>is</w:delText>
        </w:r>
      </w:del>
      <w:del w:id="116" w:author="Urša Miklavčič" w:date="2026-04-28T08:14:00Z" w16du:dateUtc="2026-04-28T06:14:00Z">
        <w:r w:rsidR="001528FF" w:rsidRPr="00D93D74" w:rsidDel="006A2FDE">
          <w:delText xml:space="preserve"> defined </w:delText>
        </w:r>
      </w:del>
      <w:r w:rsidR="001528FF" w:rsidRPr="00D93D74">
        <w:t>as persistence of taxa within an individual</w:t>
      </w:r>
      <w:ins w:id="117" w:author="Urša Miklavčič" w:date="2026-04-28T08:14:00Z" w16du:dateUtc="2026-04-28T06:14:00Z">
        <w:r>
          <w:t>, we observed</w:t>
        </w:r>
      </w:ins>
      <w:del w:id="118" w:author="Urša Miklavčič" w:date="2026-04-28T08:14:00Z" w16du:dateUtc="2026-04-28T06:14:00Z">
        <w:r w:rsidR="001528FF" w:rsidRPr="00D93D74" w:rsidDel="006A2FDE">
          <w:delText>.</w:delText>
        </w:r>
      </w:del>
      <w:r w:rsidR="001528FF" w:rsidRPr="00D93D74">
        <w:t xml:space="preserve"> </w:t>
      </w:r>
      <w:ins w:id="119" w:author="Urša Miklavčič" w:date="2026-04-28T08:14:00Z" w16du:dateUtc="2026-04-28T06:14:00Z">
        <w:r>
          <w:t>t</w:t>
        </w:r>
      </w:ins>
      <w:del w:id="120" w:author="Urša Miklavčič" w:date="2026-04-28T08:14:00Z" w16du:dateUtc="2026-04-28T06:14:00Z">
        <w:r w:rsidR="001528FF" w:rsidRPr="00D93D74" w:rsidDel="006A2FDE">
          <w:delText>We showed t</w:delText>
        </w:r>
      </w:del>
      <w:r w:rsidR="001528FF" w:rsidRPr="00D93D74">
        <w:t xml:space="preserve">hat </w:t>
      </w:r>
      <w:del w:id="121" w:author="Urša Miklavčič" w:date="2026-04-28T08:15:00Z" w16du:dateUtc="2026-04-28T06:15:00Z">
        <w:r w:rsidR="001528FF" w:rsidRPr="00D93D74" w:rsidDel="006A2FDE">
          <w:delText xml:space="preserve">within an individual </w:delText>
        </w:r>
      </w:del>
      <w:r w:rsidR="001528FF" w:rsidRPr="00D93D74">
        <w:t>spore-forming bacteria, especially those also present in the ethanol-resistant community, persist for longer than other non-spore-forming or ethanol non-resistant bacteria</w:t>
      </w:r>
      <w:ins w:id="122" w:author="Urša Miklavčič" w:date="2026-04-28T08:15:00Z" w16du:dateUtc="2026-04-28T06:15:00Z">
        <w:r>
          <w:t xml:space="preserve"> </w:t>
        </w:r>
        <w:r w:rsidRPr="00D93D74">
          <w:t>within an individual</w:t>
        </w:r>
      </w:ins>
      <w:r w:rsidR="001528FF" w:rsidRPr="00D93D74">
        <w:t xml:space="preserve">. </w:t>
      </w:r>
    </w:p>
    <w:p w14:paraId="4459D51E" w14:textId="77777777" w:rsidR="006A2FDE" w:rsidRPr="00D93D74" w:rsidRDefault="006A2FDE" w:rsidP="00715F9C"/>
    <w:p w14:paraId="41F13033" w14:textId="77777777" w:rsidR="001528FF" w:rsidRPr="00D93D74" w:rsidDel="00EB406B" w:rsidRDefault="001528FF" w:rsidP="00715F9C">
      <w:pPr>
        <w:rPr>
          <w:del w:id="123" w:author="Urša Miklavčič" w:date="2026-04-28T07:13:00Z" w16du:dateUtc="2026-04-28T05:13:00Z"/>
          <w:b/>
          <w:bCs/>
        </w:rPr>
      </w:pPr>
      <w:r w:rsidRPr="00D93D74">
        <w:rPr>
          <w:b/>
          <w:bCs/>
        </w:rPr>
        <w:t>Hypothesis 2. Gut sporobiota and microbiota will change during the extreme event in most volunteers.</w:t>
      </w:r>
    </w:p>
    <w:p w14:paraId="22DF1EE8" w14:textId="5C2A5754" w:rsidR="00EB406B" w:rsidRDefault="00EB406B" w:rsidP="00715F9C">
      <w:pPr>
        <w:rPr>
          <w:ins w:id="124" w:author="Urša Miklavčič" w:date="2026-04-28T07:13:00Z" w16du:dateUtc="2026-04-28T05:13:00Z"/>
        </w:rPr>
      </w:pPr>
    </w:p>
    <w:p w14:paraId="6EFACDB4" w14:textId="77777777" w:rsidR="006A2FDE" w:rsidRDefault="006A2FDE" w:rsidP="00715F9C">
      <w:pPr>
        <w:rPr>
          <w:ins w:id="125" w:author="Urša Miklavčič" w:date="2026-04-28T08:16:00Z" w16du:dateUtc="2026-04-28T06:16:00Z"/>
        </w:rPr>
      </w:pPr>
      <w:ins w:id="126" w:author="Urša Miklavčič" w:date="2026-04-28T08:16:00Z" w16du:dateUtc="2026-04-28T06:16:00Z">
        <w:r w:rsidRPr="006A2FDE">
          <w:lastRenderedPageBreak/>
          <w:t>Short‑term perturbations such as antibiotics, gastrointestinal infections, or major dietary shifts are known to affect gut microbial community structure, often causing transient reductions in diversity and shifts in composition, with partial or full recovery over time. Because spore formation and other dormant states can enable survival under adverse conditions, we hypothesized that extreme events would particularly reshape the sporobiota, either by enriching dormant forms that survive the disturbance or by altering their relative contribution as the community returns toward its pre‑event state.</w:t>
        </w:r>
        <w:r w:rsidRPr="006A2FDE">
          <w:t xml:space="preserve"> </w:t>
        </w:r>
      </w:ins>
    </w:p>
    <w:p w14:paraId="640CEC8B" w14:textId="77777777" w:rsidR="006A2FDE" w:rsidRDefault="001528FF" w:rsidP="00715F9C">
      <w:pPr>
        <w:rPr>
          <w:ins w:id="127" w:author="Urša Miklavčič" w:date="2026-04-28T08:18:00Z" w16du:dateUtc="2026-04-28T06:18:00Z"/>
        </w:rPr>
      </w:pPr>
      <w:r w:rsidRPr="00D93D74">
        <w:t xml:space="preserve">Due to lack of extreme events reported in the six-months sampling period we cannot reject or confirm the second hypothesis with statistically significant results. However, observational evidence does suggest a change in community composition during antibiotic consumption, which is later returned to a previous state. Other </w:t>
      </w:r>
      <w:ins w:id="128" w:author="Urša Miklavčič" w:date="2026-04-28T08:17:00Z" w16du:dateUtc="2026-04-28T06:17:00Z">
        <w:r w:rsidR="006A2FDE">
          <w:t xml:space="preserve">self-reported </w:t>
        </w:r>
      </w:ins>
      <w:r w:rsidRPr="00D93D74">
        <w:t xml:space="preserve">events such as travel outside of country of residence, stress, migraines or visits to the dentist did not </w:t>
      </w:r>
      <w:del w:id="129" w:author="Urša Miklavčič" w:date="2026-04-28T08:18:00Z" w16du:dateUtc="2026-04-28T06:18:00Z">
        <w:r w:rsidRPr="00D93D74" w:rsidDel="006A2FDE">
          <w:delText xml:space="preserve">influence </w:delText>
        </w:r>
      </w:del>
      <w:ins w:id="130" w:author="Urša Miklavčič" w:date="2026-04-28T08:18:00Z" w16du:dateUtc="2026-04-28T06:18:00Z">
        <w:r w:rsidR="006A2FDE">
          <w:t>visibly affect the</w:t>
        </w:r>
        <w:r w:rsidR="006A2FDE" w:rsidRPr="00D93D74">
          <w:t xml:space="preserve"> </w:t>
        </w:r>
      </w:ins>
      <w:r w:rsidRPr="00D93D74">
        <w:t>relative abundance of gut</w:t>
      </w:r>
      <w:ins w:id="131" w:author="Urša Miklavčič" w:date="2026-04-28T08:17:00Z" w16du:dateUtc="2026-04-28T06:17:00Z">
        <w:r w:rsidR="006A2FDE">
          <w:t xml:space="preserve"> bacteria</w:t>
        </w:r>
      </w:ins>
      <w:ins w:id="132" w:author="Urša Miklavčič" w:date="2026-04-28T08:18:00Z" w16du:dateUtc="2026-04-28T06:18:00Z">
        <w:r w:rsidR="006A2FDE">
          <w:t xml:space="preserve"> in our dataset</w:t>
        </w:r>
      </w:ins>
      <w:del w:id="133" w:author="Urša Miklavčič" w:date="2026-04-28T08:17:00Z" w16du:dateUtc="2026-04-28T06:17:00Z">
        <w:r w:rsidRPr="00D93D74" w:rsidDel="006A2FDE">
          <w:delText xml:space="preserve"> bacteria, </w:delText>
        </w:r>
        <w:commentRangeStart w:id="134"/>
        <w:r w:rsidRPr="00D93D74" w:rsidDel="006A2FDE">
          <w:delText>viruses, archaea or eukaryotes</w:delText>
        </w:r>
      </w:del>
      <w:commentRangeEnd w:id="134"/>
      <w:r w:rsidRPr="00D93D74">
        <w:rPr>
          <w:rStyle w:val="Pripombasklic"/>
          <w:sz w:val="24"/>
          <w:szCs w:val="22"/>
        </w:rPr>
        <w:commentReference w:id="134"/>
      </w:r>
      <w:r w:rsidRPr="00D93D74">
        <w:t>.</w:t>
      </w:r>
    </w:p>
    <w:p w14:paraId="5CD2ED04" w14:textId="701B5807" w:rsidR="001528FF" w:rsidRPr="00D93D74" w:rsidRDefault="001528FF" w:rsidP="00715F9C">
      <w:r w:rsidRPr="00D93D74">
        <w:t xml:space="preserve"> </w:t>
      </w:r>
      <w:bookmarkStart w:id="135" w:name="_Toc220591351"/>
    </w:p>
    <w:p w14:paraId="22DBA026" w14:textId="77777777" w:rsidR="001528FF" w:rsidRDefault="001528FF" w:rsidP="00715F9C">
      <w:pPr>
        <w:rPr>
          <w:ins w:id="136" w:author="Urša Miklavčič" w:date="2026-04-28T08:18:00Z" w16du:dateUtc="2026-04-28T06:18:00Z"/>
          <w:b/>
          <w:bCs/>
        </w:rPr>
      </w:pPr>
      <w:r w:rsidRPr="00D93D74">
        <w:rPr>
          <w:b/>
          <w:bCs/>
        </w:rPr>
        <w:t>Hypothesis 3. Increased presence of resistance genes will correlate with reduced diversity of the microbiota.</w:t>
      </w:r>
      <w:bookmarkEnd w:id="135"/>
    </w:p>
    <w:p w14:paraId="16D60180" w14:textId="2D754395" w:rsidR="006A2FDE" w:rsidRPr="006A2FDE" w:rsidRDefault="006A2FDE" w:rsidP="00715F9C">
      <w:pPr>
        <w:rPr>
          <w:rPrChange w:id="137" w:author="Urša Miklavčič" w:date="2026-04-28T08:18:00Z" w16du:dateUtc="2026-04-28T06:18:00Z">
            <w:rPr>
              <w:b/>
              <w:bCs/>
            </w:rPr>
          </w:rPrChange>
        </w:rPr>
      </w:pPr>
      <w:ins w:id="138" w:author="Urša Miklavčič" w:date="2026-04-28T08:18:00Z" w16du:dateUtc="2026-04-28T06:18:00Z">
        <w:r w:rsidRPr="006A2FDE">
          <w:rPr>
            <w:rPrChange w:id="139" w:author="Urša Miklavčič" w:date="2026-04-28T08:18:00Z" w16du:dateUtc="2026-04-28T06:18:00Z">
              <w:rPr>
                <w:b/>
                <w:bCs/>
              </w:rPr>
            </w:rPrChange>
          </w:rPr>
          <w:t>Antibiotic exposure can reduce microbial diversity and select for resistant taxa, leading to communities with higher carriage of A</w:t>
        </w:r>
        <w:r>
          <w:t>RGs</w:t>
        </w:r>
        <w:r w:rsidRPr="006A2FDE">
          <w:rPr>
            <w:rPrChange w:id="140" w:author="Urša Miklavčič" w:date="2026-04-28T08:18:00Z" w16du:dateUtc="2026-04-28T06:18:00Z">
              <w:rPr>
                <w:b/>
                <w:bCs/>
              </w:rPr>
            </w:rPrChange>
          </w:rPr>
          <w:t xml:space="preserve"> but lower taxonomic </w:t>
        </w:r>
        <w:r>
          <w:t>diversity</w:t>
        </w:r>
        <w:r w:rsidRPr="006A2FDE">
          <w:rPr>
            <w:rPrChange w:id="141" w:author="Urša Miklavčič" w:date="2026-04-28T08:18:00Z" w16du:dateUtc="2026-04-28T06:18:00Z">
              <w:rPr>
                <w:b/>
                <w:bCs/>
              </w:rPr>
            </w:rPrChange>
          </w:rPr>
          <w:t xml:space="preserve">. We therefore expected that individuals or time points with a higher number or diversity of </w:t>
        </w:r>
      </w:ins>
      <w:ins w:id="142" w:author="Urša Miklavčič" w:date="2026-04-28T08:19:00Z" w16du:dateUtc="2026-04-28T06:19:00Z">
        <w:r>
          <w:t>ARGs</w:t>
        </w:r>
      </w:ins>
      <w:ins w:id="143" w:author="Urša Miklavčič" w:date="2026-04-28T08:18:00Z" w16du:dateUtc="2026-04-28T06:18:00Z">
        <w:r w:rsidRPr="006A2FDE">
          <w:rPr>
            <w:rPrChange w:id="144" w:author="Urša Miklavčič" w:date="2026-04-28T08:18:00Z" w16du:dateUtc="2026-04-28T06:18:00Z">
              <w:rPr>
                <w:b/>
                <w:bCs/>
              </w:rPr>
            </w:rPrChange>
          </w:rPr>
          <w:t xml:space="preserve"> would exhibit reduced microbiota diversity, reflecting past selection and competitive advantages of resistant strains.</w:t>
        </w:r>
      </w:ins>
    </w:p>
    <w:p w14:paraId="5E9BA8A5" w14:textId="4B013C77" w:rsidR="001528FF" w:rsidRPr="00D93D74" w:rsidDel="006A2FDE" w:rsidRDefault="001528FF" w:rsidP="00715F9C">
      <w:pPr>
        <w:rPr>
          <w:del w:id="145" w:author="Urša Miklavčič" w:date="2026-04-28T08:20:00Z" w16du:dateUtc="2026-04-28T06:20:00Z"/>
        </w:rPr>
      </w:pPr>
      <w:del w:id="146" w:author="Urša Miklavčič" w:date="2026-04-28T08:20:00Z" w16du:dateUtc="2026-04-28T06:20:00Z">
        <w:r w:rsidRPr="00D93D74" w:rsidDel="006A2FDE">
          <w:delText xml:space="preserve">The third hypothesis can </w:delText>
        </w:r>
      </w:del>
      <w:del w:id="147" w:author="Urša Miklavčič" w:date="2026-04-28T08:19:00Z" w16du:dateUtc="2026-04-28T06:19:00Z">
        <w:r w:rsidRPr="00D93D74" w:rsidDel="006A2FDE">
          <w:delText>be rejected</w:delText>
        </w:r>
      </w:del>
      <w:del w:id="148" w:author="Urša Miklavčič" w:date="2026-04-28T08:20:00Z" w16du:dateUtc="2026-04-28T06:20:00Z">
        <w:r w:rsidRPr="00D93D74" w:rsidDel="006A2FDE">
          <w:delText xml:space="preserve"> as we could not show any correlation between the number or diversity of antimicrobial resistance genes and changes in the diversity of the human gut microbiota. </w:delText>
        </w:r>
      </w:del>
    </w:p>
    <w:p w14:paraId="5575059F" w14:textId="02D53880" w:rsidR="006A2FDE" w:rsidRPr="006A2FDE" w:rsidRDefault="006A2FDE" w:rsidP="006A2FDE">
      <w:pPr>
        <w:rPr>
          <w:ins w:id="149" w:author="Urša Miklavčič" w:date="2026-04-28T08:20:00Z" w16du:dateUtc="2026-04-28T06:20:00Z"/>
          <w:rFonts w:cs="Times New Roman"/>
        </w:rPr>
      </w:pPr>
      <w:ins w:id="150" w:author="Urša Miklavčič" w:date="2026-04-28T08:20:00Z" w16du:dateUtc="2026-04-28T06:20:00Z">
        <w:r w:rsidRPr="00FA10E7">
          <w:rPr>
            <w:rFonts w:cs="Times New Roman"/>
          </w:rPr>
          <w:t xml:space="preserve">However, our data did not support this hypothesis, as no significant association was observed between bacterial diversity and ARG diversity over time. </w:t>
        </w:r>
        <w:r>
          <w:rPr>
            <w:rFonts w:cs="Times New Roman"/>
          </w:rPr>
          <w:t xml:space="preserve">Instead, we identified class-specific relationships between bacterial diversity and abundance of ARGs. A negative association was observed between bacterial diversity and abundance of ARGs in MLS class, and a positive association for the macrolide and trimethoprim classes. </w:t>
        </w:r>
        <w:r w:rsidRPr="00FA10E7">
          <w:rPr>
            <w:rFonts w:cs="Times New Roman"/>
          </w:rPr>
          <w:t>These findings suggest that reductions in bacterial abundance may selectively influence certain resistance classes, rather than driving a broad increase in resistome diversity.</w:t>
        </w:r>
      </w:ins>
    </w:p>
    <w:p w14:paraId="771A3A21" w14:textId="2DCCEB01" w:rsidR="00221812" w:rsidRPr="00D93D74" w:rsidRDefault="00221812">
      <w:pPr>
        <w:spacing w:line="259" w:lineRule="auto"/>
        <w:jc w:val="left"/>
      </w:pPr>
      <w:r w:rsidRPr="00D93D74">
        <w:br w:type="page"/>
      </w:r>
    </w:p>
    <w:p w14:paraId="0BBBAAF1" w14:textId="7DC9D124" w:rsidR="003D12EB" w:rsidRPr="00D93D74" w:rsidRDefault="00221812">
      <w:pPr>
        <w:pStyle w:val="Naslov1"/>
        <w:numPr>
          <w:ilvl w:val="0"/>
          <w:numId w:val="3"/>
        </w:numPr>
      </w:pPr>
      <w:bookmarkStart w:id="151" w:name="_Toc216099704"/>
      <w:bookmarkStart w:id="152" w:name="_Toc220932818"/>
      <w:bookmarkStart w:id="153" w:name="_Toc228252005"/>
      <w:r w:rsidRPr="00D93D74">
        <w:lastRenderedPageBreak/>
        <w:t>LITERATURE REVIEW</w:t>
      </w:r>
      <w:bookmarkEnd w:id="151"/>
      <w:bookmarkEnd w:id="152"/>
      <w:bookmarkEnd w:id="153"/>
    </w:p>
    <w:p w14:paraId="0A4CF049" w14:textId="755614F7" w:rsidR="00570D04" w:rsidRPr="00D93D74" w:rsidDel="001C2A55" w:rsidRDefault="00570D04" w:rsidP="00570D04">
      <w:pPr>
        <w:rPr>
          <w:del w:id="154" w:author="Urša Miklavčič" w:date="2026-04-28T11:20:00Z" w16du:dateUtc="2026-04-28T09:20:00Z"/>
        </w:rPr>
      </w:pPr>
    </w:p>
    <w:p w14:paraId="79AC3B52" w14:textId="77777777" w:rsidR="00DA42F5" w:rsidRPr="00D93D74" w:rsidRDefault="00DA42F5">
      <w:pPr>
        <w:pStyle w:val="Naslov2"/>
        <w:numPr>
          <w:ilvl w:val="1"/>
          <w:numId w:val="3"/>
        </w:numPr>
      </w:pPr>
      <w:bookmarkStart w:id="155" w:name="_Toc219124854"/>
      <w:bookmarkStart w:id="156" w:name="_Toc220932819"/>
      <w:bookmarkStart w:id="157" w:name="_Toc228252006"/>
      <w:r w:rsidRPr="00D93D74">
        <w:t>HUMAN GUT MICROBIOTA</w:t>
      </w:r>
      <w:bookmarkEnd w:id="155"/>
      <w:bookmarkEnd w:id="156"/>
      <w:bookmarkEnd w:id="157"/>
      <w:r w:rsidRPr="00D93D74">
        <w:t xml:space="preserve"> </w:t>
      </w:r>
    </w:p>
    <w:p w14:paraId="5F6CAAC1" w14:textId="3543B3D7" w:rsidR="00DA42F5" w:rsidRPr="00D93D74" w:rsidRDefault="00DA42F5" w:rsidP="00DA42F5">
      <w:r w:rsidRPr="00D93D74">
        <w:t xml:space="preserve">The intestine is the most densely colonized microbial habitat of the human body, harbouring trillions of bacteria along with viruses, archaea and eukaryotes that collectively form the gut microbiota </w:t>
      </w:r>
      <w:r w:rsidR="00012777" w:rsidRPr="00D93D74">
        <w:fldChar w:fldCharType="begin"/>
      </w:r>
      <w:r w:rsidR="001C2A55">
        <w:instrText xml:space="preserve"> ADDIN ZOTERO_ITEM CSL_CITATION {"citationID":"XAim9oL1","properties":{"formattedCitation":"(Heidrich et al., 2025)","plainCitation":"(Heidrich et al., 2025)","noteIndex":0},"citationItems":[{"id":3432,"uris":["http://zotero.org/users/8873894/items/U5A8LQ4G"],"itemData":{"id":3432,"type":"article-journal","abstract":"As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schema":"https://github.com/citation-style-language/schema/raw/master/csl-citation.json"} </w:instrText>
      </w:r>
      <w:r w:rsidR="00012777" w:rsidRPr="00D93D74">
        <w:fldChar w:fldCharType="separate"/>
      </w:r>
      <w:r w:rsidR="00012777" w:rsidRPr="00D93D74">
        <w:rPr>
          <w:rFonts w:cs="Times New Roman"/>
        </w:rPr>
        <w:t>(Heidrich et al., 2025)</w:t>
      </w:r>
      <w:r w:rsidR="00012777" w:rsidRPr="00D93D74">
        <w:fldChar w:fldCharType="end"/>
      </w:r>
      <w:r w:rsidR="00012777" w:rsidRPr="00D93D74">
        <w:t xml:space="preserve">. </w:t>
      </w:r>
      <w:bookmarkStart w:id="158" w:name="_Hlk227841390"/>
      <w:r w:rsidRPr="00D93D74">
        <w:t xml:space="preserve">Colonization begins at birth as infants acquire </w:t>
      </w:r>
      <w:r w:rsidR="00EF305C" w:rsidRPr="00D93D74">
        <w:t>microbes</w:t>
      </w:r>
      <w:r w:rsidRPr="00D93D74">
        <w:t xml:space="preserve"> from their caretakers, siblings, and the surrounding environment </w:t>
      </w:r>
      <w:r w:rsidR="00012777" w:rsidRPr="00D93D74">
        <w:fldChar w:fldCharType="begin"/>
      </w:r>
      <w:r w:rsidR="001C2A55">
        <w:instrText xml:space="preserve"> ADDIN ZOTERO_ITEM CSL_CITATION {"citationID":"SxzLvEvE","properties":{"formattedCitation":"(Martino et al., 2022)","plainCitation":"(Martino et al., 2022)","noteIndex":0},"citationItems":[{"id":1166,"uris":["http://zotero.org/users/8873894/items/VS3A8XM3"],"itemData":{"id":1166,"type":"article-journal","abstract":"Associations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012777" w:rsidRPr="00D93D74">
        <w:fldChar w:fldCharType="separate"/>
      </w:r>
      <w:r w:rsidR="00012777" w:rsidRPr="00D93D74">
        <w:rPr>
          <w:rFonts w:cs="Times New Roman"/>
        </w:rPr>
        <w:t>(Martino et al., 2022)</w:t>
      </w:r>
      <w:r w:rsidR="00012777" w:rsidRPr="00D93D74">
        <w:fldChar w:fldCharType="end"/>
      </w:r>
      <w:r w:rsidRPr="00D93D74">
        <w:t xml:space="preserve">. Community composition reflects a continuous balance between immigration, growth, competition and cooperation among these microorganisms, constrained by host physiology, lifestyle, and environment </w:t>
      </w:r>
      <w:r w:rsidR="00012777" w:rsidRPr="00D93D74">
        <w:fldChar w:fldCharType="begin"/>
      </w:r>
      <w:r w:rsidR="001C2A55">
        <w:instrText xml:space="preserve"> ADDIN ZOTERO_ITEM CSL_CITATION {"citationID":"M5o17Bh1","properties":{"formattedCitation":"(Amato &amp; Carmody, 2023)","plainCitation":"(Amato &amp; Carmody, 2023)","noteIndex":0},"citationItems":[{"id":3444,"uris":["http://zotero.org/users/8873894/items/4ZC2J47I"],"itemData":{"id":3444,"type":"article-journal","abstract":"Although microbiome science is relatively young, our knowledge of human-microbiome interactions is growing rapidly and has already begun to transform our understanding of human ecology and evolution. Here we summarize our current understanding of three-way interactions between the gut microbiota, human ecology, and human evolution. We review the factors driving microbiome variation within and between individuals and populations, as well as comparative data from nonhuman primates that allow a more direct examination of microbial relationships with host ecology and evolution. Collectively, these data sets can help illuminate generalizable principles governing host-microbiome-environment interactions, the processes contributing to bidirectional influences between the human gut microbiota and the human ecological niche, and past changes in the human microbiome that may have harbored consequences for human adaptation. Developing richer insight into host-microbiome-environment interactions will ultimately broaden our view of human biology and its response to changing environments.","container-title":"Annual Review of Anthropology","DOI":"10.1146/annurev-anthro-052721-085122","ISSN":"0084-6570, 1545-4290","issue":"Volume 52, 2023","language":"en","page":"295-311","publisher":"Annual Reviews","source":"www.annualreviews.org","title":"Gut Microbial Intersections with Human Ecology and Evolution","volume":"52","author":[{"family":"Amato","given":"Katherine R."},{"family":"Carmody","given":"Rachel N."}],"issued":{"date-parts":[["2023",10,23]]}}}],"schema":"https://github.com/citation-style-language/schema/raw/master/csl-citation.json"} </w:instrText>
      </w:r>
      <w:r w:rsidR="00012777" w:rsidRPr="00D93D74">
        <w:fldChar w:fldCharType="separate"/>
      </w:r>
      <w:r w:rsidR="00012777" w:rsidRPr="00D93D74">
        <w:rPr>
          <w:rFonts w:cs="Times New Roman"/>
        </w:rPr>
        <w:t>(Amato &amp; Carmody, 2023)</w:t>
      </w:r>
      <w:r w:rsidR="00012777" w:rsidRPr="00D93D74">
        <w:fldChar w:fldCharType="end"/>
      </w:r>
      <w:r w:rsidRPr="00D93D74">
        <w:t>.</w:t>
      </w:r>
    </w:p>
    <w:bookmarkEnd w:id="158"/>
    <w:p w14:paraId="19D0B2DF" w14:textId="77777777" w:rsidR="00570D04" w:rsidRPr="00D93D74" w:rsidRDefault="00570D04" w:rsidP="00DA42F5"/>
    <w:p w14:paraId="2741C87D" w14:textId="6BB3F903" w:rsidR="00FF1358" w:rsidRPr="00D93D74" w:rsidRDefault="00FF1358">
      <w:pPr>
        <w:pStyle w:val="Naslov3"/>
        <w:numPr>
          <w:ilvl w:val="2"/>
          <w:numId w:val="3"/>
        </w:numPr>
      </w:pPr>
      <w:bookmarkStart w:id="159" w:name="_Toc220932820"/>
      <w:bookmarkStart w:id="160" w:name="_Toc228252007"/>
      <w:commentRangeStart w:id="161"/>
      <w:r w:rsidRPr="00D93D74">
        <w:t>Human gut virome</w:t>
      </w:r>
      <w:bookmarkEnd w:id="159"/>
      <w:bookmarkEnd w:id="160"/>
      <w:r w:rsidRPr="00D93D74">
        <w:t xml:space="preserve"> </w:t>
      </w:r>
      <w:commentRangeEnd w:id="161"/>
      <w:r w:rsidR="001C2A55" w:rsidRPr="00D93D74">
        <w:rPr>
          <w:rStyle w:val="Pripombasklic"/>
          <w:sz w:val="24"/>
          <w:szCs w:val="22"/>
        </w:rPr>
        <w:commentReference w:id="161"/>
      </w:r>
    </w:p>
    <w:p w14:paraId="1FA235AE" w14:textId="11CDCEFB" w:rsidR="00FF1358" w:rsidRPr="00D93D74" w:rsidDel="00207CEB" w:rsidRDefault="00012777" w:rsidP="00FF1358">
      <w:pPr>
        <w:rPr>
          <w:del w:id="162" w:author="Urša Miklavčič" w:date="2026-04-28T18:12:00Z" w16du:dateUtc="2026-04-28T16:12:00Z"/>
        </w:rPr>
      </w:pPr>
      <w:r w:rsidRPr="00D93D74">
        <w:t>The h</w:t>
      </w:r>
      <w:r w:rsidR="00FF1358" w:rsidRPr="00D93D74">
        <w:t>uman gut virome is highly diverse and stable</w:t>
      </w:r>
      <w:r w:rsidRPr="00D93D74">
        <w:t xml:space="preserve">, forming </w:t>
      </w:r>
      <w:r w:rsidR="00FF1358" w:rsidRPr="00D93D74">
        <w:t xml:space="preserve">a resilient community </w:t>
      </w:r>
      <w:r w:rsidRPr="00D93D74">
        <w:t>that influences</w:t>
      </w:r>
      <w:r w:rsidR="00FF1358" w:rsidRPr="00D93D74">
        <w:t xml:space="preserve"> host health. Each person has a highly individual gut virome</w:t>
      </w:r>
      <w:r w:rsidRPr="00D93D74">
        <w:t>, which remains</w:t>
      </w:r>
      <w:r w:rsidR="00FF1358" w:rsidRPr="00D93D74">
        <w:t xml:space="preserve"> consisten</w:t>
      </w:r>
      <w:r w:rsidRPr="00D93D74">
        <w:t>t</w:t>
      </w:r>
      <w:r w:rsidR="00FF1358" w:rsidRPr="00D93D74">
        <w:t xml:space="preserve"> over time even when bacterial populations fluctuate </w:t>
      </w:r>
      <w:r w:rsidR="00FF1358" w:rsidRPr="00D93D74">
        <w:fldChar w:fldCharType="begin"/>
      </w:r>
      <w:r w:rsidR="001C2A55">
        <w:instrText xml:space="preserve"> ADDIN ZOTERO_ITEM CSL_CITATION {"citationID":"I6AikUUt","properties":{"formattedCitation":"(Chica Cardenas et al., 2026)","plainCitation":"(Chica Cardenas et al., 2026)","noteIndex":0},"citationItems":[{"id":3412,"uris":["http://zotero.org/users/8873894/items/KU9JFP9L"],"itemData":{"id":3412,"type":"article-journal","abstract":"The gut virome is a complex ecosystem characterized by the interplay of diverse viral entities, predominantly bacteriophages and eukaryotic viruses. The gut virome has a critical role in human health by shaping microbial community profiles, modulating host immunity and influencing metabolic processes. Different viral metagenomics approaches have revealed the remarkable diversity of the gut virome, showing individual-specific patterns that evolve over time and adapt dynamically to environmental factors. Perturbations in this community are increasingly associated with chronic immune and inflammatory conditions, metabolic disorders and neurological conditions, highlighting its potential as a diagnostic biomarker and therapeutic target. The early-life gut virome is particularly influential in establishing lifelong health trajectories through its interactions with diet, immune pathways and others, thereby contributing to inflammatory and metabolic regulation. This Review synthesizes current knowledge of gut virome composition, dynamics and functional relevance, critically evaluating evidence distinguishing causal from correlative roles in disease pathogenesis. The interactions of the virome with other microbiome components and host immunity are examined, and emerging translational applications, including phage therapy and biomarker development, are discussed. Integrating these insights while acknowledging methodological challenges provides a comprehensive framework for understanding the complex roles of the gut virome in health and disease.","container-title":"Nature Reviews Gastroenterology &amp; Hepatology","DOI":"10.1038/s41575-025-01134-z","ISSN":"1759-5053","issue":"2","journalAbbreviation":"Nat Rev Gastroenterol Hepatol","language":"en","license":"2025 Springer Nature Limited","page":"126-144","publisher":"Nature Publishing Group","source":"www.nature.com","title":"Gut virome dynamics: from commensal to critical player in health and disease","title-short":"Gut virome dynamics","volume":"23","author":[{"family":"Chica Cardenas","given":"Luis A."},{"family":"Leonard","given":"Maureen M."},{"family":"Baldridge","given":"Megan T."},{"family":"Handley","given":"Scott A."}],"issued":{"date-parts":[["2026",2]]}}}],"schema":"https://github.com/citation-style-language/schema/raw/master/csl-citation.json"} </w:instrText>
      </w:r>
      <w:r w:rsidR="00FF1358" w:rsidRPr="00D93D74">
        <w:fldChar w:fldCharType="separate"/>
      </w:r>
      <w:r w:rsidR="00FF1358" w:rsidRPr="00D93D74">
        <w:rPr>
          <w:rFonts w:cs="Times New Roman"/>
        </w:rPr>
        <w:t>(Chica Cardenas et al., 2026)</w:t>
      </w:r>
      <w:r w:rsidR="00FF1358" w:rsidRPr="00D93D74">
        <w:fldChar w:fldCharType="end"/>
      </w:r>
      <w:r w:rsidR="00FF1358" w:rsidRPr="00D93D74">
        <w:t xml:space="preserve">. </w:t>
      </w:r>
    </w:p>
    <w:p w14:paraId="1F1FE699" w14:textId="0F26A729" w:rsidR="00AE4685" w:rsidRPr="00D93D74" w:rsidRDefault="00012777" w:rsidP="00FF1358">
      <w:r w:rsidRPr="00D93D74">
        <w:t>The v</w:t>
      </w:r>
      <w:r w:rsidR="00FF1358" w:rsidRPr="00D93D74">
        <w:t>iral community includes bacteriophages</w:t>
      </w:r>
      <w:r w:rsidRPr="00D93D74">
        <w:t>,</w:t>
      </w:r>
      <w:r w:rsidR="00FF1358" w:rsidRPr="00D93D74">
        <w:t xml:space="preserve"> both free-living and prophages, eukaryotic viruses, archaeal viruses</w:t>
      </w:r>
      <w:r w:rsidRPr="00D93D74">
        <w:t>,</w:t>
      </w:r>
      <w:r w:rsidR="00FF1358" w:rsidRPr="00D93D74">
        <w:t xml:space="preserve"> and even virus-like entities such as obelisks </w:t>
      </w:r>
      <w:r w:rsidR="00FF1358" w:rsidRPr="00D93D74">
        <w:fldChar w:fldCharType="begin"/>
      </w:r>
      <w:r w:rsidR="001C2A55">
        <w:instrText xml:space="preserve"> ADDIN ZOTERO_ITEM CSL_CITATION {"citationID":"dMdDJuCV","properties":{"formattedCitation":"(Zheludev et al., 2024)","plainCitation":"(Zheludev et al., 2024)","noteIndex":0},"citationItems":[{"id":3418,"uris":["http://zotero.org/users/8873894/items/M75G6AHJ"],"itemData":{"id":3418,"type":"article-journal","abstract":"Here, we describe the \"Obelisks,\" a previously unrecognised class of viroid-like elements that we first identified in human gut metatranscriptomic data. \"Obelisks\" share several properties: (i) apparently circular RNA ~1kb genome assemblies, (ii) predicted rod-like secondary structures encompassing the entire genome, and (iii) open reading frames coding for a novel protein superfamily, which we call the \"Oblins\". We find that Obelisks form their own distinct phylogenetic group with no detectable sequence or structural similarity to known biological agents. Further, Obelisks are prevalent in tested human microbiome metatranscriptomes with representatives detected in ~7% of analysed stool metatranscriptomes (29/440) and in ~50% of analysed oral metatranscriptomes (17/32). Obelisk compositions appear to differ between the anatomic sites and are capable of persisting in individuals, with continued presence over &gt;300 days observed in one case. Large scale searches identified 29,959 Obelisks (clustered at 90% nucleotide identity), with examples from all seven continents and in diverse ecological niches. From this search, a subset of Obelisks are identified to code for Obelisk-specific variants of the hammerhead type-III self-cleaving ribozyme. Lastly, we identified one case of a bacterial species (Streptococcus sanguinis) in which a subset of defined laboratory strains harboured a specific Obelisk RNA population. As such, Obelisks comprise a class of diverse RNAs that have colonised, and gone unnoticed in, human, and global microbiomes.","container-title":"bioRxiv: The Preprint Server for Biology","DOI":"10.1101/2024.01.20.576352","ISSN":"2692-8205","journalAbbreviation":"bioRxiv","language":"eng","page":"2024.01.20.576352","PMID":"38293115","PMCID":"PMC10827157","source":"PubMed","title":"Viroid-like colonists of human microbiomes","author":[{"family":"Zheludev","given":"Ivan N."},{"family":"Edgar","given":"Robert C."},{"family":"Lopez-Galiano","given":"Maria Jose"},{"family":"Peña","given":"Marcos","non-dropping-particle":"de la"},{"family":"Babaian","given":"Artem"},{"family":"Bhatt","given":"Ami S."},{"family":"Fire","given":"Andrew Z."}],"issued":{"date-parts":[["2024",1,21]]}}}],"schema":"https://github.com/citation-style-language/schema/raw/master/csl-citation.json"} </w:instrText>
      </w:r>
      <w:r w:rsidR="00FF1358" w:rsidRPr="00D93D74">
        <w:fldChar w:fldCharType="separate"/>
      </w:r>
      <w:r w:rsidR="00FF1358" w:rsidRPr="00D93D74">
        <w:rPr>
          <w:rFonts w:cs="Times New Roman"/>
        </w:rPr>
        <w:t>(Zheludev et al., 2024)</w:t>
      </w:r>
      <w:r w:rsidR="00FF1358" w:rsidRPr="00D93D74">
        <w:fldChar w:fldCharType="end"/>
      </w:r>
      <w:r w:rsidR="00FF1358" w:rsidRPr="00D93D74">
        <w:t xml:space="preserve">. The concentration of viral particles in the human gut is estimated </w:t>
      </w:r>
      <w:ins w:id="163" w:author="Urša Miklavčič" w:date="2026-04-28T18:12:00Z" w16du:dateUtc="2026-04-28T16:12:00Z">
        <w:r w:rsidR="00207CEB">
          <w:t xml:space="preserve">to </w:t>
        </w:r>
      </w:ins>
      <w:r w:rsidRPr="00D93D74">
        <w:t>range</w:t>
      </w:r>
      <w:r w:rsidR="00FF1358" w:rsidRPr="00D93D74">
        <w:t xml:space="preserve"> from 10</w:t>
      </w:r>
      <w:r w:rsidR="00FF1358" w:rsidRPr="00D93D74">
        <w:rPr>
          <w:vertAlign w:val="superscript"/>
        </w:rPr>
        <w:t>9</w:t>
      </w:r>
      <w:r w:rsidR="00FF1358" w:rsidRPr="00D93D74">
        <w:t xml:space="preserve"> to 10</w:t>
      </w:r>
      <w:r w:rsidR="00FF1358" w:rsidRPr="00D93D74">
        <w:rPr>
          <w:vertAlign w:val="superscript"/>
        </w:rPr>
        <w:t>10</w:t>
      </w:r>
      <w:r w:rsidR="00FF1358" w:rsidRPr="00D93D74">
        <w:t xml:space="preserve"> virus-like particles per gram of stool sample</w:t>
      </w:r>
      <w:r w:rsidRPr="00D93D74">
        <w:t xml:space="preserve"> </w:t>
      </w:r>
      <w:r w:rsidR="00FF1358" w:rsidRPr="00D93D74">
        <w:fldChar w:fldCharType="begin"/>
      </w:r>
      <w:r w:rsidR="001C2A55">
        <w:instrText xml:space="preserve"> ADDIN ZOTERO_ITEM CSL_CITATION {"citationID":"4Cf9wH7d","properties":{"formattedCitation":"(Hoyles et al., 2014)","plainCitation":"(Hoyles et al., 2014)","noteIndex":0},"citationItems":[{"id":3330,"uris":["http://zotero.org/users/8873894/items/7SJAR364"],"itemData":{"id":3330,"type":"article-journal","abstract":"This work represents an investigation into the presence, abundance and diversity of virus-like particles (VLPs) associated with human faecal and caecal samples. Various methodologies for the recovery of VLPs from faeces were tested and optimized, including successful down-stream processing of such samples for the purpose of an in-depth electron microscopic analysis, pulsed-field gel electrophoresis and efficient DNA recovery. The applicability of the developed VLP characterization method beyond the use of faecal samples was then verified using samples obtained from human caecal fluid.","container-title":"Research in Microbiology","DOI":"10.1016/j.resmic.2014.10.006","ISSN":"0923-2508","issue":"10","journalAbbreviation":"Research in Microbiology","page":"803-812","source":"ScienceDirect","title":"Characterization of virus-like particles associated with the human faecal and caecal microbiota","volume":"165","author":[{"family":"Hoyles","given":"Lesley"},{"family":"McCartney","given":"Anne L."},{"family":"Neve","given":"Horst"},{"family":"Gibson","given":"Glenn R."},{"family":"Sanderson","given":"Jeremy D."},{"family":"Heller","given":"Knut J."},{"family":"Sinderen","given":"Douwe","non-dropping-particle":"van"}],"issued":{"date-parts":[["2014",12,1]]}}}],"schema":"https://github.com/citation-style-language/schema/raw/master/csl-citation.json"} </w:instrText>
      </w:r>
      <w:r w:rsidR="00FF1358" w:rsidRPr="00D93D74">
        <w:fldChar w:fldCharType="separate"/>
      </w:r>
      <w:r w:rsidR="00FF1358" w:rsidRPr="00D93D74">
        <w:rPr>
          <w:rFonts w:cs="Times New Roman"/>
        </w:rPr>
        <w:t>(Hoyles et al., 2014)</w:t>
      </w:r>
      <w:r w:rsidR="00FF1358" w:rsidRPr="00D93D74">
        <w:fldChar w:fldCharType="end"/>
      </w:r>
      <w:r w:rsidR="00FF1358" w:rsidRPr="00D93D74">
        <w:t xml:space="preserve">. The gut viral community is primarily composed of DNA bacteriophages, </w:t>
      </w:r>
      <w:r w:rsidRPr="00D93D74">
        <w:t xml:space="preserve">such as </w:t>
      </w:r>
      <w:r w:rsidR="00FF1358" w:rsidRPr="00D93D74">
        <w:t xml:space="preserve">dsDNA phages from the order </w:t>
      </w:r>
      <w:r w:rsidR="00FF1358" w:rsidRPr="00DA5B9B">
        <w:rPr>
          <w:i/>
          <w:iCs/>
          <w:rPrChange w:id="164" w:author="Urša Miklavčič" w:date="2026-04-28T08:22:00Z" w16du:dateUtc="2026-04-28T06:22:00Z">
            <w:rPr/>
          </w:rPrChange>
        </w:rPr>
        <w:t>Caudovirales</w:t>
      </w:r>
      <w:r w:rsidR="00AE4685" w:rsidRPr="00D93D74">
        <w:t xml:space="preserve"> and ssDNA phages from the </w:t>
      </w:r>
      <w:r w:rsidR="00AE4685" w:rsidRPr="00DA5B9B">
        <w:rPr>
          <w:i/>
          <w:iCs/>
          <w:rPrChange w:id="165" w:author="Urša Miklavčič" w:date="2026-04-28T08:22:00Z" w16du:dateUtc="2026-04-28T06:22:00Z">
            <w:rPr/>
          </w:rPrChange>
        </w:rPr>
        <w:t>Microviridae</w:t>
      </w:r>
      <w:r w:rsidR="00AE4685" w:rsidRPr="00D93D74">
        <w:t xml:space="preserve"> and </w:t>
      </w:r>
      <w:r w:rsidR="00AE4685" w:rsidRPr="00DA5B9B">
        <w:rPr>
          <w:i/>
          <w:iCs/>
          <w:rPrChange w:id="166" w:author="Urša Miklavčič" w:date="2026-04-28T08:22:00Z" w16du:dateUtc="2026-04-28T06:22:00Z">
            <w:rPr/>
          </w:rPrChange>
        </w:rPr>
        <w:t>Inoviridae</w:t>
      </w:r>
      <w:r w:rsidR="00AE4685" w:rsidRPr="00D93D74">
        <w:t xml:space="preserve"> families. Despite </w:t>
      </w:r>
      <w:r w:rsidRPr="00D93D74">
        <w:t xml:space="preserve">significant </w:t>
      </w:r>
      <w:r w:rsidR="0057379D" w:rsidRPr="00D93D74">
        <w:t>advances</w:t>
      </w:r>
      <w:r w:rsidR="00AE4685" w:rsidRPr="00D93D74">
        <w:t xml:space="preserve"> in </w:t>
      </w:r>
      <w:r w:rsidRPr="00D93D74">
        <w:t xml:space="preserve">viral metagenomics in </w:t>
      </w:r>
      <w:r w:rsidR="00AE4685" w:rsidRPr="00D93D74">
        <w:t xml:space="preserve">recent years, most phage </w:t>
      </w:r>
      <w:r w:rsidRPr="00D93D74">
        <w:t>sequences</w:t>
      </w:r>
      <w:r w:rsidR="00AE4685" w:rsidRPr="00D93D74">
        <w:t xml:space="preserve"> recovered from the gut virome remain </w:t>
      </w:r>
      <w:r w:rsidR="0057379D" w:rsidRPr="00D93D74">
        <w:t>unclassified</w:t>
      </w:r>
      <w:r w:rsidR="00AE4685" w:rsidRPr="00D93D74">
        <w:t xml:space="preserve"> as ‘viral dark matter’. </w:t>
      </w:r>
    </w:p>
    <w:p w14:paraId="47770179" w14:textId="1A3C1748" w:rsidR="00FF1358" w:rsidRPr="00D93D74" w:rsidRDefault="00012777" w:rsidP="00FF1358">
      <w:r w:rsidRPr="00D93D74">
        <w:t>Eukaryotic viruses are l</w:t>
      </w:r>
      <w:r w:rsidR="00AE4685" w:rsidRPr="00D93D74">
        <w:t>ess abundant than bacteriophages</w:t>
      </w:r>
      <w:r w:rsidR="0041313D" w:rsidRPr="00D93D74">
        <w:t xml:space="preserve"> representing around 2% of </w:t>
      </w:r>
      <w:r w:rsidRPr="00D93D74">
        <w:t xml:space="preserve">the </w:t>
      </w:r>
      <w:r w:rsidR="0041313D" w:rsidRPr="00D93D74">
        <w:t xml:space="preserve">total relative abundance in the human gut. These </w:t>
      </w:r>
      <w:r w:rsidRPr="00D93D74">
        <w:t>include</w:t>
      </w:r>
      <w:r w:rsidR="00AE4685" w:rsidRPr="00D93D74">
        <w:t xml:space="preserve"> ssDNA </w:t>
      </w:r>
      <w:r w:rsidR="00AE4685" w:rsidRPr="00DA5B9B">
        <w:rPr>
          <w:i/>
          <w:iCs/>
          <w:rPrChange w:id="167" w:author="Urša Miklavčič" w:date="2026-04-28T08:22:00Z" w16du:dateUtc="2026-04-28T06:22:00Z">
            <w:rPr/>
          </w:rPrChange>
        </w:rPr>
        <w:t>Circoviridae</w:t>
      </w:r>
      <w:r w:rsidR="00AE4685" w:rsidRPr="00D93D74">
        <w:t xml:space="preserve">, dsDNA </w:t>
      </w:r>
      <w:r w:rsidR="00AE4685" w:rsidRPr="00DA5B9B">
        <w:rPr>
          <w:i/>
          <w:iCs/>
          <w:rPrChange w:id="168" w:author="Urša Miklavčič" w:date="2026-04-28T08:22:00Z" w16du:dateUtc="2026-04-28T06:22:00Z">
            <w:rPr/>
          </w:rPrChange>
        </w:rPr>
        <w:t>Herpe</w:t>
      </w:r>
      <w:r w:rsidRPr="00DA5B9B">
        <w:rPr>
          <w:i/>
          <w:iCs/>
          <w:rPrChange w:id="169" w:author="Urša Miklavčič" w:date="2026-04-28T08:22:00Z" w16du:dateUtc="2026-04-28T06:22:00Z">
            <w:rPr/>
          </w:rPrChange>
        </w:rPr>
        <w:t>s</w:t>
      </w:r>
      <w:r w:rsidR="00AE4685" w:rsidRPr="00DA5B9B">
        <w:rPr>
          <w:i/>
          <w:iCs/>
          <w:rPrChange w:id="170" w:author="Urša Miklavčič" w:date="2026-04-28T08:22:00Z" w16du:dateUtc="2026-04-28T06:22:00Z">
            <w:rPr/>
          </w:rPrChange>
        </w:rPr>
        <w:t>viridae</w:t>
      </w:r>
      <w:r w:rsidR="00AE4685" w:rsidRPr="00D93D74">
        <w:t xml:space="preserve"> and RNA viruses from families such as</w:t>
      </w:r>
      <w:r w:rsidR="00FF1358" w:rsidRPr="00D93D74">
        <w:t xml:space="preserve"> </w:t>
      </w:r>
      <w:r w:rsidR="00AE4685" w:rsidRPr="00DA5B9B">
        <w:rPr>
          <w:i/>
          <w:iCs/>
          <w:rPrChange w:id="171" w:author="Urša Miklavčič" w:date="2026-04-28T08:22:00Z" w16du:dateUtc="2026-04-28T06:22:00Z">
            <w:rPr/>
          </w:rPrChange>
        </w:rPr>
        <w:t>Picobirnaviridae</w:t>
      </w:r>
      <w:r w:rsidR="00AE4685" w:rsidRPr="00D93D74">
        <w:t xml:space="preserve">, </w:t>
      </w:r>
      <w:r w:rsidR="00AE4685" w:rsidRPr="00DA5B9B">
        <w:rPr>
          <w:i/>
          <w:iCs/>
          <w:rPrChange w:id="172" w:author="Urša Miklavčič" w:date="2026-04-28T08:22:00Z" w16du:dateUtc="2026-04-28T06:22:00Z">
            <w:rPr/>
          </w:rPrChange>
        </w:rPr>
        <w:t>Alphaflexiviridae</w:t>
      </w:r>
      <w:r w:rsidR="00AE4685" w:rsidRPr="00D93D74">
        <w:t xml:space="preserve">, </w:t>
      </w:r>
      <w:r w:rsidR="00AE4685" w:rsidRPr="00DA5B9B">
        <w:rPr>
          <w:i/>
          <w:iCs/>
          <w:rPrChange w:id="173" w:author="Urša Miklavčič" w:date="2026-04-28T08:22:00Z" w16du:dateUtc="2026-04-28T06:22:00Z">
            <w:rPr/>
          </w:rPrChange>
        </w:rPr>
        <w:t>Bromoviridae</w:t>
      </w:r>
      <w:r w:rsidR="00AE4685" w:rsidRPr="00D93D74">
        <w:t xml:space="preserve">, </w:t>
      </w:r>
      <w:r w:rsidR="00AE4685" w:rsidRPr="00DA5B9B">
        <w:rPr>
          <w:i/>
          <w:iCs/>
          <w:rPrChange w:id="174" w:author="Urša Miklavčič" w:date="2026-04-28T08:22:00Z" w16du:dateUtc="2026-04-28T06:22:00Z">
            <w:rPr/>
          </w:rPrChange>
        </w:rPr>
        <w:t>Luteoviridae</w:t>
      </w:r>
      <w:r w:rsidRPr="00D93D74">
        <w:t>,</w:t>
      </w:r>
      <w:r w:rsidR="00AE4685" w:rsidRPr="00D93D74">
        <w:t xml:space="preserve"> and </w:t>
      </w:r>
      <w:r w:rsidR="00AE4685" w:rsidRPr="00DA5B9B">
        <w:rPr>
          <w:i/>
          <w:iCs/>
          <w:rPrChange w:id="175" w:author="Urša Miklavčič" w:date="2026-04-28T08:22:00Z" w16du:dateUtc="2026-04-28T06:22:00Z">
            <w:rPr/>
          </w:rPrChange>
        </w:rPr>
        <w:t>Virgaviridae</w:t>
      </w:r>
      <w:r w:rsidR="00AE4685" w:rsidRPr="00D93D74">
        <w:t xml:space="preserve"> </w:t>
      </w:r>
      <w:r w:rsidR="00AE4685" w:rsidRPr="00D93D74">
        <w:fldChar w:fldCharType="begin"/>
      </w:r>
      <w:r w:rsidR="001C2A55">
        <w:instrText xml:space="preserve"> ADDIN ZOTERO_ITEM CSL_CITATION {"citationID":"qYILFbUi","properties":{"formattedCitation":"(Garmaeva et al., 2021; Wylie et al., 2014)","plainCitation":"(Garmaeva et al., 2021; Wylie et al., 2014)","noteIndex":0},"citationItems":[{"id":3410,"uris":["http://zotero.org/users/8873894/items/HIHCEIK2"],"itemData":{"id":3410,"type":"article-journal","abstract":"The human gut microbiome consists of bacteria, archaea, eukaryotes, and viruses. The gut viruses are relatively underexplored. Here, we longitudinally analyzed the gut virome composition in 11 healthy adults: its stability, variation, and the effect of a gluten-free diet. Using viral enrichment and a de novo assembly-based approach, we demonstrate the quantitative dynamics of the gut virome, including dsDNA, ssDNA, dsRNA, and ssRNA viruses. We observe highly divergent individual viral communities, carrying on an average 2,143 viral genomes, 13.1% of which were present at all 3 time points. In contrast to previous reports, the Siphoviridae family dominates over Microviridae in studied individual viromes. We also show individual viromes to be stable at the family level but to vary substantially at the genera and species levels. Finally, we demonstrate that lower initial diversity of the human gut virome leads to a more pronounced effect of the dietary intervention on its composition.","container-title":"Cell Reports","DOI":"10.1016/j.celrep.2021.109132","ISSN":"2211-1247","issue":"7","journalAbbreviation":"Cell Rep","language":"eng","page":"109132","PMID":"34010651","source":"PubMed","title":"Stability of the human gut virome and effect of gluten-free diet","volume":"35","author":[{"family":"Garmaeva","given":"Sanzhima"},{"family":"Gulyaeva","given":"Anastasia"},{"family":"Sinha","given":"Trishla"},{"family":"Shkoporov","given":"Andrey N."},{"family":"Clooney","given":"Adam G."},{"family":"Stockdale","given":"Stephen R."},{"family":"Spreckels","given":"Johanne E."},{"family":"Sutton","given":"Thomas D. S."},{"family":"Draper","given":"Lorraine A."},{"family":"Dutilh","given":"Bas E."},{"family":"Wijmenga","given":"Cisca"},{"family":"Kurilshikov","given":"Alexander"},{"family":"Fu","given":"Jingyuan"},{"family":"Hill","given":"Colin"},{"family":"Zhernakova","given":"Alexandra"}],"issued":{"date-parts":[["2021",5,18]]}}},{"id":3416,"uris":["http://zotero.org/users/8873894/items/PSQEVU8Y"],"itemData":{"id":3416,"type":"article-journal","abstract":"Background\nThe Human Microbiome Project (HMP) was undertaken with the goal of defining microbial communities in and on the bodies of healthy individuals using high-throughput metagenomic sequencing analysis. The viruses present in these microbial communities, the ‘human virome,’ are an important aspect of the human microbiome that is particularly understudied in the absence of overt disease. We analyzed eukaryotic double-stranded DNA (dsDNA) viruses, together with dsDNA replicative intermediates of single-stranded DNA viruses, in metagenomic sequence data generated by the HMP. We studied 706 samples from 102 subjects were studied, with each subject sampled at up to five major body habitats: nose, skin, mouth, vagina, and stool. Fifty-one individuals had samples taken at two or three time points 30 to 359 days apart from at least one of the body habitats.\n\nResults\nWe detected an average of 5.5 viral genera in each individual. At least one virus was detected in 92% of the individuals sampled. These viruses included herpesviruses, papillomaviruses, polyomaviruses, adenoviruses, anelloviruses, parvoviruses, and circoviruses. Each individual had a distinct viral profile, demonstrating the high interpersonal diversity of the virome. Some components of the virome were stable over time.\n\nConclusions\nThis study is the first to use high-throughput DNA sequencing to describe the diversity of eukaryotic dsDNA viruses in a large cohort of normal individuals who were sampled at multiple body sites. Our results show that the human virome is a complex component of the microbial flora. Some viruses establish long-term infections that may be associated with increased risk or possibly with protection from disease. A better understanding of the composition and dynamics of the virome may hold important keys to human health.\n\nElectronic supplementary material\nThe online version of this article (doi:10.1186/s12915-014-0071-7) contains supplementary material, which is available to authorized users.","container-title":"BMC Biology","DOI":"10.1186/s12915-014-0071-7","ISSN":"1741-7007","journalAbbreviation":"BMC Biol","page":"71","PMID":"25212266","PMCID":"PMC4177058","source":"PubMed Central","title":"Metagenomic analysis of double-stranded DNA viruses in healthy adults","volume":"12","author":[{"family":"Wylie","given":"Kristine M"},{"family":"Mihindukulasuriya","given":"Kathie A"},{"family":"Zhou","given":"Yanjiao"},{"family":"Sodergren","given":"Erica"},{"family":"Storch","given":"Gregory A"},{"family":"Weinstock","given":"George M"}],"issued":{"date-parts":[["2014",9,10]]}}}],"schema":"https://github.com/citation-style-language/schema/raw/master/csl-citation.json"} </w:instrText>
      </w:r>
      <w:r w:rsidR="00AE4685" w:rsidRPr="00D93D74">
        <w:fldChar w:fldCharType="separate"/>
      </w:r>
      <w:r w:rsidR="0041313D" w:rsidRPr="00D93D74">
        <w:rPr>
          <w:rFonts w:cs="Times New Roman"/>
        </w:rPr>
        <w:t>(Garmaeva et al., 2021; Wylie et al., 2014)</w:t>
      </w:r>
      <w:r w:rsidR="00AE4685" w:rsidRPr="00D93D74">
        <w:fldChar w:fldCharType="end"/>
      </w:r>
      <w:r w:rsidR="00AE4685" w:rsidRPr="00D93D74">
        <w:t xml:space="preserve">. The gut eukaryotic virome is highly variable between individuals and is </w:t>
      </w:r>
      <w:r w:rsidRPr="00D93D74">
        <w:t>entirely</w:t>
      </w:r>
      <w:r w:rsidR="00AE4685" w:rsidRPr="00D93D74">
        <w:t xml:space="preserve"> driven by host-intrinsic factors. </w:t>
      </w:r>
    </w:p>
    <w:p w14:paraId="79C2C47C" w14:textId="75DD189E" w:rsidR="00AE4685" w:rsidRPr="00D93D74" w:rsidRDefault="00AE4685" w:rsidP="00FF1358">
      <w:r w:rsidRPr="00D93D74">
        <w:t>The least abundant viruses in the human gut are archaeal viruses. Severely understudied</w:t>
      </w:r>
      <w:r w:rsidR="00012777" w:rsidRPr="00D93D74">
        <w:t>,</w:t>
      </w:r>
      <w:r w:rsidRPr="00D93D74">
        <w:t xml:space="preserve"> they represent only 0.7 % of </w:t>
      </w:r>
      <w:r w:rsidR="00012777" w:rsidRPr="00D93D74">
        <w:t xml:space="preserve">the </w:t>
      </w:r>
      <w:r w:rsidRPr="00D93D74">
        <w:t xml:space="preserve">total abundance in the human gut </w:t>
      </w:r>
      <w:r w:rsidRPr="00D93D74">
        <w:fldChar w:fldCharType="begin"/>
      </w:r>
      <w:r w:rsidR="001C2A55">
        <w:instrText xml:space="preserve"> ADDIN ZOTERO_ITEM CSL_CITATION {"citationID":"JzgX6kP6","properties":{"formattedCitation":"(Feng et al., 2025)","plainCitation":"(Feng et al., 2025)","noteIndex":0},"citationItems":[{"id":3329,"uris":["http://zotero.org/users/8873894/items/6BDJYXCM"],"itemData":{"id":3329,"type":"article-journal","abstract":"The gut virome, an essential component of the intestinal microbiome, constitutes </w:instrText>
      </w:r>
      <w:r w:rsidR="001C2A55">
        <w:rPr>
          <w:rFonts w:ascii="Cambria Math" w:hAnsi="Cambria Math" w:cs="Cambria Math"/>
        </w:rPr>
        <w:instrText>∼</w:instrText>
      </w:r>
      <w:r w:rsidR="001C2A55">
        <w:instrText xml:space="preserve">0.1% of the total microbial biomass but contains a far greater number of particles than bacteria, with phages making up 90%–95% of this virome. This review systematically examines the developmental patterns of the gut virome, focusing on factors influencing its composition, including diet, environment, host genetics, and immunity. Additionally, it explores the gut virome's associations with various diseases, its interactions with gut bacteria and the immune system, and its emerging clinical applications.","container-title":"Precision Clinical Medicine","DOI":"10.1093/pcmedi/pbaf010","ISSN":"2096-5303","issue":"2","journalAbbreviation":"Prec Clin Med","page":"pbaf010","source":"Silverchair","title":"The gut virome in association with the bacteriome in gastrointestinal diseases and beyond: roles, mechanisms, and clinical applications","title-short":"The gut virome in association with the bacteriome in gastrointestinal diseases and beyond","volume":"8","author":[{"family":"Feng","given":"Zhiyang"},{"family":"Burgermeister","given":"Elke"},{"family":"Philips","given":"Anna"},{"family":"Zuo","given":"Tao"},{"family":"Wen","given":"Weijie"}],"issued":{"date-parts":[["2025",6,1]]}}}],"schema":"https://github.com/citation-style-language/schema/raw/master/csl-citation.json"} </w:instrText>
      </w:r>
      <w:r w:rsidRPr="00D93D74">
        <w:fldChar w:fldCharType="separate"/>
      </w:r>
      <w:r w:rsidRPr="00D93D74">
        <w:rPr>
          <w:rFonts w:cs="Times New Roman"/>
        </w:rPr>
        <w:t>(Feng et al., 2025)</w:t>
      </w:r>
      <w:r w:rsidRPr="00D93D74">
        <w:fldChar w:fldCharType="end"/>
      </w:r>
      <w:r w:rsidRPr="00D93D74">
        <w:t xml:space="preserve">. These are mostly viruses infecting methanogenic archaea, exhibiting high genetic diversity with unique adaptations to the gut environment </w:t>
      </w:r>
      <w:r w:rsidRPr="00D93D74">
        <w:fldChar w:fldCharType="begin"/>
      </w:r>
      <w:r w:rsidR="001C2A55">
        <w:instrText xml:space="preserve"> ADDIN ZOTERO_ITEM CSL_CITATION {"citationID":"MZByXK8g","properties":{"formattedCitation":"(Medvedeva et al., 2023)","plainCitation":"(Medvedeva et al., 2023)","noteIndex":0},"citationItems":[{"id":3417,"uris":["http://zotero.org/users/8873894/items/M2S3ML29"],"itemData":{"id":3417,"type":"article-journal","abstract":"Methanogenic archaea are major producers of methane, a potent greenhouse gas and biofuel, and are widespread in diverse environments, including the animal gut. The ecophysiology of methanogens is likely impacted by viruses, which remain, however, largely uncharacterized. Here we carried out a global investigation of viruses associated with all current diversity of methanogens by assembling an extensive CRISPR database consisting of 156,000 spacers. We report 282 high-quality (pro)viral and 205 virus-like/plasmid sequences assigned to hosts belonging to ten main orders of methanogenic archaea. Viruses of methanogens can be classified into 87 families, underscoring a still largely undiscovered genetic diversity. Viruses infecting gut-associated archaea provide evidence of convergence in adaptation with viruses infecting gut-associated bacteria. These viruses contain a large repertoire of lysin proteins that cleave archaeal pseudomurein and are enriched in glycan-binding domains (Ig-like/Flg_new) and diversity-generating retroelements. The characterization of this vast repertoire of viruses paves the way towards a better understanding of their role in regulating methanogen communities globally, as well as the development of much-needed genetic tools.","container-title":"Nature Microbiology","DOI":"10.1038/s41564-023-01485-w","ISSN":"2058-5276","issue":"11","journalAbbreviation":"Nat Microbiol","language":"eng","page":"2170-2182","PMID":"37749252","source":"PubMed","title":"A compendium of viruses from methanogenic archaea reveals their diversity and adaptations to the gut environment","volume":"8","author":[{"family":"Medvedeva","given":"Sofia"},{"family":"Borrel","given":"Guillaume"},{"family":"Krupovic","given":"Mart"},{"family":"Gribaldo","given":"Simonetta"}],"issued":{"date-parts":[["2023",11]]}}}],"schema":"https://github.com/citation-style-language/schema/raw/master/csl-citation.json"} </w:instrText>
      </w:r>
      <w:r w:rsidRPr="00D93D74">
        <w:fldChar w:fldCharType="separate"/>
      </w:r>
      <w:r w:rsidRPr="00D93D74">
        <w:rPr>
          <w:rFonts w:cs="Times New Roman"/>
        </w:rPr>
        <w:t>(Medvedeva et al., 2023)</w:t>
      </w:r>
      <w:r w:rsidRPr="00D93D74">
        <w:fldChar w:fldCharType="end"/>
      </w:r>
      <w:r w:rsidRPr="00D93D74">
        <w:t xml:space="preserve">. </w:t>
      </w:r>
    </w:p>
    <w:p w14:paraId="033824DC" w14:textId="77777777" w:rsidR="0041313D" w:rsidRPr="00D93D74" w:rsidRDefault="0041313D" w:rsidP="00FF1358"/>
    <w:p w14:paraId="747BE012" w14:textId="37CBEC59" w:rsidR="0041313D" w:rsidRPr="00D93D74" w:rsidRDefault="0041313D">
      <w:pPr>
        <w:pStyle w:val="Naslov3"/>
        <w:numPr>
          <w:ilvl w:val="2"/>
          <w:numId w:val="3"/>
        </w:numPr>
      </w:pPr>
      <w:bookmarkStart w:id="176" w:name="_Toc220932821"/>
      <w:bookmarkStart w:id="177" w:name="_Toc228252008"/>
      <w:r w:rsidRPr="00D93D74">
        <w:t>Human gut archaeome</w:t>
      </w:r>
      <w:bookmarkEnd w:id="176"/>
      <w:bookmarkEnd w:id="177"/>
      <w:r w:rsidRPr="00D93D74">
        <w:t xml:space="preserve"> </w:t>
      </w:r>
    </w:p>
    <w:p w14:paraId="181192B5" w14:textId="0D3186B9" w:rsidR="0041313D" w:rsidRPr="00D93D74" w:rsidDel="00207CEB" w:rsidRDefault="00E82C47" w:rsidP="0041313D">
      <w:pPr>
        <w:rPr>
          <w:del w:id="178" w:author="Urša Miklavčič" w:date="2026-04-28T18:12:00Z" w16du:dateUtc="2026-04-28T16:12:00Z"/>
        </w:rPr>
      </w:pPr>
      <w:r w:rsidRPr="00D93D74">
        <w:t>Archaeal diversity and abundance are linked to geographical location, ethnicity, diet</w:t>
      </w:r>
      <w:r w:rsidR="00F8059B" w:rsidRPr="00D93D74">
        <w:t>,</w:t>
      </w:r>
      <w:r w:rsidRPr="00D93D74">
        <w:t xml:space="preserve"> and age of individual</w:t>
      </w:r>
      <w:r w:rsidR="00F8059B" w:rsidRPr="00D93D74">
        <w:t>. Archaea</w:t>
      </w:r>
      <w:r w:rsidRPr="00D93D74">
        <w:t xml:space="preserve"> represent around 1% of </w:t>
      </w:r>
      <w:r w:rsidR="00F8059B" w:rsidRPr="00D93D74">
        <w:t>the total</w:t>
      </w:r>
      <w:r w:rsidRPr="00D93D74">
        <w:t xml:space="preserve"> abundance in the human gut. Most gut archaea are methanogens, </w:t>
      </w:r>
      <w:r w:rsidR="00F8059B" w:rsidRPr="00D93D74">
        <w:t>which</w:t>
      </w:r>
      <w:r w:rsidRPr="00D93D74">
        <w:t xml:space="preserve"> metabolise </w:t>
      </w:r>
      <w:r w:rsidR="00F8059B" w:rsidRPr="00D93D74">
        <w:t>mainly</w:t>
      </w:r>
      <w:r w:rsidRPr="00D93D74">
        <w:t xml:space="preserve"> H</w:t>
      </w:r>
      <w:r w:rsidRPr="00D93D74">
        <w:rPr>
          <w:vertAlign w:val="subscript"/>
        </w:rPr>
        <w:t>2</w:t>
      </w:r>
      <w:r w:rsidRPr="00D93D74">
        <w:t xml:space="preserve"> and CO</w:t>
      </w:r>
      <w:r w:rsidRPr="00D93D74">
        <w:rPr>
          <w:vertAlign w:val="subscript"/>
        </w:rPr>
        <w:t>2</w:t>
      </w:r>
      <w:r w:rsidRPr="00D93D74">
        <w:t xml:space="preserve"> to produce methane</w:t>
      </w:r>
      <w:r w:rsidR="00F8059B" w:rsidRPr="00D93D74">
        <w:t>,</w:t>
      </w:r>
      <w:r w:rsidRPr="00D93D74">
        <w:t xml:space="preserve"> released in both breath and gas </w:t>
      </w:r>
      <w:r w:rsidRPr="00D93D74">
        <w:fldChar w:fldCharType="begin"/>
      </w:r>
      <w:r w:rsidR="001C2A55">
        <w:instrText xml:space="preserve"> ADDIN ZOTERO_ITEM CSL_CITATION {"citationID":"Y6feYuO4","properties":{"formattedCitation":"(Hoegenauer et al., 2022)","plainCitation":"(Hoegenauer et al., 2022)","noteIndex":0},"citationItems":[{"id":2934,"uris":["http://zotero.org/users/8873894/items/PRIC68EZ"],"itemData":{"id":2934,"type":"article-journal","abstract":"The human microbiome is strongly interwoven with human health and disease. Besides bacteria, viruses and eukaryotes, numerous archaea are located in the human gastrointestinal tract and are responsible for methane production, which can be measured in clinical methane breath analyses. Methane is an important readout for various diseases, including intestinal methanogen overgrowth. Notably, the archaea responsible for methane production are largely overlooked in human microbiome studies due to their non-bacterial biology and resulting detection issues. As such, their importance for health and disease remains largely unclear to date, in particular as not a single archaeal representative has been deemed to be pathogenic. In this Perspective, we discuss the current knowledge on the clinical relevance of methanogenic archaea. We explain the archaeal unique response to antibiotics and their negative and positive effects on human physiology, and present the current understanding of the use of methane as a diagnostic marker.","container-title":"Nature Reviews Gastroenterology &amp; Hepatology","DOI":"10.1038/s41575-022-00673-z","ISSN":"1759-5053","issue":"12","journalAbbreviation":"Nat Rev Gastroenterol Hepatol","language":"en","license":"2022 Springer Nature Limited","page":"805-813","publisher":"Nature Publishing Group","source":"www.nature.com","title":"Methanogenic archaea in the human gastrointestinal tract","volume":"19","author":[{"family":"Hoegenauer","given":"Christoph"},{"family":"Hammer","given":"Heinz F."},{"family":"Mahnert","given":"Alexander"},{"family":"Moissl-Eichinger","given":"Christine"}],"issued":{"date-parts":[["2022",12]]}}}],"schema":"https://github.com/citation-style-language/schema/raw/master/csl-citation.json"} </w:instrText>
      </w:r>
      <w:r w:rsidRPr="00D93D74">
        <w:fldChar w:fldCharType="separate"/>
      </w:r>
      <w:r w:rsidRPr="00D93D74">
        <w:rPr>
          <w:rFonts w:cs="Times New Roman"/>
        </w:rPr>
        <w:t>(Hoegenauer et al., 2022)</w:t>
      </w:r>
      <w:r w:rsidRPr="00D93D74">
        <w:fldChar w:fldCharType="end"/>
      </w:r>
      <w:r w:rsidRPr="00D93D74">
        <w:t xml:space="preserve">. </w:t>
      </w:r>
    </w:p>
    <w:p w14:paraId="4886D66B" w14:textId="17F9AD14" w:rsidR="009C0B73" w:rsidRPr="00D93D74" w:rsidRDefault="009C0B73" w:rsidP="0041313D">
      <w:r w:rsidRPr="00D93D74">
        <w:t xml:space="preserve">The wide diversity of archaea in the human gut </w:t>
      </w:r>
      <w:r w:rsidR="00A000D8" w:rsidRPr="00D93D74">
        <w:t xml:space="preserve">includes lineages </w:t>
      </w:r>
      <w:r w:rsidR="00A000D8" w:rsidRPr="00D93D74">
        <w:lastRenderedPageBreak/>
        <w:t>such as</w:t>
      </w:r>
      <w:r w:rsidRPr="00D93D74">
        <w:t xml:space="preserve"> </w:t>
      </w:r>
      <w:r w:rsidRPr="00D93D74">
        <w:rPr>
          <w:i/>
          <w:iCs/>
        </w:rPr>
        <w:t>Methanobacteriales</w:t>
      </w:r>
      <w:r w:rsidRPr="00D93D74">
        <w:t>,</w:t>
      </w:r>
      <w:r w:rsidR="00780B3B" w:rsidRPr="00D93D74">
        <w:t xml:space="preserve"> </w:t>
      </w:r>
      <w:r w:rsidRPr="00D93D74">
        <w:rPr>
          <w:i/>
          <w:iCs/>
        </w:rPr>
        <w:t>Methanomassiliicoccales</w:t>
      </w:r>
      <w:r w:rsidRPr="00D93D74">
        <w:t>,</w:t>
      </w:r>
      <w:r w:rsidR="00780B3B" w:rsidRPr="00D93D74">
        <w:t xml:space="preserve"> </w:t>
      </w:r>
      <w:r w:rsidRPr="00D93D74">
        <w:rPr>
          <w:i/>
          <w:iCs/>
        </w:rPr>
        <w:t>Methanomicrobiales</w:t>
      </w:r>
      <w:r w:rsidRPr="00D93D74">
        <w:t>,</w:t>
      </w:r>
      <w:r w:rsidR="00780B3B" w:rsidRPr="00D93D74">
        <w:t xml:space="preserve"> </w:t>
      </w:r>
      <w:r w:rsidRPr="00D93D74">
        <w:rPr>
          <w:i/>
          <w:iCs/>
        </w:rPr>
        <w:t>Methanosarcinales</w:t>
      </w:r>
      <w:r w:rsidRPr="00D93D74">
        <w:t xml:space="preserve">, </w:t>
      </w:r>
      <w:r w:rsidRPr="00D93D74">
        <w:rPr>
          <w:i/>
          <w:iCs/>
        </w:rPr>
        <w:t>Halobacteriales</w:t>
      </w:r>
      <w:r w:rsidRPr="00D93D74">
        <w:t xml:space="preserve">, </w:t>
      </w:r>
      <w:r w:rsidRPr="00D93D74">
        <w:rPr>
          <w:i/>
          <w:iCs/>
        </w:rPr>
        <w:t>Thaumarchaeota</w:t>
      </w:r>
      <w:r w:rsidRPr="00D93D74">
        <w:t xml:space="preserve"> (</w:t>
      </w:r>
      <w:r w:rsidRPr="00D93D74">
        <w:rPr>
          <w:i/>
          <w:iCs/>
        </w:rPr>
        <w:t>Nitrososphaeria</w:t>
      </w:r>
      <w:r w:rsidRPr="00D93D74">
        <w:t xml:space="preserve">) and members of the DPANN clade </w:t>
      </w:r>
      <w:r w:rsidRPr="00D93D74">
        <w:fldChar w:fldCharType="begin"/>
      </w:r>
      <w:r w:rsidR="001C2A55">
        <w:instrText xml:space="preserve"> ADDIN ZOTERO_ITEM CSL_CITATION {"citationID":"RD2miVnE","properties":{"formattedCitation":"(Borrel et al., 2020; Koskinen et al., 2017)","plainCitation":"(Borrel et al., 2020; Koskinen et al., 2017)","noteIndex":0},"citationItems":[{"id":3447,"uris":["http://zotero.org/users/8873894/items/C6PHQ49E"],"itemData":{"id":3447,"type":"article-journal","abstract":"Host-associated microbial communities have an important role in shaping the health and fitness of plants and animals. Most studies have focused on the bacterial, fungal or viral communities, but often the archaeal component has been neglected. The archaeal community, the so-called archaeome, is now increasingly recognized as an important component of host-associated microbiomes. It is composed of various lineages, including mainly Methanobacteriales and Methanomassiliicoccales (Euryarchaeota), as well as representatives of the Thaumarchaeota. Host–archaeome interactions have mostly been delineated from methanogenic archaea in the gastrointestinal tract, where they contribute to substantial methane production and are potentially also involved in disease-relevant processes. In this Review, we discuss the diversity and potential roles of the archaea associated with protists, plants and animals. We also present the current understanding of the archaeome in humans, the specific adaptations involved in interaction with the resident microbial community as well as with the host, and the roles of the archaeome in both health and disease.","container-title":"Nature Reviews Microbiology","DOI":"10.1038/s41579-020-0407-y","ISSN":"1740-1534","issue":"11","journalAbbreviation":"Nat Rev Microbiol","language":"en","license":"2020 Springer Nature Limited","page":"622-636","publisher":"Nature Publishing Group","source":"www.nature.com","title":"The host-associated archaeome","volume":"18","author":[{"family":"Borrel","given":"Guillaume"},{"family":"Brugère","given":"Jean-François"},{"family":"Gribaldo","given":"Simonetta"},{"family":"Schmitz","given":"Ruth A."},{"family":"Moissl-Eichinger","given":"Christine"}],"issued":{"date-parts":[["2020",11]]}}},{"id":3415,"uris":["http://zotero.org/users/8873894/items/P7AZ2P75"],"itemData":{"id":3415,"type":"article-journal","abstract":"Human-associated archaea remain understudied in the field of microbiome research, although in particular methanogenic archaea were found to be regular commensals of the human gut, where they represent keystone species in metabolic processes. Knowledge on the abundance and diversity of human-associated archaea is extremely limited, and little is known about their function(s), their overall role in human health, or their association with parts of the human body other than the gastrointestinal tract and oral cavity. Currently, methodological issues impede the full assessment of the human archaeome, as bacteria-targeting protocols are unsuitable for characterization of the full spectrum of Archaea. The goal of this study was to establish conservative protocols based on specifically archaea-targeting, PCR-based methods to retrieve first insights into the archaeomes of the human gastrointestinal tract, lung, nose, and skin. Detection of Archaea was highly dependent on primer selection and the sequence processing pipeline used. Our results enabled us to retrieve a novel picture of the human archaeome, as we found for the first time Methanobacterium and Woesearchaeota (DPANN superphylum) to be associated with the human gastrointestinal tract and the human lung, respectively. Similar to bacteria, human-associated archaeal communities were found to group biogeographically, forming (i) the thaumarchaeal skin landscape, (ii) the (methano)euryarchaeal gastrointestinal tract, (iii) a mixed skin-gastrointestinal tract landscape for the nose, and (iv) a woesearchaeal lung landscape. On the basis of the protocols we used, we were able to detect unexpectedly high diversity of archaea associated with different body parts.IMPORTANCE In summary, our study highlights the importance of the primers and data processing pipeline used to study the human archaeome. We were able to establish protocols that revealed the presence of previously undetected Archaea in all of the tissue samples investigated and to detect biogeographic patterns of the human archaeome in the gastrointestinal tract and on the skin and for the first time in the respiratory tract, i.e., the nose and lungs. Our results are a solid basis for further investigation of the human archaeome and, in the long term, discovery of the potential role of archaea in human health and disease.","container-title":"mBio","DOI":"10.1128/mbio.00824-17","issue":"6","page":"10.1128/mbio.00824-17","publisher":"American Society for Microbiology","source":"journals.asm.org (Atypon)","title":"First Insights into the Diverse Human Archaeome: Specific Detection of Archaea in the Gastrointestinal Tract, Lung, and Nose and on Skin","title-short":"First Insights into the Diverse Human Archaeome","volume":"8","author":[{"family":"Koskinen","given":"Kaisa"},{"family":"Pausan","given":"Manuela R."},{"family":"Perras","given":"Alexandra K."},{"family":"Beck","given":"Michael"},{"family":"Bang","given":"Corinna"},{"family":"Mora","given":"Maximilian"},{"family":"Schilhabel","given":"Anke"},{"family":"Schmitz","given":"Ruth"},{"family":"Moissl-Eichinger","given":"Christine"}],"issued":{"date-parts":[["2017",11,14]]}}}],"schema":"https://github.com/citation-style-language/schema/raw/master/csl-citation.json"} </w:instrText>
      </w:r>
      <w:r w:rsidRPr="00D93D74">
        <w:fldChar w:fldCharType="separate"/>
      </w:r>
      <w:r w:rsidRPr="00D93D74">
        <w:rPr>
          <w:rFonts w:cs="Times New Roman"/>
        </w:rPr>
        <w:t>(Borrel et al., 2020; Koskinen et al., 2017)</w:t>
      </w:r>
      <w:r w:rsidRPr="00D93D74">
        <w:fldChar w:fldCharType="end"/>
      </w:r>
      <w:r w:rsidR="00A000D8" w:rsidRPr="00D93D74">
        <w:t xml:space="preserve">. </w:t>
      </w:r>
      <w:r w:rsidRPr="00D93D74">
        <w:t xml:space="preserve"> </w:t>
      </w:r>
    </w:p>
    <w:p w14:paraId="4A308B5A" w14:textId="77777777" w:rsidR="009C0B73" w:rsidRPr="00D93D74" w:rsidRDefault="009C0B73" w:rsidP="0041313D"/>
    <w:p w14:paraId="7A32254A" w14:textId="21C94150" w:rsidR="0041313D" w:rsidRPr="00D93D74" w:rsidRDefault="0041313D">
      <w:pPr>
        <w:pStyle w:val="Naslov3"/>
        <w:numPr>
          <w:ilvl w:val="2"/>
          <w:numId w:val="3"/>
        </w:numPr>
      </w:pPr>
      <w:bookmarkStart w:id="179" w:name="_Toc220932822"/>
      <w:bookmarkStart w:id="180" w:name="_Toc228252009"/>
      <w:r w:rsidRPr="00D93D74">
        <w:t xml:space="preserve">Human gut mycobiome and </w:t>
      </w:r>
      <w:r w:rsidR="00780B3B" w:rsidRPr="00D93D74">
        <w:t>protozoa</w:t>
      </w:r>
      <w:bookmarkEnd w:id="179"/>
      <w:bookmarkEnd w:id="180"/>
      <w:r w:rsidRPr="00D93D74">
        <w:t xml:space="preserve"> </w:t>
      </w:r>
    </w:p>
    <w:p w14:paraId="40D3C10D" w14:textId="2E2F9C65" w:rsidR="00A000D8" w:rsidRPr="00D93D74" w:rsidDel="00207CEB" w:rsidRDefault="00A000D8" w:rsidP="0041313D">
      <w:pPr>
        <w:rPr>
          <w:del w:id="181" w:author="Urša Miklavčič" w:date="2026-04-28T18:13:00Z" w16du:dateUtc="2026-04-28T16:13:00Z"/>
        </w:rPr>
      </w:pPr>
      <w:r w:rsidRPr="00D93D74">
        <w:t>The h</w:t>
      </w:r>
      <w:r w:rsidR="009C0B73" w:rsidRPr="00D93D74">
        <w:t xml:space="preserve">uman gut mycobiome </w:t>
      </w:r>
      <w:r w:rsidRPr="00D93D74">
        <w:t>constitutes</w:t>
      </w:r>
      <w:r w:rsidR="009C0B73" w:rsidRPr="00D93D74">
        <w:t xml:space="preserve"> a very</w:t>
      </w:r>
      <w:r w:rsidRPr="00D93D74">
        <w:t xml:space="preserve"> </w:t>
      </w:r>
      <w:r w:rsidR="009C0B73" w:rsidRPr="00D93D74">
        <w:t>low biomass</w:t>
      </w:r>
      <w:r w:rsidRPr="00D93D74">
        <w:t xml:space="preserve">, approximately </w:t>
      </w:r>
      <w:r w:rsidR="009C0B73" w:rsidRPr="00D93D74">
        <w:t xml:space="preserve">0.1% of </w:t>
      </w:r>
      <w:r w:rsidRPr="00D93D74">
        <w:t>the total relative abundance,</w:t>
      </w:r>
      <w:r w:rsidR="009C0B73" w:rsidRPr="00D93D74">
        <w:t xml:space="preserve"> but is a dynamic component influencing many bacterial interactions, immunity</w:t>
      </w:r>
      <w:r w:rsidRPr="00D93D74">
        <w:t>,</w:t>
      </w:r>
      <w:r w:rsidR="009C0B73" w:rsidRPr="00D93D74">
        <w:t xml:space="preserve"> and disease </w:t>
      </w:r>
      <w:r w:rsidRPr="00D93D74">
        <w:t>through</w:t>
      </w:r>
      <w:r w:rsidR="009C0B73" w:rsidRPr="00D93D74">
        <w:t xml:space="preserve"> metabolites and immune modulation </w:t>
      </w:r>
      <w:r w:rsidR="009C0B73" w:rsidRPr="00D93D74">
        <w:fldChar w:fldCharType="begin"/>
      </w:r>
      <w:r w:rsidR="001C2A55">
        <w:instrText xml:space="preserve"> ADDIN ZOTERO_ITEM CSL_CITATION {"citationID":"t6MptcEb","properties":{"formattedCitation":"(Nash et al., 2017; Sun et al., 2021)","plainCitation":"(Nash et al., 2017; Sun et al., 2021)","noteIndex":0},"citationItems":[{"id":3336,"uris":["http://zotero.org/users/8873894/items/WQCEAFTR"],"itemData":{"id":3336,"type":"article-journal","abstract":"Most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F."}],"issued":{"date-parts":[["2017",11,25]]}}},{"id":3335,"uris":["http://zotero.org/users/8873894/items/X26I2S6T"],"itemData":{"id":3335,"type":"article-journal","abstract":"Background &amp; Aims\nBeyond bacteria, the human gastrointestinal tract is host to a vast diversity of fungi, collectively known as the gut mycobiome. Little is known of the impact of geography, ethnicity, and urbanization on the gut mycobiome at a large population level. We aim to delineate the variation of human gut mycobiome and its association with host factors, environmental factors, and diets.\nMethods\nUsing shotgun metagenomic sequencing, we profiled and compared the fecal mycobiome of 942 healthy individuals across different geographic regions in China (Hong Kong and Yunnan), spanning 6 ethnicities: Han, Zang, Bai, Hani, Dai, and Miao (including both urban and rural residents of each ethnicity). In parallel to fecal sampling, we collected participant metadata (environmental exposure, bowel habits, anthropometrics, and medication), diet, and clinical blood measurement results (a total of 118 variables) and investigated their impact on the gut mycobiome variation in humans.\nResults\nThe human gut mycobiome was highly variable across populations. Urbanization-related factors had the strongest impact on gut mycobiome variation, followed by geography, dietary habit, and ethnicity. The Hong Kong population (highly urbanized) had a significantly lower fungal richness compared with Yunnan population. Saccharomyces cerevisiae was highly enriched in urban compared with rural populations and showed significant inverse correlations with liver pathology–associated blood parameters, including aspartate transaminase, alanine transaminase, gamma-glutamyltransferase, and direct bilirubin. Candida dubliniensis, which was decreased in urban relative to rural populations, showed correlations with host metabolism-related parameters in blood, including a positive correlation with fasting high-density lipoprotein cholesterol levels and a negative correlation with fasting glucose levels. The fungal-blood parameter correlations were highly geography- and ethnicity-specific. Food choices had differential influences on gut mycobiome and bacterial microbiome, where taxa from the same genus tended to be coregulated by food and thereby cobloom. Ethnicity-specific fungal signatures were associated with distinct habitual foods in each ethnic group.\nConclusions\nOur data highlight, for the first time to our knowledge, that geography, urbanization, ethnicity, and habitual diet play an important role in shaping the gut mycobiome composition. Gut fungal configurations in combination with population characteristics (such as residing region, ethnicity, diet, lifestyle) influence host metabolism and health.","container-title":"Gastroenterology","DOI":"10.1053/j.gastro.2020.09.014","ISSN":"0016-5085","issue":"1","journalAbbreviation":"Gastroenterology","page":"272-286.e11","source":"ScienceDirect","title":"Population-Level Configurations of Gut Mycobiome Across 6 Ethnicities in Urban and Rural China","volume":"160","author":[{"family":"Sun","given":"Yang"},{"family":"Zuo","given":"Tao"},{"family":"Cheung","given":"Chun Pan"},{"family":"Gu","given":"Wenxi"},{"family":"Wan","given":"Yating"},{"family":"Zhang","given":"Fen"},{"family":"Chen","given":"Nan"},{"family":"Zhan","given":"Hui"},{"family":"Yeoh","given":"Yun Kit"},{"family":"Niu","given":"Junkun"},{"family":"Du","given":"Yan"},{"family":"Zhang","given":"Fengrui"},{"family":"Wen","given":"Yunling"},{"family":"Yu","given":"Jun"},{"family":"Sung","given":"Joseph J. Y."},{"family":"Chan","given":"Paul K. S."},{"family":"Chan","given":"Francis K. L."},{"family":"Wang","given":"Kunhua"},{"family":"Ng","given":"Siew C."},{"family":"Miao","given":"Yinglei"}],"issued":{"date-parts":[["2021",1,1]]}}}],"schema":"https://github.com/citation-style-language/schema/raw/master/csl-citation.json"} </w:instrText>
      </w:r>
      <w:r w:rsidR="009C0B73" w:rsidRPr="00D93D74">
        <w:fldChar w:fldCharType="separate"/>
      </w:r>
      <w:r w:rsidR="009C0B73" w:rsidRPr="00D93D74">
        <w:rPr>
          <w:rFonts w:cs="Times New Roman"/>
        </w:rPr>
        <w:t>(Nash et al., 2017; Sun et al., 2021)</w:t>
      </w:r>
      <w:r w:rsidR="009C0B73" w:rsidRPr="00D93D74">
        <w:fldChar w:fldCharType="end"/>
      </w:r>
      <w:r w:rsidR="009C0B73" w:rsidRPr="00D93D74">
        <w:t>.</w:t>
      </w:r>
      <w:ins w:id="182" w:author="Urša Miklavčič" w:date="2026-04-28T18:13:00Z" w16du:dateUtc="2026-04-28T16:13:00Z">
        <w:r w:rsidR="00207CEB">
          <w:t xml:space="preserve"> </w:t>
        </w:r>
      </w:ins>
      <w:del w:id="183" w:author="Urša Miklavčič" w:date="2026-04-28T18:13:00Z" w16du:dateUtc="2026-04-28T16:13:00Z">
        <w:r w:rsidRPr="00D93D74" w:rsidDel="00207CEB">
          <w:delText xml:space="preserve"> </w:delText>
        </w:r>
      </w:del>
    </w:p>
    <w:p w14:paraId="43B67B3C" w14:textId="7F824023" w:rsidR="00A000D8" w:rsidRPr="00D93D74" w:rsidRDefault="00A000D8" w:rsidP="00A000D8">
      <w:r w:rsidRPr="00D93D74">
        <w:t xml:space="preserve">The predominant fungal groups within the gut mycobiome belong primarily to the phylum </w:t>
      </w:r>
      <w:r w:rsidRPr="00D93D74">
        <w:rPr>
          <w:i/>
          <w:iCs/>
        </w:rPr>
        <w:t>Ascomycota</w:t>
      </w:r>
      <w:r w:rsidRPr="00D93D74">
        <w:t xml:space="preserve">, followed by </w:t>
      </w:r>
      <w:r w:rsidRPr="00D93D74">
        <w:rPr>
          <w:i/>
          <w:iCs/>
        </w:rPr>
        <w:t>Zygomycota</w:t>
      </w:r>
      <w:r w:rsidRPr="00D93D74">
        <w:t xml:space="preserve"> and </w:t>
      </w:r>
      <w:r w:rsidRPr="00D93D74">
        <w:rPr>
          <w:i/>
          <w:iCs/>
        </w:rPr>
        <w:t>Basidiomycota</w:t>
      </w:r>
      <w:r w:rsidRPr="00D93D74">
        <w:t xml:space="preserve"> </w:t>
      </w:r>
      <w:r w:rsidRPr="00D93D74">
        <w:fldChar w:fldCharType="begin"/>
      </w:r>
      <w:r w:rsidR="001C2A55">
        <w:instrText xml:space="preserve"> ADDIN ZOTERO_ITEM CSL_CITATION {"citationID":"Dt3WFoWa","properties":{"formattedCitation":"(Mohammadi et al., 2025)","plainCitation":"(Mohammadi et al., 2025)","noteIndex":0},"citationItems":[{"id":3414,"uris":["http://zotero.org/users/8873894/items/PV8EHDI4"],"itemData":{"id":3414,"type":"article-journal","abstract":"The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Common genera include </w:t>
      </w:r>
      <w:r w:rsidRPr="00D93D74">
        <w:rPr>
          <w:i/>
          <w:iCs/>
        </w:rPr>
        <w:t>Candida</w:t>
      </w:r>
      <w:r w:rsidRPr="00D93D74">
        <w:t xml:space="preserve">, </w:t>
      </w:r>
      <w:r w:rsidRPr="00D93D74">
        <w:rPr>
          <w:i/>
          <w:iCs/>
        </w:rPr>
        <w:t>Cryptococcus</w:t>
      </w:r>
      <w:r w:rsidRPr="00D93D74">
        <w:t xml:space="preserve">, </w:t>
      </w:r>
      <w:r w:rsidRPr="00D93D74">
        <w:rPr>
          <w:i/>
          <w:iCs/>
        </w:rPr>
        <w:t>Malassezia</w:t>
      </w:r>
      <w:r w:rsidRPr="00D93D74">
        <w:t xml:space="preserve">, </w:t>
      </w:r>
      <w:r w:rsidRPr="00D93D74">
        <w:rPr>
          <w:i/>
          <w:iCs/>
        </w:rPr>
        <w:t>Aspergillus</w:t>
      </w:r>
      <w:r w:rsidRPr="00D93D74">
        <w:t xml:space="preserve">, </w:t>
      </w:r>
      <w:r w:rsidRPr="00D93D74">
        <w:rPr>
          <w:i/>
          <w:iCs/>
        </w:rPr>
        <w:t>Saccharomyces</w:t>
      </w:r>
      <w:r w:rsidRPr="00D93D74">
        <w:t xml:space="preserve">, </w:t>
      </w:r>
      <w:r w:rsidRPr="00D93D74">
        <w:rPr>
          <w:i/>
          <w:iCs/>
        </w:rPr>
        <w:t>Galactomyces</w:t>
      </w:r>
      <w:r w:rsidRPr="00D93D74">
        <w:t xml:space="preserve">, </w:t>
      </w:r>
      <w:r w:rsidRPr="00D93D74">
        <w:rPr>
          <w:i/>
          <w:iCs/>
        </w:rPr>
        <w:t>Trichosporon</w:t>
      </w:r>
      <w:r w:rsidRPr="00D93D74">
        <w:t xml:space="preserve"> and </w:t>
      </w:r>
      <w:r w:rsidRPr="00D93D74">
        <w:rPr>
          <w:i/>
          <w:iCs/>
        </w:rPr>
        <w:t>Cladosporium</w:t>
      </w:r>
      <w:r w:rsidRPr="00D93D74">
        <w:t xml:space="preserve">. The mycobiome is influenced by diet, body weight, age, gender, exposure to antimicrobial and antifungal treatment, and other environmental factors </w:t>
      </w:r>
      <w:r w:rsidRPr="00D93D74">
        <w:fldChar w:fldCharType="begin"/>
      </w:r>
      <w:r w:rsidR="001C2A55">
        <w:instrText xml:space="preserve"> ADDIN ZOTERO_ITEM CSL_CITATION {"citationID":"ztqqPeCE","properties":{"formattedCitation":"(Mohammadi et al., 2025)","plainCitation":"(Mohammadi et al., 2025)","noteIndex":0},"citationItems":[{"id":3414,"uris":["http://zotero.org/users/8873894/items/PV8EHDI4"],"itemData":{"id":3414,"type":"article-journal","abstract":"The human body hosts a complex and dynamic microbial community that is crucial for maintaining health. While bacteria dominate this system, fungal communities, collectively called the mycobiome, are increasingly recognized as vital contributors. However, fungi remain understudied due to challenges in culturing many species, limiting our understanding of their roles, interactions and effects on human biology. Advances in next-generation sequencing have transformed mycobiome research, revealing fungal diversity and its impact on health and disease. This review examines the mycobiome’s composition and function across major body sites, including the gut, mouth, lungs, reproductive tract and skin. It also explores connections between fungal imbalances (dysbiosis) and diseases such as neurological disorders, cancer and post-COVID-19 complications. Despite progress, challenges persist, including the need for better culture-independent diagnostic tools and standardized research methods. Combining culturomics and metagenomics could help overcome these limitations and identify new treatment targets. By summarizing current knowledge and highlighting research gaps, this review aims to guide future studies on the mycobiome’s role in human health.","container-title":"Microbiology","DOI":"10.1099/mic.0.001631","ISSN":"1350-0872","issue":"12","journalAbbreviation":"Microbiology (Reading)","page":"001631","PMID":"41369685","PMCID":"PMC12694932","source":"PubMed Central","title":"The human mycobiome: a critical yet understudied component of health and disease","title-short":"The human mycobiome","volume":"171","author":[{"family":"Mohammadi","given":"Rasoul"},{"family":"Morovati","given":"Hamid"},{"family":"Safari","given":"Fatemeh"}],"issued":{"date-parts":[["2025",12,10]]}}}],"schema":"https://github.com/citation-style-language/schema/raw/master/csl-citation.json"} </w:instrText>
      </w:r>
      <w:r w:rsidRPr="00D93D74">
        <w:fldChar w:fldCharType="separate"/>
      </w:r>
      <w:r w:rsidRPr="00D93D74">
        <w:rPr>
          <w:rFonts w:cs="Times New Roman"/>
        </w:rPr>
        <w:t>(Mohammadi et al., 2025)</w:t>
      </w:r>
      <w:r w:rsidRPr="00D93D74">
        <w:fldChar w:fldCharType="end"/>
      </w:r>
      <w:r w:rsidRPr="00D93D74">
        <w:t xml:space="preserve">. </w:t>
      </w:r>
    </w:p>
    <w:p w14:paraId="1A7CC366" w14:textId="1C9E5DE5" w:rsidR="00EF305C" w:rsidRPr="00D93D74" w:rsidRDefault="00A000D8" w:rsidP="0041313D">
      <w:r w:rsidRPr="00D93D74">
        <w:t>Protozoa represent even less, ranging from 0.01 to 0.1% of the total relative abundance. P</w:t>
      </w:r>
      <w:r w:rsidR="00780B3B" w:rsidRPr="00D93D74">
        <w:t>rotozoa</w:t>
      </w:r>
      <w:r w:rsidR="00490445" w:rsidRPr="00D93D74">
        <w:t xml:space="preserve"> are</w:t>
      </w:r>
      <w:r w:rsidR="00780B3B" w:rsidRPr="00D93D74">
        <w:t xml:space="preserve"> </w:t>
      </w:r>
      <w:r w:rsidRPr="00D93D74">
        <w:t xml:space="preserve">present </w:t>
      </w:r>
      <w:r w:rsidR="00780B3B" w:rsidRPr="00D93D74">
        <w:t>in most stool samples</w:t>
      </w:r>
      <w:r w:rsidRPr="00D93D74">
        <w:t>,</w:t>
      </w:r>
      <w:r w:rsidR="00490445" w:rsidRPr="00D93D74">
        <w:t xml:space="preserve"> represented</w:t>
      </w:r>
      <w:r w:rsidRPr="00D93D74">
        <w:t xml:space="preserve"> mainly</w:t>
      </w:r>
      <w:r w:rsidR="00490445" w:rsidRPr="00D93D74">
        <w:t xml:space="preserve"> by </w:t>
      </w:r>
      <w:r w:rsidR="00780B3B" w:rsidRPr="00D93D74">
        <w:t xml:space="preserve">two </w:t>
      </w:r>
      <w:r w:rsidRPr="00D93D74">
        <w:t>dominant</w:t>
      </w:r>
      <w:r w:rsidR="00780B3B" w:rsidRPr="00D93D74">
        <w:t xml:space="preserve"> species</w:t>
      </w:r>
      <w:r w:rsidRPr="00D93D74">
        <w:t xml:space="preserve">, </w:t>
      </w:r>
      <w:r w:rsidR="00780B3B" w:rsidRPr="00D93D74">
        <w:rPr>
          <w:i/>
          <w:iCs/>
        </w:rPr>
        <w:t>Entamoeba</w:t>
      </w:r>
      <w:r w:rsidR="00780B3B" w:rsidRPr="00D93D74">
        <w:t> and </w:t>
      </w:r>
      <w:r w:rsidR="00780B3B" w:rsidRPr="00D93D74">
        <w:rPr>
          <w:i/>
          <w:iCs/>
        </w:rPr>
        <w:t>Blastocystis</w:t>
      </w:r>
      <w:r w:rsidR="00780B3B" w:rsidRPr="00D93D74">
        <w:t>, with the lat</w:t>
      </w:r>
      <w:r w:rsidRPr="00D93D74">
        <w:t>t</w:t>
      </w:r>
      <w:r w:rsidR="00780B3B" w:rsidRPr="00D93D74">
        <w:t>er being the most prevalent protozoa</w:t>
      </w:r>
      <w:r w:rsidRPr="00D93D74">
        <w:t>n</w:t>
      </w:r>
      <w:r w:rsidR="00780B3B" w:rsidRPr="00D93D74">
        <w:t xml:space="preserve"> in </w:t>
      </w:r>
      <w:r w:rsidRPr="00D93D74">
        <w:t xml:space="preserve">industrialized </w:t>
      </w:r>
      <w:r w:rsidR="00780B3B" w:rsidRPr="00D93D74">
        <w:t xml:space="preserve">populations </w:t>
      </w:r>
      <w:r w:rsidR="00780B3B" w:rsidRPr="00D93D74">
        <w:fldChar w:fldCharType="begin"/>
      </w:r>
      <w:r w:rsidR="001C2A55">
        <w:instrText xml:space="preserve"> ADDIN ZOTERO_ITEM CSL_CITATION {"citationID":"cYLALk4M","properties":{"formattedCitation":"(Aykur et al., 2024)","plainCitation":"(Aykur et al., 2024)","noteIndex":0},"citationItems":[{"id":3408,"uris":["http://zotero.org/users/8873894/items/HDIHMS36"],"itemData":{"id":3408,"type":"article-journal","abstract":"Blastocystis is the most common gastrointestinal protist found in humans and animals. Although the clinical significance of Blastocystis remains unclear, the organism is increasingly being viewed as a commensal member of the gut microbiome. However, its impact on the microbiome is still being debated. It is unclear whether Blastocystis promotes a healthy gut and microbiome directly or whether it is more likely to colonize and persist in a healthy gut environment. In healthy people, Blastocystis is frequently associated with increased bacterial diversity and significant differences in the gut microbiome. Based on current knowledge, it is not possible to determine whether differences in the gut microbiome are the cause or result of Blastocystis colonization. Although it is possible that some aspects of this eukaryote’s role in the intestinal microbiome remain unknown and that its effects vary, possibly due to subtype and intra-subtype variations and immune modulation, more research is needed to characterize these mechanisms in greater detail. This review covers recent findings on the effects of Blastocystis in the gut microbiome and immune modulation, its impact on the microbiome in autoimmune diseases, whether Blastocystis has a role like bacteria in the gut–brain axis, and its relationship with probiotics.","container-title":"Microorganisms","DOI":"10.3390/microorganisms12030461","ISSN":"2076-2607","issue":"3","language":"en","license":"http://creativecommons.org/licenses/by/3.0/","page":"461","publisher":"Multidisciplinary Digital Publishing Institute","source":"www.mdpi.com","title":"Blastocystis: A Mysterious Member of the Gut Microbiome","title-short":"Blastocystis","volume":"12","author":[{"family":"Aykur","given":"Mehmet"},{"family":"Malatyalı","given":"Erdoğan"},{"family":"Demirel","given":"Filiz"},{"family":"Cömert-Koçak","given":"Burçak"},{"family":"Gentekaki","given":"Eleni"},{"family":"Tsaousis","given":"Anastasios D."},{"family":"Dogruman-Al","given":"Funda"}],"issued":{"date-parts":[["2024",3]]}}}],"schema":"https://github.com/citation-style-language/schema/raw/master/csl-citation.json"} </w:instrText>
      </w:r>
      <w:r w:rsidR="00780B3B" w:rsidRPr="00D93D74">
        <w:fldChar w:fldCharType="separate"/>
      </w:r>
      <w:r w:rsidR="00780B3B" w:rsidRPr="00D93D74">
        <w:rPr>
          <w:rFonts w:cs="Times New Roman"/>
        </w:rPr>
        <w:t>(Aykur et al., 2024)</w:t>
      </w:r>
      <w:r w:rsidR="00780B3B" w:rsidRPr="00D93D74">
        <w:fldChar w:fldCharType="end"/>
      </w:r>
      <w:r w:rsidR="00780B3B" w:rsidRPr="00D93D74">
        <w:t xml:space="preserve">. </w:t>
      </w:r>
    </w:p>
    <w:p w14:paraId="19602621" w14:textId="77777777" w:rsidR="00780B3B" w:rsidRPr="00D93D74" w:rsidRDefault="00780B3B" w:rsidP="00FF1358"/>
    <w:p w14:paraId="3EE358B9" w14:textId="7A2C6F70" w:rsidR="00780B3B" w:rsidRPr="00D93D74" w:rsidRDefault="00780B3B">
      <w:pPr>
        <w:pStyle w:val="Naslov3"/>
        <w:numPr>
          <w:ilvl w:val="2"/>
          <w:numId w:val="3"/>
        </w:numPr>
      </w:pPr>
      <w:bookmarkStart w:id="184" w:name="_Toc219124855"/>
      <w:bookmarkStart w:id="185" w:name="_Toc220932823"/>
      <w:bookmarkStart w:id="186" w:name="_Toc228252010"/>
      <w:r w:rsidRPr="00D93D74">
        <w:t xml:space="preserve">Longitudinal studies of </w:t>
      </w:r>
      <w:bookmarkEnd w:id="184"/>
      <w:r w:rsidR="007730F9" w:rsidRPr="00D93D74">
        <w:t>bacterial communities in the human gut</w:t>
      </w:r>
      <w:bookmarkEnd w:id="185"/>
      <w:bookmarkEnd w:id="186"/>
      <w:r w:rsidR="007730F9" w:rsidRPr="00D93D74">
        <w:t xml:space="preserve"> </w:t>
      </w:r>
    </w:p>
    <w:p w14:paraId="32CF8773" w14:textId="38907E35" w:rsidR="00780B3B" w:rsidRPr="00D93D74" w:rsidRDefault="00780B3B" w:rsidP="00780B3B">
      <w:bookmarkStart w:id="187" w:name="_Hlk227841666"/>
      <w:r w:rsidRPr="00D93D74">
        <w:t xml:space="preserve">Longitudinal studies, in which microbiota is </w:t>
      </w:r>
      <w:r w:rsidR="009E4246" w:rsidRPr="00D93D74">
        <w:t xml:space="preserve">repeatedly </w:t>
      </w:r>
      <w:r w:rsidRPr="00D93D74">
        <w:t xml:space="preserve">sampled from the same individuals, provide the main empirical basis for understanding temporal dynamics and individuality in the human gut </w:t>
      </w:r>
      <w:bookmarkEnd w:id="187"/>
      <w:r w:rsidRPr="00D93D74">
        <w:fldChar w:fldCharType="begin"/>
      </w:r>
      <w:r w:rsidR="001C2A55">
        <w:instrText xml:space="preserve"> ADDIN ZOTERO_ITEM CSL_CITATION {"citationID":"HGfrCYqt","properties":{"formattedCitation":"(Schlomann &amp; Parthasarathy, 2019)","plainCitation":"(Schlomann &amp; Parthasarathy, 2019)","noteIndex":0},"citationItems":[{"id":3342,"uris":["http://zotero.org/users/8873894/items/BAUF6V4L"],"itemData":{"id":3342,"type":"article-journal","abstract":"Vast communities of microorganisms inhabit the gastrointestinal tracts of humans and other animals. Understanding their initial development, fluctuations in composition, stability over long times, and responses to transient perturbations – in other words their dynamics – is important both for gaining basic insights into these ecosystems and for rationally manipulating them for therapeutic ends. Gut microbiome dynamics, however, remain poorly understood. We review here studies of gut microbiome dynamics in the presence and absence of external perturbations, noting especially the long timescales associated with overall stability and the short timescales associated with various underlying biological processes. Integrating these disparate timescales, we suggest, is an important goal for future work and is necessary for developing a predictive understanding of microbiome dynamics.","collection-title":"Microbiota","container-title":"Current Opinion in Microbiology","DOI":"10.1016/j.mib.2019.09.011","ISSN":"1369-5274","journalAbbreviation":"Current Opinion in Microbiology","page":"56-63","source":"ScienceDirect","title":"Timescales of gut microbiome dynamics","volume":"50","author":[{"family":"Schlomann","given":"Brandon H"},{"family":"Parthasarathy","given":"Raghuveer"}],"issued":{"date-parts":[["2019",8,1]]}}}],"schema":"https://github.com/citation-style-language/schema/raw/master/csl-citation.json"} </w:instrText>
      </w:r>
      <w:r w:rsidRPr="00D93D74">
        <w:fldChar w:fldCharType="separate"/>
      </w:r>
      <w:r w:rsidRPr="00D93D74">
        <w:t>(Schlomann &amp; Parthasarathy, 2019)</w:t>
      </w:r>
      <w:r w:rsidRPr="00D93D74">
        <w:fldChar w:fldCharType="end"/>
      </w:r>
      <w:r w:rsidRPr="00D93D74">
        <w:t xml:space="preserve">. Several longitudinal studies have been conducted on the gut microbiota. Cohorts have ranged from single‑subject dense time series to hundreds of participants, with sampling intervals from days to months or </w:t>
      </w:r>
      <w:ins w:id="188" w:author="Urša Miklavčič" w:date="2026-04-28T08:23:00Z" w16du:dateUtc="2026-04-28T06:23:00Z">
        <w:r w:rsidR="00DA5B9B">
          <w:t xml:space="preserve">even </w:t>
        </w:r>
      </w:ins>
      <w:del w:id="189" w:author="Urša Miklavčič" w:date="2026-04-28T18:14:00Z" w16du:dateUtc="2026-04-28T16:14:00Z">
        <w:r w:rsidRPr="00D93D74" w:rsidDel="00207CEB">
          <w:delText>years, and</w:delText>
        </w:r>
      </w:del>
      <w:ins w:id="190" w:author="Urša Miklavčič" w:date="2026-04-28T18:14:00Z" w16du:dateUtc="2026-04-28T16:14:00Z">
        <w:r w:rsidR="00207CEB" w:rsidRPr="00D93D74">
          <w:t>years</w:t>
        </w:r>
        <w:r w:rsidR="00207CEB">
          <w:t xml:space="preserve">. </w:t>
        </w:r>
      </w:ins>
      <w:del w:id="191" w:author="Urša Miklavčič" w:date="2026-04-28T18:14:00Z" w16du:dateUtc="2026-04-28T16:14:00Z">
        <w:r w:rsidRPr="00D93D74" w:rsidDel="00207CEB">
          <w:delText xml:space="preserve"> t</w:delText>
        </w:r>
      </w:del>
      <w:del w:id="192" w:author="Urša Miklavčič" w:date="2026-04-28T18:15:00Z" w16du:dateUtc="2026-04-28T16:15:00Z">
        <w:r w:rsidRPr="00D93D74" w:rsidDel="00207CEB">
          <w:delText xml:space="preserve">ypically focus on one geographical region. </w:delText>
        </w:r>
      </w:del>
      <w:r w:rsidRPr="00D93D74">
        <w:t>Most studies have profiled bacteria using 16S rRNA gene amplicon sequencing, but some have also characterized fungi by targeting the ITS region or 18S rRNA gene</w:t>
      </w:r>
      <w:r w:rsidR="009E4246" w:rsidRPr="00D93D74">
        <w:t>. A</w:t>
      </w:r>
      <w:r w:rsidRPr="00D93D74">
        <w:t>n increasing number now use shotgun metagenomics to capture strain</w:t>
      </w:r>
      <w:r w:rsidR="009E4246" w:rsidRPr="00D93D74">
        <w:t>-</w:t>
      </w:r>
      <w:r w:rsidRPr="00D93D74">
        <w:t>level and functional dynamics, with some studies also including multi-omics</w:t>
      </w:r>
      <w:ins w:id="193" w:author="Urša Miklavčič" w:date="2026-04-28T18:15:00Z" w16du:dateUtc="2026-04-28T16:15:00Z">
        <w:r w:rsidR="00207CEB">
          <w:t>’</w:t>
        </w:r>
      </w:ins>
      <w:r w:rsidRPr="00D93D74">
        <w:t xml:space="preserve"> approaches. Studies focusing on viruses use specialised DNA or RNA isolation methods or enrichment prior to sequencing. </w:t>
      </w:r>
    </w:p>
    <w:p w14:paraId="150FE9E9" w14:textId="77777777" w:rsidR="00780B3B" w:rsidRPr="00D93D74" w:rsidRDefault="00780B3B" w:rsidP="00FF1358"/>
    <w:p w14:paraId="1A4D1F4B" w14:textId="7B6D37E0" w:rsidR="00570D04" w:rsidRPr="00D93D74" w:rsidRDefault="00570D04">
      <w:pPr>
        <w:pStyle w:val="Naslov4"/>
        <w:numPr>
          <w:ilvl w:val="3"/>
          <w:numId w:val="3"/>
        </w:numPr>
      </w:pPr>
      <w:bookmarkStart w:id="194" w:name="_Toc220932824"/>
      <w:r w:rsidRPr="00D93D74">
        <w:t xml:space="preserve">Culture-independent longitudinal studies of human gut </w:t>
      </w:r>
      <w:r w:rsidR="00780B3B" w:rsidRPr="00D93D74">
        <w:t>bacteria</w:t>
      </w:r>
      <w:bookmarkEnd w:id="194"/>
    </w:p>
    <w:p w14:paraId="4D320028" w14:textId="625819A2" w:rsidR="00DA42F5" w:rsidRPr="00D93D74" w:rsidRDefault="00DA42F5" w:rsidP="00DA42F5">
      <w:r w:rsidRPr="00D93D74">
        <w:t xml:space="preserve">Early longitudinal studies relied on DGGE (denaturing gradient gel electrophoresis) or DNA microarrays </w:t>
      </w:r>
      <w:r w:rsidRPr="00D93D74">
        <w:fldChar w:fldCharType="begin"/>
      </w:r>
      <w:r w:rsidR="001C2A55">
        <w:instrText xml:space="preserve"> ADDIN ZOTERO_ITEM CSL_CITATION {"citationID":"LOwPCSdv","properties":{"formattedCitation":"(Duytschaever et al., 2011; Jalanka-Tuovinen et al., 2011; Rajili\\uc0\\u263{}-Stojanovi\\uc0\\u263{} et al., 2013)","plainCitation":"(Duytschaever et al., 2011; Jalanka-Tuovinen et al., 2011; Rajilić-Stojanović et al., 2013)","noteIndex":0},"citationItems":[{"id":1627,"uris":["http://zotero.org/users/8873894/items/CEPWCUEG"],"itemData":{"id":1627,"type":"article-journal","abstract":"Although only poorly documented, it can be assumed that intensive antibiotic treatments of chronic lung infections in patients with cystic fibrosis (CF) also affect the diversity and metabolic functioning of the gastrointestinal microbiota and potentially lead to a state of dysbiosis. A better knowledge of the differences in gut microbiota composition and stability between patients with CF and healthy subjects could lead to optimization of current antibiotic therapies and/or development of add-on therapies. Using conventional culturing and population fingerprinting by denaturing gradient gel electrophoresis (DGGE) of 16S rRNA amplicons, we compared the predominant fecal microbiota of 21 patients with CF and 24 healthy siblings in a cross-sectional study. General medium counts, as well as counts on media specific for lactic acid bacteria, clostridia, Bifidobacterium spp., Veillonella spp., and Bacteroides-Prevotella spp., were consistently higher in sibling samples than in CF samples, whereas the reverse was found for enterobacterial counts. DGGE fingerprinting uncovered large intersubject variations in both study groups. On the other hand, the cross-sectional data indicated that the predominant fecal microbiota of patients and siblings had comparable species richness. In addition, a longitudinal study was performed on 7 or 8 consecutive samples collected over a 2-year period from two patients and their respective siblings. For these samples, DGGE profiling indicated an overall trend toward lower temporal stability and lower species richness in the predominant fecal CF microbiota. The observed compositional and dynamic perturbations provide the first evidence of a general dysbiosis in children with CF compared to their siblings.","container-title":"Applied and Environmental Microbiology","DOI":"10.1128/AEM.05933-11","ISSN":"1098-5336","issue":"22","journalAbbreviation":"Appl Environ Microbiol","language":"eng","page":"8015-8024","PMID":"21926193","PMCID":"PMC3208981","source":"PubMed","title":"Cross-sectional and longitudinal comparisons of the predominant fecal microbiota compositions of a group of pediatric patients with cystic fibrosis and their healthy siblings","volume":"77","author":[{"family":"Duytschaever","given":"Gwen"},{"family":"Huys","given":"Geert"},{"family":"Bekaert","given":"Maarten"},{"family":"Boulanger","given":"Linda"},{"family":"De Boeck","given":"Kris"},{"family":"Vandamme","given":"Peter"}],"issued":{"date-parts":[["2011",11]]}}},{"id":1626,"uris":["http://zotero.org/users/8873894/items/7BZQZ77R"],"itemData":{"id":1626,"type":"article-journal","abstract":"BACKGROUND: While our knowledge of the intestinal microbiota during disease is accumulating, basic information of the microbiota in healthy subjects is still scarce. The aim of this study was to characterize the intestinal microbiota of healthy adults and specifically address its temporal stability, core microbiota and relation with intestinal symptoms. We carried out a longitudinal study by following a set of 15 healthy Finnish subjects for seven weeks and regularly assessed their intestinal bacteria and archaea with the Human Intestinal Tract (HIT) Chip, a phylogenetic microarray, in conjunction with qPCR analyses. The health perception and occurrence of intestinal symptoms was recorded by questionnaire at each sampling point.\nPRINCIPAL FINDINGS: A high overall temporal stability of the microbiota was observed. Five subjects showed transient microbiota destabilization, which correlated not only with the intake of antibiotics but also with overseas travelling and temporary illness, expanding the hitherto known factors affecting the intestinal microbiota. We identified significant correlations between the microbiota and common intestinal symptoms, including abdominal pain and bloating. The most striking finding was the inverse correlation between Bifidobacteria and abdominal pain: subjects who experienced pain had over five-fold less Bifidobacteria compared to those without pain. Finally, a novel computational approach was used to define the common core microbiota, highlighting the role of the analysis depth in finding the phylogenetic core and estimating its size. The in-depth analysis suggested that we share a substantial number of our intestinal phylotypes but as they represent highly variable proportions of the total community, many of them often remain undetected.\nCONCLUSIONS/SIGNIFICANCE: A global and high-resolution microbiota analysis was carried out to determine the temporal stability, the associations with intestinal symptoms, and the individual and common core microbiota in healthy adults. The findings provide new approaches to define intestinal health and to further characterize the microbial communities inhabiting the human gut.","container-title":"PloS One","DOI":"10.1371/journal.pone.0023035","ISSN":"1932-6203","issue":"7","journalAbbreviation":"PLoS One","language":"eng","page":"e23035","PMID":"21829582","PMCID":"PMC3145776","source":"PubMed","title":"Intestinal microbiota in healthy adults: temporal analysis reveals individual and common core and relation to intestinal symptoms","title-short":"Intestinal microbiota in healthy adults","volume":"6","author":[{"family":"Jalanka-Tuovinen","given":"Jonna"},{"family":"Salonen","given":"Anne"},{"family":"Nikkilä","given":"Janne"},{"family":"Immonen","given":"Outi"},{"family":"Kekkonen","given":"Riina"},{"family":"Lahti","given":"Leo"},{"family":"Palva","given":"Airi"},{"family":"Vos","given":"Willem M.","non-dropping-particle":"de"}],"issued":{"date-parts":[["2011"]]}}},{"id":1514,"uris":["http://zotero.org/users/8873894/items/GISEGPM4"],"itemData":{"id":1514,"type":"article-journal","abstract":"The microbiota that colonizes the human intestinal tract is complex and its structure is specific for each of us. In this study we expand the knowledge about the stability of the subject-specific microbiota and show that this ecosystem is stable in short-term intervals (&lt; 1 year) but also during long periods of time (&gt; 10 years). The faecal microbiota composition of five unrelated and healthy subjects was analysed using a comprehensive and highly reproducible phylogenetic microarray, the HITChip. The results show that the use of antibiotics, application of specific dietary regimes and distant travelling have limited impact on the</w:instrText>
      </w:r>
      <w:r w:rsidR="001C2A55" w:rsidRPr="001C2A55">
        <w:rPr>
          <w:lang w:val="es-ES"/>
          <w:rPrChange w:id="195" w:author="Urša Miklavčič" w:date="2026-04-28T11:14:00Z" w16du:dateUtc="2026-04-28T09:14:00Z">
            <w:rPr/>
          </w:rPrChange>
        </w:rPr>
        <w:instrText xml:space="preserve"> microbiota composition. Several anaerobic genera, including Bifidobacterium and a number of genera within the Bacteroidetes and the Firmicutes phylum, exhibit significantly higher similarity than the total microbiota. Although the gut microbiota contains subject-specific species, the presence of which is preserved throughout the years, their relative abundance changes considerably. Consequently, the recently proposed enterotype status appears to be a varying characteristic of the microbiota. Our data show that the intestinal microbiota contains a core community of permanent colonizers, and that environmentally introduced changes of the microbiota throughout adulthood are primarily affecting the abundance but not the presence of specific microbial species.","container-title":"Environmental Microbiology","DOI":"10.1111/1462-2920.12023","ISSN":"1462-2920","issue":"4","language":"en","note":"_eprint: https://onlinelibrary.wiley.com/doi/pdf/10.1111/1462-2920.12023","page":"1146-1159","source":"Wiley Online Library","title":"Long-term monitoring of the human intestinal microbiota composition","volume":"15","author":[{"family":"Rajilić-Stojanović","given":"Mirjana"},{"family":"Heilig","given":"Hans G. H. J."},{"family":"Tims","given":"Sebastian"},{"family":"Zoetendal","given":"Erwin G."},{"family":"Vos","given":"Willem M.","non-dropping-particle":"de"}],"issued":{"date-parts":[["2013"]]}}}],"schema":"https://github.com/citation-style-language/schema/raw/master/csl-citation.json"} </w:instrText>
      </w:r>
      <w:r w:rsidRPr="00D93D74">
        <w:fldChar w:fldCharType="separate"/>
      </w:r>
      <w:r w:rsidRPr="00236DBE">
        <w:rPr>
          <w:lang w:val="es-ES"/>
        </w:rPr>
        <w:t>(Duytschaever et al., 2011; Jalanka-Tuovinen et al., 2011; Rajilić-Stojanović et al., 2013)</w:t>
      </w:r>
      <w:r w:rsidRPr="00D93D74">
        <w:fldChar w:fldCharType="end"/>
      </w:r>
      <w:r w:rsidRPr="00236DBE">
        <w:rPr>
          <w:lang w:val="es-ES"/>
        </w:rPr>
        <w:t xml:space="preserve">. </w:t>
      </w:r>
      <w:r w:rsidRPr="00D93D74">
        <w:t xml:space="preserve">With the advancement of next‑generation sequencing, 16S rRNA amplicon sequencing rapidly became the dominant approach </w:t>
      </w:r>
      <w:r w:rsidRPr="00D93D74">
        <w:fldChar w:fldCharType="begin"/>
      </w:r>
      <w:r w:rsidR="001C2A55">
        <w:instrText xml:space="preserve"> ADDIN ZOTERO_ITEM CSL_CITATION {"citationID":"TgqujY3O","properties":{"formattedCitation":"(Caporaso et al., 2011; Claesson et al., 2011; Clooney et al., 2021; Costello et al., 2009; David et al., 2014; Dubois et al., 2017; Faith et al., 2013; Flores et al., 2014; Fu et al., 2019; Hao et al., 2018; Hisada et al., 2015; Jayasinghe et al., 2017; Levy et al., 2020; Mart\\uc0\\u237{}nez et al., 2013; Martinson et al., 2019; Olsson et al., 2022; Turroni et al., 2017)","plainCitation":"(Caporaso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2017)","noteIndex":0},"citationItems":[{"id":1171,"uris":["http://zotero.org/users/8873894/items/J7BXX9RI"],"itemData":{"id":1171,"type":"article-journal","abstract":"Background: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I"},{"family":"Knight","given":"Rob"}],"issued":{"date-parts":[["2011"]]}}},{"id":1616,"uris":["http://zotero.org/users/8873894/items/5CR64PC5"],"itemData":{"id":1616,"type":"article-journal","abstract":"Alterations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W."}],"issued":{"date-parts":[["2011",3,15]]}}},{"id":1639,"uris":["http://zotero.org/users/8873894/items/GHJ58Y3G"],"itemData":{"id":1639,"type":"article-journal","abstract":"Objective The microbiome contributes to the pathogenesis of inflammatory bowel disease (IBD) but the relative contribution of different lifestyle and environmental factors to the compositional variability of the gut microbiota is unclear.\nDesign Here, we rank the size effect of disease activity, medications, diet and geographic location of the faecal microbiota composition (16S rRNA gene sequencing) in patients with Crohn’s disease (CD; n=303), ulcerative colitis (UC; n = 228) and controls (n=161), followed longitudinally (at three time points with 16 weeks intervals).\nResults Reduced microbiota diversity but increased variability was confirmed in CD and UC compared with controls. Significant compositional differences between diseases, particularly CD, and controls were evident. Longitudinal analyses revealed reduced temporal microbiota stability in IBD, particularly in patients with changes in disease activity. Machine learning separated disease from controls, and active from inactive disease, when consecutive time points were modelled. Geographic location accounted for most of the microbiota variance, second to the presence or absence of CD, followed by history of surgical resection, alcohol consumption and UC diagnosis, medications and diet with most (90.3%) of the compositional variance stochastic or unexplained.\nConclusion The popular concept of precision medicine and rational design of any therapeutic manipulation of the microbiota will have to contend not only with the heterogeneity of the host response, but also with widely differing lifestyles and with much variance still unaccounted for.","container-title":"Gut","DOI":"10.1136/gutjnl-2020-321106","ISSN":"0017-5749, 1468-3288","issue":"3","language":"en","license":"©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http://creativecommons.org/licenses/by-nc/4.0/.","page":"499-510","PMID":"32536605","publisher":"BMJ Publishing Group","section":"Inflammatory bowel disease","source":"gut.bmj.com","title":"Ranking microbiome variance in inflammatory bowel disease: a large longitudinal intercontinental study","title-short":"Ranking microbiome variance in inflammatory bowel disease","volume":"70","author":[{"family":"Clooney","given":"Adam G."},{"family":"Eckenberger","given":"Julia"},{"family":"Laserna-Mendieta","given":"Emilio"},{"family":"Sexton","given":"Kathryn A."},{"family":"Bernstein","given":"Matthew T."},{"family":"Vagianos","given":"Kathy"},{"family":"Sargent","given":"Michael"},{"family":"Ryan","given":"Feargal J."},{"family":"Moran","given":"Carthage"},{"family":"Sheehan","given":"Donal"},{"family":"Sleator","given":"Roy D."},{"family":"Targownik","given":"Laura E."},{"family":"Bernstein","given":"Charles N."},{"family":"Shanahan","given":"Fergus"},{"family":"Claesson","given":"Marcus J."}],"issued":{"date-parts":[["2021",3,1]]}}},{"id":1172,"uris":["http://zotero.org/users/8873894/items/UW5I5LEN"],"itemData":{"id":1172,"type":"article-journal","container-title":"Science","DOI":"10.1126/science.1177486","issue":"5960","page":"1694-1697","publisher":"American Association for the Advancement of Science","source":"science.org (Atypon)","title":"Bacterial Community Variation in Human Body Habitats Across Space and Time","volume":"326","author":[{"family":"Costello","given":"Elizabeth K."},{"family":"Lauber","given":"Christian L."},{"family":"Hamady","given":"Micah"},{"family":"Fierer","given":"Noah"},{"family":"Gordon","given":"Jeffrey I."},{"family":"Knight","given":"Rob"}],"issued":{"date-parts":[["2009",12,18]]}}},{"id":1176,"uris":["http://zotero.org/users/8873894/items/BZDKSHQD"],"itemData":{"id":1176,"type":"article-journal","abstract":"Background: Disturbance to human microbiota may underlie several pathologies. Yet, we lack a comprehensive understanding of how lifestyle affects the dynamics of human-associated microbial communities.\nResults: Here, we link over 10,000 longitudinal measurements of human wellness and action to the daily gut and salivary microbiota dynamics of two individuals over the course of one year. These time series show overall microbial communities to be stable for months. However, rare events in each subjects’ life rapidly and broadly impacted microbiota dynamics. Travel from the developed to the developing world in one subject led to a nearly two-fold increase in the Bacteroidetes to Firmicutes ratio, which reversed upon return. Enteric infection in the other subject resulted in the permanent decline of most gut bacterial taxa, which were replaced by genetically similar species. Still, even during periods of overall community stability, the dynamics of select microbial taxa could be associated with specific host behaviors. Most prominently, changes in host fiber intake positively correlated with next-day abundance changes among 15% of gut microbiota members.\nConclusions: Our findings suggest that although human-associated microbial communities are generally stable, they can be quickly and profoundly altered by common human actions and experiences.","container-title":"Genome Biology","DOI":"10.1186/gb-2014-15-7-r89","ISSN":"1465-6906","issue":"7","journalAbbreviation":"Genome Biol","language":"en","page":"R89","source":"DOI.org (Crossref)","title":"Host lifestyle affects human microbiota on daily timescales","volume":"15","author":[{"family":"David","given":"Lawrence A"},{"family":"Materna","given":"Arne C"},{"family":"Friedman","given":"Jonathan"},{"family":"Campos-Baptista","given":"Maria I"},{"family":"Blackburn","given":"Matthew C"},{"family":"Perrotta","given":"Allison"},{"family":"Erdman","given":"Susan E"},{"family":"Alm","given":"Eric J"}],"issued":{"date-parts":[["2014"]]}}},{"id":1633,"uris":["http://zotero.org/users/8873894/items/8AT8KFEK"],"itemData":{"id":1633,"type":"article-journal","abstract":"BACKGROUND: The human gut microbiome represents a diverse microbial community that varies across individuals and populations, and is influenced by factors such as host genetics and lifestyle. Diet is a major force shaping the gut microbiome, and the effects of dietary choices on microbiome composition are well documented. However, it remains poorly known how natural temporal variation in diet can affect the microbiome. The traditional Inuit diet is primarily based on animal products, which are thought to vary seasonally according to prey availability. We previously investigated the Inuit gut microbiome sampled at a single time point, and found no detectable differences in overall microbiome community composition attributable to the traditional Inuit diet.\nRESULTS: To determine whether seasonal changes in the Inuit diet might induce more pronounced changes in the microbiome, we collected stool and toilet paper samples, and dietary information from Inuit volunteers living in Resolute Bay (Nunavut, Canada), and compared them to individuals of European descent living in Montréal (Québec, Canada) consuming a typical Western diet. We sequenced the V4 region of the 16S rRNA gene to characterize microbiome diversity and composition, and compared samples collected with toilet paper or from stool. Our results show that these sampling methods provide similar, but non-identical portraits of the microbiome. Based on toilet paper samples, we found that much of the variation in microbiome community composition could be explained by individual identity (45-61% of variation explained, depending on the beta diversity metric used), with small but significant variation (3-5%) explained by sex or geography (Nunavut or Montréal). In contrast with our previous study at one time point, sampling over the course of a year revealed that diet explains 11% of variation in community composition across all participants, and 17% of variation specifically among Nunavut participants. However, we observed no clear seasonal shifts in the microbiomes of participants from either Nunavut or Montréal. Within-individual microbial diversity fluctuated more over time in Nunavut than in Montréal, consistent with a more variable and highly individualized diet in Nunavut.\nCONCLUSIONS: Together, these results shows that the traditional Inuit diet and lifestyle has an impact on the composition, diversity and stability of the Inuit gut microbiome, even if the seasonality of the diet is less pronounced than expected, perhaps due to an increasingly westernized diet.","container-title":"Microbiome","DOI":"10.1186/s40168-017-0370-7","ISSN":"2049-2618","issue":"1","journalAbbreviation":"Microbiome","language":"eng","page":"151","PMID":"29145891","PMCID":"PMC5689144","source":"PubMed","title":"The Inuit gut microbiome is dynamic over time and shaped by traditional foods","volume":"5","author":[{"family":"Dubois","given":"Geneviève"},{"family":"Girard","given":"Catherine"},{"family":"Lapointe","given":"François-Joseph"},{"family":"Shapiro","given":"B. Jesse"}],"issued":{"date-parts":[["2017",11,16]]}}},{"id":1170,"uris":["http://zotero.org/users/8873894/items/C29JXBJV"],"itemData":{"id":1170,"type":"article-journal","abstract":"A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I."}],"issued":{"date-parts":[["2013",7,5]]}}},{"id":1503,"uris":["http://zotero.org/users/8873894/items/DTPQY9MB"],"itemData":{"id":1503,"type":"article-journal","abstract":"It is now apparent that the complex microbial communities found on and in the human body vary across individuals. What has largely been missing from previous studies is an understanding of how these communities vary over time within individuals. To the extent to which it has been considered, it is often assumed that temporal variability is negligible for healthy adults. Here we address this gap in understanding by profiling the forehead, gut (fecal), palm, and tongue microbial communities in 85 adults, weekly over 3 months.","container-title":"Genome Biology","DOI":"10.1186/s13059-014-0531-y","ISSN":"1474-760X","issue":"12","journalAbbreviation":"Genome Biology","page":"531","source":"BioMed Central","title":"Temporal variability is a personalized feature of the human microbiome","volume":"15","author":[{"family":"Flores","given":"Gilberto E."},{"family":"Caporaso","given":"J. Gregory"},{"family":"Henley","given":"Jessica B."},{"family":"Rideout","given":"Jai Ram"},{"family":"Domogala","given":"Daniel"},{"family":"Chase","given":"John"},{"family":"Leff","given":"Jonathan W."},{"family":"Vázquez-Baeza","given":"Yoshiki"},{"family":"Gonzalez","given":"Antonio"},{"family":"Knight","given":"Rob"},{"family":"Dunn","given":"Robert R."},{"family":"Fierer","given":"Noah"}],"issued":{"date-parts":[["2014",12,3]]}}},{"id":1635,"uris":["http://zotero.org/users/8873894/items/4MHV6IR7"],"itemData":{"id":1635,"type":"article-journal","abstract":"BACKGROUND: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J."}],"issued":{"date-parts":[["2019",1]]}}},{"id":1126,"uris":["http://zotero.org/users/8873894/items/J48JRAKJ"],"itemData":{"id":1126,"type":"article-journal","abstract":"Understanding the dynamics of human gut microbiota in space is crucial in maintaining astronaut health. Long-duration and deep-space manned exploration will require the in situ regeneration of resources, which would be achieved by an artificial ecosystem, such as a bioregenerative life-support system (BLSS). Potential response of human gut microbiota to particular lifestyle and dietary structure experienced in a BLSS remains unclear. Here, we report how a BLSS impacts the gut microbiota during a 105-day study that took place in the Chinese Lunar Palace 1 (LP1). The three crewmembers were provided with high-plant and high-fibre diet, and they followed a fixed schedule including extensive labour in the plant cabin. The gut microbiota composition of the three crewmembers showed convergence and similar dynamic change. Increased diversity and abundance of Lachnospira, Faecalibacterium and Blautia indicated that the LP1 dietary structure and the lifestyle may be beneficial for the maintenance of healthy gut microbiome. A stronger impact was found from the gut microbiome to the environment compared with the opposite direction, suggesting the necessity of environmental pathogen control in BLSS.","container-title":"Environmental Microbiology","DOI":"10.1111/1462-2920.14358","ISSN":"1462-2920","issue":"10","language":"en","note":"_eprint: https://onlinelibrary.wiley.com/doi/pdf/10.1111/1462-2920.14358","page":"3643-3656","source":"Wiley Online Library","title":"The influence of bioregenerative life-support system dietary structure and lifestyle on the gut microbiota: a 105-day ground-based space simulation in Lunar Palace 1","title-short":"The influence of bioregenerative life-support system dietary structure and lifestyle on the gut microbiota","volume":"20","author":[{"family":"Hao","given":"Zikai"},{"family":"Li","given":"Leyuan"},{"family":"Fu","given":"Yuming"},{"family":"Liu","given":"Hong"}],"issued":{"date-parts":[["2018"]]}}},{"id":1630,"uris":["http://zotero.org/users/8873894/items/Q4QP9PMD"],"itemData":{"id":1630,"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1124,"uris":["http://zotero.org/users/8873894/items/HWV479CZ"],"itemData":{"id":1124,"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M."}],"issued":{"date-parts":[["2017",12,1]]}}},{"id":1066,"uris":["http://zotero.org/users/8873894/items/3GTDIIXU"],"itemData":{"id":1066,"type":"article-journal","abstract":"Deep molecular phenotyping of individuals provides the opportunity for biological insight into host physiology. As the human microbiome is increasingly being recognized as an important determinant of host health, understanding the host–microbiome relationship in a multiomics context may pave the way forward for targeted interventions. In this study, we analyze gut microbial composition of 101 individuals over the course of a year, alongside clinical markers and serum metabolomics. We establish association between specific gut compositional states and host health biomarkers (e.g., of inflammation). Finally, we provide evidence for an apparent transition barrier between these compositional states. A deeper understanding of microbiome dynamics and the associated variation in host phenotypes furthers our ability to engineer effective interventions that optimize wellness., The Pioneer 100 Wellness Project involved quantitatively profiling 108 participants’ molecular physiology over time, including genomes, gut microbiomes, blood metabolomes, blood proteomes, clinical chemistries, and data from wearable devices. Here, we present a longitudinal analysis focused specifically around the Pioneer 100 gut microbiomes. We distinguished a subpopulation of individuals with reduced gut diversity, elevated relative abundance of the genus Prevotella, and reduced levels of the genus Bacteroides. We found that the relative abundances of Bacteroides and Prevotella were significantly correlated with certain serum metabolites, including omega-6 fatty acids. Primary dimensions in distance-based redundancy analysis of clinical chemistries explained 18.5% of the variance in bacterial community composition, and revealed a Bacteroides/Prevotella dichotomy aligned with inflammation and dietary markers. Finally, longitudinal analysis of gut microbiome dynamics within individuals showed that direct transitions between Bacteroides-dominated and Prevotella-dominated communities were rare, suggesting the presence of a barrier between these states. One implication is that interventions seeking to transition between Bacteroides- and Prevotella-dominated communities will need to identify permissible paths through ecological state-space that circumvent this apparent barrier.","container-title":"Proceedings of the National Academy of Sciences of the United States of America","DOI":"10.1073/pnas.1922498117","ISSN":"0027-8424","issue":"24","journalAbbreviation":"Proc Natl Acad Sci U S A","page":"13839-13845","PMID":"32471946","PMCID":"PMC7306764","source":"PubMed Central","title":"Longitudinal analysis reveals transition barriers between dominant ecological states in the gut microbiome","volume":"117","author":[{"family":"Levy","given":"Roie"},{"family":"Magis","given":"Andrew T."},{"family":"Earls","given":"John C."},{"family":"Manor","given":"Ohad"},{"family":"Wilmanski","given":"Tomasz"},{"family":"Lovejoy","given":"Jennifer"},{"family":"Gibbons","given":"Sean M."},{"family":"Omenn","given":"Gilbert S."},{"family":"Hood","given":"Leroy"},{"family":"Price","given":"Nathan D."}],"issued":{"date-parts":[["2020",6,16]]}}},{"id":1127,"uris":["http://zotero.org/users/8873894/items/BJP4NI43"],"itemData":{"id":1127,"type":"article-journal","abstract":"Next-generation sequencing has greatly contributed to an improved ecological understanding of the human gut microbiota. Nevertheless, questions remain regarding the characteristics of this ecosystem and the ecological processes that shape it, and controversy has arisen regarding the stability of the bacterial populations and the existence of a temporal core. In this study, we have characterized the fecal microbial communities of three human individuals over a one-year period by 454 pyrosequencing of 16S rRNA tags in order to investigate the temporal characteristics of the bacterial communities. The findings revealed a temporal core of 33 to 40 species-level Operational Taxonomic Units (OTUs) within subjects. Although these OTUs accounted only for around 12% of the total OTUs detected, they added up to &gt;75% of the total sequences obtained for each individual. In order to determine the capacity of the sequencing and bioinformatic approaches applied during this study to accurately determine the proportion of a core microbiota, we analyzed the fecal microbiota of nine mice with a defined three-member community. This experiment revealed that the sequencing approach inflated the amount of rare OTUs, which introduced a significant degree of artificial variation across samples, and hence reduced the apparent fraction of shared OTUs. However, when assessing the data quantitatively by focusing on dominant lineages, the sequencing approaches deliver an accurate representation of the community. In conclusion, this study revealed that the human fecal microbiota is dominated by around 40 species that maintain persistent populations over the duration of one year. The findings allow conclusions about the ecological factors that shape the community and support the concept of a homeostatic ecosystem controlled largely by deterministic processes. Our analysis of a three-member community revealed that methodological artifacts of OTU-based approaches complicate core calculations, and these limitations have to be considered in the interpretation of microbiome studies.","container-title":"PLOS ONE","DOI":"10.1371/journal.pone.0069621","ISSN":"1932-6203","issue":"7","journalAbbreviation":"PLOS ONE","language":"en","page":"e69621","publisher":"Public Library of Science","source":"PLoS Journals","title":"Long-Term Temporal Analysis of the Human Fecal Microbiota Revealed a Stable Core of Dominant Bacterial Species","volume":"8","author":[{"family":"Martínez","given":"Inés"},{"family":"Muller","given":"Catherine E."},{"family":"Walter","given":"Jens"}],"issued":{"date-parts":[["2013",7,16]]}}},{"id":1129,"uris":["http://zotero.org/users/8873894/items/NLVU5PGV"],"itemData":{"id":1129,"type":"article-journal","abstract":"Longitudinal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T."}],"issued":{"date-parts":[["2019",9]]}}},{"id":1105,"uris":["http://zotero.org/users/8873894/items/5KAPHFKS"],"itemData":{"id":1105,"type":"article-journal","abstract":"Temporal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1125,"uris":["http://zotero.o</w:instrText>
      </w:r>
      <w:r w:rsidR="001C2A55" w:rsidRPr="001C2A55">
        <w:rPr>
          <w:lang w:val="es-ES"/>
          <w:rPrChange w:id="196" w:author="Urša Miklavčič" w:date="2026-04-28T11:14:00Z" w16du:dateUtc="2026-04-28T09:14:00Z">
            <w:rPr/>
          </w:rPrChange>
        </w:rPr>
        <w:instrText xml:space="preserve">rg/users/8873894/items/MAYR2WCS"],"itemData":{"id":1125,"type":"article-journal","abstract":"The intestinal microbial communities and their temporal dynamics are gaining increasing interest due to the significant implications for human health. Recent studies have shown the dynamic behavior of the gut microbiota in free-living, healthy persons. To date, it is not known whether these dynamics are applicable during prolonged life sharing in a confined and controlled environment.","container-title":"Microbiome","DOI":"10.1186/s40168-017-0256-8","ISSN":"2049-2618","issue":"1","journalAbbreviation":"Microbiome","page":"39","source":"BioMed Central","title":"Temporal dynamics of the gut microbiota in people sharing a confined environment, a 520-day ground-based space simulation, MARS500","volume":"5","author":[{"family":"Turroni","given":"Silvia"},{"family":"Rampelli","given":"Simone"},{"family":"Biagi","given":"Elena"},{"family":"Consolandi","given":"Clarissa"},{"family":"Severgnini","given":"Marco"},{"family":"Peano","given":"Clelia"},{"family":"Quercia","given":"Sara"},{"family":"Soverini","given":"Matteo"},{"family":"Carbonero","given":"Franck G."},{"family":"Bianconi","given":"Giovanna"},{"family":"Rettberg","given":"Petra"},{"family":"Canganella","given":"Francesco"},{"family":"Brigidi","given":"Patrizia"},{"family":"Candela","given":"Marco"}],"issued":{"date-parts":[["2017",3,24]]}}}],"schema":"https://github.com/citation-style-language/schema/raw/master/csl-citation.json"} </w:instrText>
      </w:r>
      <w:r w:rsidRPr="00D93D74">
        <w:fldChar w:fldCharType="separate"/>
      </w:r>
      <w:r w:rsidRPr="00236DBE">
        <w:rPr>
          <w:lang w:val="es-ES"/>
        </w:rPr>
        <w:t xml:space="preserve">(Caporaso et al., 2011; Claesson et al., 2011; Clooney et al., 2021; Costello et al., 2009; David et al., 2014; Dubois et al., 2017; Faith et al., 2013; Flores et </w:t>
      </w:r>
      <w:r w:rsidRPr="00236DBE">
        <w:rPr>
          <w:lang w:val="es-ES"/>
        </w:rPr>
        <w:lastRenderedPageBreak/>
        <w:t>al., 2014; Fu et al., 2019; Hao et al., 2018; Hisada et al., 2015; Jayasinghe et al., 2017; Levy et al., 2020; Martínez et al., 2013; Martinson et al., 2019; Olsson et al., 2022; Turroni et al., 2017)</w:t>
      </w:r>
      <w:r w:rsidRPr="00D93D74">
        <w:fldChar w:fldCharType="end"/>
      </w:r>
      <w:r w:rsidRPr="00236DBE">
        <w:rPr>
          <w:lang w:val="es-ES"/>
        </w:rPr>
        <w:t xml:space="preserve">. </w:t>
      </w:r>
      <w:r w:rsidRPr="00D93D74">
        <w:t xml:space="preserve">These studies included populations ranging from one or two individuals to several hundred adults, typically male but sometimes female, with individuals aged between 18 and 50 years and a body mass index between 18.5 and 25. Sampling intervals ranged from daily or weekly to several months or even years apart. Densely sampled time series studies showed strong individual-specific and relatively persistent community structure despite day-to-day fluctuations </w:t>
      </w:r>
      <w:r w:rsidRPr="00D93D74">
        <w:fldChar w:fldCharType="begin"/>
      </w:r>
      <w:r w:rsidR="001C2A55">
        <w:instrText xml:space="preserve"> ADDIN ZOTERO_ITEM CSL_CITATION {"citationID":"ttSAftGC","properties":{"formattedCitation":"(Caporaso et al., 2011)","plainCitation":"(Caporaso et al., 2011)","noteIndex":0},"citationItems":[{"id":1171,"uris":["http://zotero.org/users/8873894/items/J7BXX9RI"],"itemData":{"id":1171,"type":"article-journal","abstract":"Background: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I"},{"family":"Knight","given":"Rob"}],"issued":{"date-parts":[["2011"]]}}}],"schema":"https://github.com/citation-style-language/schema/raw/master/csl-citation.json"} </w:instrText>
      </w:r>
      <w:r w:rsidRPr="00D93D74">
        <w:fldChar w:fldCharType="separate"/>
      </w:r>
      <w:r w:rsidRPr="00D93D74">
        <w:t>(Caporaso et al., 2011)</w:t>
      </w:r>
      <w:r w:rsidRPr="00D93D74">
        <w:fldChar w:fldCharType="end"/>
      </w:r>
      <w:r w:rsidRPr="00D93D74">
        <w:t xml:space="preserve">. Studies in older adults (over 65 years of age) found a persistent individual gut microbiota over periods of three to six months at high taxonomic levels, but with certain taxa showing variability at the OTU level </w:t>
      </w:r>
      <w:r w:rsidRPr="00D93D74">
        <w:fldChar w:fldCharType="begin"/>
      </w:r>
      <w:r w:rsidR="001C2A55">
        <w:instrText xml:space="preserve"> ADDIN ZOTERO_ITEM CSL_CITATION {"citationID":"iVd1bcxW","properties":{"formattedCitation":"(Claesson et al., 2011; Fu et al., 2019)","plainCitation":"(Claesson et al., 2011; Fu et al., 2019)","noteIndex":0},"citationItems":[{"id":1616,"uris":["http://zotero.org/users/8873894/items/5CR64PC5"],"itemData":{"id":1616,"type":"article-journal","abstract":"Alterations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W."}],"issued":{"date-parts":[["2011",3,15]]}}},{"id":1635,"uris":["http://zotero.org/users/8873894/items/4MHV6IR7"],"itemData":{"id":1635,"type":"article-journal","abstract":"BACKGROUND: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J."}],"issued":{"date-parts":[["2019",1]]}}}],"schema":"https://github.com/citation-style-language/schema/raw/master/csl-citation.json"} </w:instrText>
      </w:r>
      <w:r w:rsidRPr="00D93D74">
        <w:fldChar w:fldCharType="separate"/>
      </w:r>
      <w:r w:rsidRPr="00D93D74">
        <w:t>(Claesson et al., 2011; Fu et al., 2019)</w:t>
      </w:r>
      <w:r w:rsidRPr="00D93D74">
        <w:fldChar w:fldCharType="end"/>
      </w:r>
      <w:r w:rsidRPr="00D93D74">
        <w:t xml:space="preserve">. Other studies have found longitudinally persistent intestinal microbiota at the phylum or family level over periods ranging from a few months to several years or even decades </w:t>
      </w:r>
      <w:r w:rsidRPr="00D93D74">
        <w:fldChar w:fldCharType="begin"/>
      </w:r>
      <w:r w:rsidR="001C2A55">
        <w:instrText xml:space="preserve"> ADDIN ZOTERO_ITEM CSL_CITATION {"citationID":"RBI6YCqZ","properties":{"formattedCitation":"(Faith et al., 2013; Jayasinghe et al., 2017)","plainCitation":"(Faith et al., 2013; Jayasinghe et al., 2017)","noteIndex":0},"citationItems":[{"id":1170,"uris":["http://zotero.org/users/8873894/items/C29JXBJV"],"itemData":{"id":1170,"type":"article-journal","abstract":"A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I."}],"issued":{"date-parts":[["2013",7,5]]}}},{"id":1124,"uris":["http://zotero.org/users/8873894/items/HWV479CZ"],"itemData":{"id":1124,"type":"article-journal","abstract":"There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M."}],"issued":{"date-parts":[["2017",12,1]]}}}],"schema":"https://github.com/citation-style-language/schema/raw/master/csl-citation.json"} </w:instrText>
      </w:r>
      <w:r w:rsidRPr="00D93D74">
        <w:fldChar w:fldCharType="separate"/>
      </w:r>
      <w:r w:rsidRPr="00D93D74">
        <w:t>(Faith et al., 2013; Jayasinghe et al., 2017)</w:t>
      </w:r>
      <w:r w:rsidRPr="00D93D74">
        <w:fldChar w:fldCharType="end"/>
      </w:r>
      <w:r w:rsidRPr="00D93D74">
        <w:t xml:space="preserve">. </w:t>
      </w:r>
    </w:p>
    <w:p w14:paraId="577F1DF0" w14:textId="3D9C5A47" w:rsidR="00570D04" w:rsidRPr="00D93D74" w:rsidRDefault="00DA42F5" w:rsidP="00DA42F5">
      <w:r w:rsidRPr="00D93D74">
        <w:t xml:space="preserve">However, the apparent stability at higher taxonomic levels changes when using shotgun metagenomic sequencing, which offers greater taxonomic resolution. Longitudinal studies using metagenomic sequencing have compared vertical transmission and early assembly of gut microbiota in the first year of life </w:t>
      </w:r>
      <w:r w:rsidRPr="00D93D74">
        <w:fldChar w:fldCharType="begin"/>
      </w:r>
      <w:r w:rsidR="001C2A55">
        <w:instrText xml:space="preserve"> ADDIN ZOTERO_ITEM CSL_CITATION {"citationID":"vawl4Srv","properties":{"formattedCitation":"(Asnicar et al., 2017; Yassour et al., 2018)","plainCitation":"(Asnicar et al., 2017; Yassour et al., 2018)","noteIndex":0},"citationItems":[{"id":1919,"uris":["http://zotero.org/users/8873894/items/CFNX3LF2"],"itemData":{"id":1919,"type":"article-journal","abstract":"The gut microbiome becomes shaped in the first days of life and continues to increase its diversity during the first months. Links between the configuration of the infant gut microbiome and infant health are being shown, but a comprehensive strain-level assessment of microbes vertically transmitted from mother to infant is still missing. We collected fecal and breast milk samples from multiple mother-infant pairs during the first year of life and applied shotgun metagenomic sequencing followed by computational strain-level profiling. We observed that several specific strains, including those of Bifidobacterium bifidum, Coprococcus comes, and Ruminococcus bromii, were present in samples from the same mother-infant pair, while being clearly distinct from those carried by other pairs, which is indicative of vertical transmission. We further applied metatranscriptomics to study the in vivo gene expression of vertically transmitted microbes and found that transmitted strains of Bacteroides and Bifidobacterium species were transcriptionally active in the guts of both adult and infant. By combining longitudinal microbiome sampling and newly developed computational tools for strain-level microbiome analysis, we demonstrated that it is possible to track the vertical transmission of microbial strains from mother to infants and to characterize their transcriptional activity. Our work provides the foundation for larger-scale surveys to identify the routes of vertical microbial transmission and its influence on postinfancy microbiome development.\nIMPORTANCE Early infant exposure is important in the acquisition and ultimate development of a healthy infant microbiome. There is increasing support for the idea that the maternal microbial reservoir is a key route of microbial transmission, and yet much is inferred from the observation of shared species in mother and infant. The presence of common species, per se, does not necessarily equate to vertical transmission, as species exhibit considerable strain heterogeneity. It is therefore imperative to assess whether shared microbes belong to the same genetic variant (i.e., strain) to support the hypothesis of vertical transmission. Here we demonstrate the potential of shotgun metagenomics and strain-level profiling to identify vertical transmission events. Combining these data with metatranscriptomics, we show that it is possible not only to identify and track the fate of microbes in the early infant microbiome but also to investigate the actively transcribing members of the community. These approaches will ultimately provide important insights into the acquisition, development, and community dynamics of the infant microbiome.","container-title":"mSystems","DOI":"10.1128/mSystems.00164-16","issue":"1","page":"e00164-16","publisher":"American Society for Microbiology","source":"journals.asm.org (Atypon)","title":"Studying Vertical Microbiome Transmission from Mothers to Infants by Strain-Level Metagenomic Profiling","volume":"2","author":[{"family":"Asnicar","given":"Francesco"},{"family":"Manara","given":"Serena"},{"family":"Zolfo","given":"Moreno"},{"family":"Truong","given":"Duy Tin"},{"family":"Scholz","given":"Matthias"},{"family":"Armanini","given":"Federica"},{"family":"Ferretti","given":"Pamela"},{"family":"Gorfer","given":"Valentina"},{"family":"Pedrotti","given":"Anna"},{"family":"Tett","given":"Adrian"},{"family":"Segata","given":"Nicola"}],"issued":{"date-parts":[["2017",1,17]]}}},{"id":1915,"uris":["http://zotero.org/users/8873894/items/AJLUELGH"],"itemData":{"id":1915,"type":"article-journal","abstract":"Bacterial community acquisition in the infant gut impacts immune education and disease susceptibility. We compared bacterial strains across and within families in a prospective birth cohort of 44 infants and their mothers, sampled longitudinally in the first months of each child’s life. We identified mother-to-child bacterial transmission events and describe the incidence of family-specific antibiotic resistance genes. We observed two inheritance patterns across multiple species, where often the mother’s dominant strain is transmitted to the child, but occasionally her secondary strains colonize the infant gut. In families where the secondary strain of B. uniformis was inherited, a starch utilization gene cluster that was absent in the mother’s dominant strain was identified in the child, suggesting the selective advantage of a mother’s secondary strain in the infant gut. Our findings reveal mother-to-child bacterial transmission events at high resolution and give insights into early colonization of the infant gut.","container-title":"Cell Host &amp; Microbe","DOI":"10.1016/j.chom.2018.06.007","ISSN":"1931-3128","issue":"1","journalAbbreviation":"Cell Host &amp; Microbe","language":"en","page":"146-154.e4","source":"ScienceDirect","title":"Strain-Level Analysis of Mother-to-Child Bacterial Transmission during the First Few Months of Life","volume":"24","author":[{"family":"Yassour","given":"Moran"},{"family":"Jason","given":"Eeva"},{"family":"Hogstrom","given":"Larson J."},{"family":"Arthur","given":"Timothy D."},{"family":"Tripathi","given":"Surya"},{"family":"Siljander","given":"Heli"},{"family":"Selvenius","given":"Jenni"},{"family":"Oikarinen","given":"Sami"},{"family":"Hyöty","given":"Heikki"},{"family":"Virtanen","given":"Suvi M."},{"family":"Ilonen","given":"Jorma"},{"family":"Ferretti","given":"Pamela"},{"family":"Pasolli","given":"Edoardo"},{"family":"Tett","given":"Adrian"},{"family":"Asnicar","given":"Francesco"},{"family":"Segata","given":"Nicola"},{"family":"Vlamakis","given":"Hera"},{"family":"Lander","given":"Eric S."},{"family":"Huttenhower","given":"Curtis"},{"family":"Knip","given":"Mikael"},{"family":"Xavier","given":"Ramnik J."}],"issued":{"date-parts":[["2018",7,11]]}}}],"schema":"https://github.com/citation-style-language/schema/raw/master/csl-citation.json"} </w:instrText>
      </w:r>
      <w:r w:rsidRPr="00D93D74">
        <w:fldChar w:fldCharType="separate"/>
      </w:r>
      <w:r w:rsidRPr="00D93D74">
        <w:t>(Asnicar et al., 2017; Yassour et al., 2018)</w:t>
      </w:r>
      <w:r w:rsidRPr="00D93D74">
        <w:fldChar w:fldCharType="end"/>
      </w:r>
      <w:r w:rsidRPr="00D93D74">
        <w:t xml:space="preserve">, as well as strain and species persistence in healthy adults </w:t>
      </w:r>
      <w:r w:rsidRPr="00D93D74">
        <w:fldChar w:fldCharType="begin"/>
      </w:r>
      <w:r w:rsidR="001C2A55">
        <w:instrText xml:space="preserve"> ADDIN ZOTERO_ITEM CSL_CITATION {"citationID":"Z4vaYv65","properties":{"formattedCitation":"(Abu-Ali et al., 2018; L. Chen et al., 2021; Dapa et al., 2023; Jokela et al., 2023; Olsson et al., 2022; Wolff et al., 2023; Zhou et al., 2024)","plainCitation":"(Abu-Ali et al., 2018; L. Chen et al., 2021; Dapa et al., 2023; Jokela et al., 2023; Olsson et al., 2022; Wolff et al., 2023; Zhou et al., 2024)","noteIndex":0},"citationItems":[{"id":1903,"uris":["http://zotero.org/users/8873894/items/VF9RJEHA"],"itemData":{"id":1903,"type":"article-journal","abstract":"The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T."},{"family":"Huttenhower","given":"Curtis"}],"issued":{"date-parts":[["2018",3]]}}},{"id":1114,"uris":["http://zotero.org/users/8873894/items/DU5DVK53"],"itemData":{"id":1114,"type":"article-journal","abstract":"By following up the gut microbiome, 51 human phenotypes and plasma levels of 1,183 metabolites in 338 individuals after 4 years, we characterize microbial stability and variation in relation to host physiology. Using these individual-specific and temporally stable microbial profiles, including bacterial SNPs and structural variations, we develop a microbial fingerprinting method that shows up to 85% accuracy in classifying metagenomic samples taken 4 years apart. Application of our fingerprinting method to the independent HMP cohort results in 95% accuracy for samples taken 1 year apart. We further observe temporal changes in the abundance of multiple bacterial species, metabolic pathways, and structural variation, as well as strain replacement. We report 190 longitudinal microbial associations with host phenotypes and 519 associations with plasma metabolites. These associations are enriched for cardiometabolic traits, vitamin B, and uremic toxins. Finally, mediation analysis suggests that the gut microbiome may influence cardiometabolic health through its metabolites.","container-title":"Cell","DOI":"10.1016/j.cell.2021.03.024","ISSN":"0092-8674","issue":"9","journalAbbreviation":"Cell","language":"en","page":"2302-2315.e12","source":"ScienceDirect","title":"The long-term genetic stability and individual specificity of the human gut microbiome","volume":"184","author":[{"family":"Chen","given":"Lianmin"},{"family":"Wang","given":"Daoming"},{"family":"Garmaeva","given":"Sanzhima"},{"family":"Kurilshikov","given":"Alexander"},{"family":"Vich Vila","given":"Arnau"},{"family":"Gacesa","given":"Ranko"},{"family":"Sinha","given":"Trishla"},{"family":"Segal","given":"Eran"},{"family":"Weersma","given":"Rinse K."},{"family":"Wijmenga","given":"Cisca"},{"family":"Zhernakova","given":"Alexandra"},{"family":"Fu","given":"Jingyuan"}],"issued":{"date-parts":[["2021",4,29]]}}},{"id":2270,"uris":["http://zotero.org/users/8873894/items/XHZSJ9H7"],"itemData":{"id":2270,"type":"article-journal","abstract":"Gut bacteria inhabit a complex environment that is shaped by interactions with their host and the other members of the community. While these ecological interactions have evolved over millions of years, mounting evidence suggests that gut commensals can evolve on much shorter timescales as well, by acquiring new mutations within individual hosts. In this review, we highlight recent progress in understanding the causes and consequences of short-term evolution in the mammalian gut, from experimental evolution in murine hosts to longitudinal tracking of human cohorts. We also discuss new opportunities for future progress by expanding the repertoire of focal species, hosts, and surrounding communities, and by combining deep-sequencing technologies with quantitative frameworks from population genetics.","container-title":"Current Opinion in Microbiology","DOI":"10.1016/j.mib.2022.102258","ISSN":"1369-5274","journalAbbreviation":"Current Opinion in Microbiology","language":"en","page":"102258","source":"ScienceDirect","title":"Within-host evolution of the gut microbiome","volume":"71","author":[{"family":"Dapa","given":"Tanja"},{"family":"Wong","given":"Daniel PGH"},{"family":"Vasquez","given":"Kimberly S"},{"family":"Xavier","given":"Karina B"},{"family":"Huang","given":"Kerwyn Casey"},{"family":"Good","given":"Benjamin H"}],"issued":{"date-parts":[["2023",2,1]]}}},{"id":2278,"uris":["http://zotero.org/users/8873894/items/V62M4SM2"],"itemData":{"id":2278,"type":"article-journal","abstract":"Background Although the infant gut microbiota has been extensively studied, comprehensive assessment on the microbiota determinants including technical variables has not been performed in large infant cohorts.","container-title":"eBioMedicine","DOI":"10.1016/j.ebiom.2023.104695","ISSN":"23523964","journalAbbreviation":"eBioMedicine","language":"en","page":"104695","source":"DOI.org (Crossref)","title":"Sources of gut microbiota variation in a large longitudinal Finnish infant cohort","volume":"94","author":[{"family":"Jokela","given":"Roosa"},{"family":"Ponsero","given":"Alise J."},{"family":"Dikareva","given":"Evgenia"},{"family":"Wei","given":"Xiaodong"},{"family":"Kolho","given":"Kaija-Leena"},{"family":"Korpela","given":"Katri"},{"family":"De Vos","given":"Willem M."},{"family":"Salonen","given":"Anne"}],"issued":{"date-parts":[["2023",8]]}}},{"id":1105,"uris":["http://zotero.org/users/8873894/items/5KAPHFKS"],"itemData":{"id":1105,"type":"article-journal","abstract":"Temporal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2274,"uris":["http://zotero.org/users/8873894/items/8JFF8KSZ"],"itemData":{"id":2274,"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id":3067,"uris":["http://zotero.org/users/8873894/items/DQ6P67B4"],"itemData":{"id":3067,"type":"article-journal","abstract":"To understand the dynamic interplay between the human microbiome and host during health and disease, we analyzed the microbial composition, temporal dynamics, and associations with host multi-omics, immune, and clinical markers of microbiomes from four body sites in 86 participants over 6 years. We found that microbiome stability and individuality are body-site specific and heavily influenced by the host. The stool and oral microbiome are more stable than the skin and nasal microbiomes, possibly due to their interaction with the host and environment. We identify individual-specific and commonly shared bacterial taxa, with individualized taxa showing greater stability. Interestingly, microbiome dynamics correlate across body sites, suggesting systemic dynamics influenced by host-microbial-environment interactions. Notably, insulin-resistant individuals show altered microbial stability and associations among microbiome, molecular markers, and clinical features, suggesting their disrupted interaction in metabolic disease. Our study offers comprehensive views of multi-site microbial dynamics and their relationship with host health and disease.","container-title":"Cell Host &amp; Microbe","DOI":"10.1016/j.chom.2024.02.012","ISSN":"1931-3128","issue":"4","journalAbbreviation":"Cell Host &amp; Microbe","page":"506-526.e9","source":"ScienceDirect","title":"Longitudinal profiling of the microbiome at four body sites reveals core stability and individualized dynamics during health and disease","volume":"32","author":[{"family":"Zhou","given":"Xin"},{"family":"Shen","given":"Xiaotao"},{"family":"Johnson","given":"Jethro S."},{"family":"Spakowicz","given":"Daniel J."},{"family":"Agnello","given":"Melissa"},{"family":"Zhou","given":"Wenyu"},{"family":"Avina","given":"Monica"},{"family":"Honkala","given":"Alexander"},{"family":"Chleilat","given":"Faye"},{"family":"Chen","given":"Shirley Jingyi"},{"family":"Cha","given":"Kexin"},{"family":"Leopold","given":"Shana"},{"family":"Zhu","given":"Chenchen"},{"family":"Chen","given":"Lei"},{"family":"Lyu","given":"Lin"},{"family":"Hornburg","given":"Daniel"},{"family":"Wu","given":"Si"},{"family":"Zhang","given":"Xinyue"},{"family":"Jiang","given":"Chao"},{"family":"Jiang","given":"Liuyiqi"},{"family":"Jiang","given":"Lihua"},{"family":"Jian","given":"Ruiqi"},{"family":"Brooks","given":"Andrew W."},{"family":"Wang","given":"Meng"},{"family":"Contrepois","given":"Kévin"},{"family":"Gao","given":"Peng"},{"family":"Rose","given":"Sophia Miryam Schüssler-Fiorenza"},{"family":"Tran","given":"Thi Dong Binh"},{"family":"Nguyen","given":"Hoan"},{"family":"Celli","given":"Alessandra"},{"family":"Hong","given":"Bo-Young"},{"family":"Bautista","given":"Eddy J."},{"family":"Dorsett","given":"Yair"},{"family":"Kavathas","given":"Paula B."},{"family":"Zhou","given":"Yanjiao"},{"family":"Sodergren","given":"Erica"},{"family":"Weinstock","given":"George M."},{"family":"Snyder","given":"Michael P."}],"issued":{"date-parts":[["2024",4,10]]}}}],"schema":"https://github.com/citation-style-language/schema/raw/master/csl-citation.json"} </w:instrText>
      </w:r>
      <w:r w:rsidRPr="00D93D74">
        <w:fldChar w:fldCharType="separate"/>
      </w:r>
      <w:r w:rsidR="00162CD1" w:rsidRPr="00D93D74">
        <w:rPr>
          <w:rFonts w:cs="Times New Roman"/>
        </w:rPr>
        <w:t>(Abu-Ali et al., 2018; L. Chen et al., 2021; Dapa et al., 2023; Jokela et al., 2023; Olsson et al., 2022; Wolff et al., 2023; Zhou et al., 2024)</w:t>
      </w:r>
      <w:r w:rsidRPr="00D93D74">
        <w:fldChar w:fldCharType="end"/>
      </w:r>
      <w:r w:rsidRPr="00D93D74">
        <w:t xml:space="preserve">, and microbiota dynamics in older individuals </w:t>
      </w:r>
      <w:r w:rsidRPr="00D93D74">
        <w:fldChar w:fldCharType="begin"/>
      </w:r>
      <w:r w:rsidR="001C2A55">
        <w:instrText xml:space="preserve"> ADDIN ZOTERO_ITEM CSL_CITATION {"citationID":"2NxkNHhk","properties":{"formattedCitation":"(Mehta et al., 2018)","plainCitation":"(Mehta et al., 2018)","noteIndex":0},"citationItems":[{"id":1128,"uris":["http://zotero.org/users/8873894/items/F6E4BV38"],"itemData":{"id":1128,"type":"article-journal","abstract":"Characterizing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D93D74">
        <w:t>(Mehta et al., 2018)</w:t>
      </w:r>
      <w:r w:rsidRPr="00D93D74">
        <w:fldChar w:fldCharType="end"/>
      </w:r>
      <w:r w:rsidRPr="00D93D74">
        <w:t xml:space="preserve">. Studies using shotgun metagenomic sequencing have also compared healthy individuals with patients with chronic inflammatory bowel disease </w:t>
      </w:r>
      <w:r w:rsidRPr="00D93D74">
        <w:fldChar w:fldCharType="begin"/>
      </w:r>
      <w:r w:rsidR="001C2A55">
        <w:instrText xml:space="preserve"> ADDIN ZOTERO_ITEM CSL_CITATION {"citationID":"8jFnVbEv","properties":{"formattedCitation":"(Lloyd-Price et al., 2019)","plainCitation":"(Lloyd-Price et al., 2019)","noteIndex":0},"citationItems":[{"id":1179,"uris":["http://zotero.org/users/8873894/items/KAP4HGV3"],"itemData":{"id":1179,"type":"article-journal","abstract":"Inflammatory bowel diseases, which include Crohn’s disease and ulcerative colitis, affect several million individuals worldwide. Crohn’s disease and ulcerative colitis are complex diseases that are heterogeneous at the clinical, immunological, molecular, genetic, and microbial levels. Individual contributing factors have been the focus of extensive research. As part of the Integrative Human Microbiome Project (HMP2 or iHMP), we followed 132 subjects for one year each to generate integrated longitudinal molecular profiles of host and microbial activity during disease (up to 24 time points each; in total 2,965 stool, biopsy, and blood specimens). Here we present the results, which provide a comprehensive view of functional dysbiosis in the gut microbiome during inflammatory bowel disease activity. We demonstrate a characteristic increase in facultative anaerobes at the expense of obligate anaerobes, as well as molecular disruptions in microbial transcription (for example, among clostridia), metabolite pools (acylcarnitines, bile acids, and short-chain fatty acids), and levels of antibodies in host serum. Periods of disease activity were also marked by increases in temporal variability, with characteristic taxonomic, functional, and biochemical shifts. Finally, integrative analysis identified microbial, biochemical, and host factors central to this dysregulation. The study’s infrastructure resources, results, and data, which are available through the Inflammatory Bowel Disease Multi’omics Database (http://ibdmdb.org), provide the most comprehensive description to date of host and microbial activities in inflammatory bowel diseases.","container-title":"Nature","DOI":"10.1038/s41586-019-1237-9","ISSN":"1476-4687","issue":"7758","language":"en","license":"2019 The Author(s)","note":"number: 7758","page":"655-662","publisher":"Nature Publishing Group","source":"www.nature.com","title":"Multi-omics of the gut microbial ecosystem in inflammatory bowel diseases","volume":"569","author":[{"family":"Lloyd-Price","given":"Jason"},{"family":"Arze","given":"Cesar"},{"family":"Ananthakrishnan","given":"Ashwin N."},{"family":"Schirmer","given":"Melanie"},{"family":"Avila-Pacheco","given":"Julian"},{"family":"Poon","given":"Tiffany W."},{"family":"Andrews","given":"Elizabeth"},{"family":"Ajami","given":"Nadim J."},{"family":"Bonham","given":"Kevin S."},{"family":"Brislawn","given":"Colin J."},{"family":"Casero","given":"David"},{"family":"Courtney","given":"Holly"},{"family":"Gonzalez","given":"Antonio"},{"family":"Graeber","given":"Thomas G."},{"family":"Hall","given":"A. Brantley"},{"family":"Lake","given":"Kathleen"},{"family":"Landers","given":"Carol J."},{"family":"Mallick","given":"Himel"},{"family":"Plichta","given":"Damian R."},{"family":"Prasad","given":"Mahadev"},{"family":"Rahnavard","given":"Gholamali"},{"family":"Sauk","given":"Jenny"},{"family":"Shungin","given":"Dmitry"},{"family":"Vázquez-Baeza","given":"Yoshiki"},{"family":"White","given":"Richard A."},{"family":"Braun","given":"Jonathan"},{"family":"Denson","given":"Lee A."},{"family":"Jansson","given":"Janet K."},{"family":"Knight","given":"Rob"},{"family":"Kugathasan","given":"Subra"},{"family":"McGovern","given":"Dermot P. B."},{"family":"Petrosino","given":"Joseph F."},{"family":"Stappenbeck","given":"Thaddeus S."},{"family":"Winter","given":"Harland S."},{"family":"Clish","given":"Clary B."},{"family":"Franzosa","given":"Eric A."},{"family":"Vlamakis","given":"Hera"},{"family":"Xavier","given":"Ramnik J."},{"family":"Huttenhower","given":"Curtis"}],"issued":{"date-parts":[["2019",5]]}}}],"schema":"https://github.com/citation-style-language/schema/raw/master/csl-citation.json"} </w:instrText>
      </w:r>
      <w:r w:rsidRPr="00D93D74">
        <w:fldChar w:fldCharType="separate"/>
      </w:r>
      <w:r w:rsidRPr="00D93D74">
        <w:t>(Lloyd-Price et al., 2019)</w:t>
      </w:r>
      <w:r w:rsidRPr="00D93D74">
        <w:fldChar w:fldCharType="end"/>
      </w:r>
      <w:r w:rsidRPr="00D93D74">
        <w:t xml:space="preserve">, patients with irritable bowel syndrome </w:t>
      </w:r>
      <w:r w:rsidRPr="00D93D74">
        <w:fldChar w:fldCharType="begin"/>
      </w:r>
      <w:r w:rsidR="001C2A55">
        <w:instrText xml:space="preserve"> ADDIN ZOTERO_ITEM CSL_CITATION {"citationID":"tqyslHHz","properties":{"formattedCitation":"(Mars et al., 2020)","plainCitation":"(Mars et al., 2020)","noteIndex":0},"citationItems":[{"id":1113,"uris":["http://zotero.org/users/8873894/items/5M4DLKTQ"],"itemData":{"id":1113,"type":"article-journal","abstract":"The gut microbiome has been implicated in multiple human chronic gastrointestinal (GI) disorders. Determining its mechanistic role in disease has been difficult due to apparent disconnects between animal and human studies and lack of an integrated multi-omics view of disease-specific physiological changes. We integrated longitudinal multi-omics data from the gut microbiome, metabolome, host epigenome, and transcriptome in the context of irritable bowel syndrome (IBS) host physiology. We identified IBS subtype-specific and symptom-related variation in microbial composition and function. A subset of identified changes in microbial metabolites correspond to host physiological mechanisms that are relevant to IBS. By integrating multiple data layers, we identified purine metabolism as a novel host-microbial metabolic pathway in IBS with translational potential. Our study highlights the importance of longitudinal sampling and integrating complementary multi-omics data to identify functional mechanisms that can serve as therapeutic targets in a comprehensive treatment strategy for chronic GI diseases., Integrated and longitudinal multiomic analyses of patients with irritable bowel syndrome reveals a role for the gut microbiota in modulating purine metabolism and influencing host gastrointestinal function.,","container-title":"Cell","DOI":"10.1016/j.cell.2020.08.007","ISSN":"0092-8674","issue":"6","journalAbbreviation":"Cell","page":"1460-1473.e17","PMID":"32916129","PMCID":"PMC8109273","source":"PubMed Central","title":"Longitudinal Multi-omics Reveals Subset-Specific Mechanisms Underlying Irritable Bowel Syndrome","volume":"182","author":[{"family":"Mars","given":"Ruben A.T."},{"family":"Yang","given":"Yi"},{"family":"Ward","given":"Tonya"},{"family":"Houtti","given":"Mo"},{"family":"Priya","given":"Sambhawa"},{"family":"Lekatz","given":"Heather R."},{"family":"Tang","given":"Xiaojia"},{"family":"Sun","given":"Zhifu"},{"family":"Kalari","given":"Krishna R."},{"family":"Korem","given":"Tal"},{"family":"Bhattarai","given":"Yogesh"},{"family":"Zheng","given":"Tenghao"},{"family":"Bar","given":"Noam"},{"family":"Frost","given":"Gary"},{"family":"Johnson","given":"Abigail J."},{"family":"Treuren","given":"Will","non-dropping-particle":"van"},{"family":"Han","given":"Shuo"},{"family":"Ordog","given":"Tamas"},{"family":"Grover","given":"Madhusudan"},{"family":"Sonnenburg","given":"Justin"},{"family":"D’Amato","given":"Mauro"},{"family":"Camilleri","given":"Michael"},{"family":"Elinav","given":"Eran"},{"family":"Segal","given":"Eran"},{"family":"Blekhman","given":"Ran"},{"family":"Farrugia","given":"Gianrico"},{"family":"Swann","given":"Jonathan R."},{"family":"Knights","given":"Dan"},{"family":"Kashyap","given":"Purna C."}],"issued":{"date-parts":[["2020",9,17]]}}}],"schema":"https://github.com/citation-style-language/schema/raw/master/csl-citation.json"} </w:instrText>
      </w:r>
      <w:r w:rsidRPr="00D93D74">
        <w:fldChar w:fldCharType="separate"/>
      </w:r>
      <w:r w:rsidRPr="00D93D74">
        <w:t>(Mars et al., 2020)</w:t>
      </w:r>
      <w:r w:rsidRPr="00D93D74">
        <w:fldChar w:fldCharType="end"/>
      </w:r>
      <w:r w:rsidRPr="00D93D74">
        <w:t xml:space="preserve">, and patients with haematological diseases </w:t>
      </w:r>
      <w:r w:rsidRPr="00D93D74">
        <w:fldChar w:fldCharType="begin"/>
      </w:r>
      <w:r w:rsidR="001C2A55">
        <w:instrText xml:space="preserve"> ADDIN ZOTERO_ITEM CSL_CITATION {"citationID":"vPjL4Oog","properties":{"formattedCitation":"(Willmann et al., 2019)","plainCitation":"(Willmann et al., 2019)","noteIndex":0},"citationItems":[{"id":156,"uris":["http://zotero.org/users/8873894/items/AQV4MRN2"],"itemData":{"id":156,"type":"article-journal","abstract":"BACKGROUND: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fldChar w:fldCharType="separate"/>
      </w:r>
      <w:r w:rsidRPr="00D93D74">
        <w:t>(Willmann et al., 2019)</w:t>
      </w:r>
      <w:r w:rsidRPr="00D93D74">
        <w:fldChar w:fldCharType="end"/>
      </w:r>
      <w:r w:rsidRPr="00D93D74">
        <w:t xml:space="preserve">. A few studies have focused exclusively on women, comparing healthy women with those who have frequent urinary tract infections </w:t>
      </w:r>
      <w:r w:rsidRPr="00D93D74">
        <w:fldChar w:fldCharType="begin"/>
      </w:r>
      <w:r w:rsidR="001C2A55">
        <w:instrText xml:space="preserve"> ADDIN ZOTERO_ITEM CSL_CITATION {"citationID":"1xpNV8Xr","properties":{"formattedCitation":"(Hua et al., n.d.)","plainCitation":"(Hua et al., n.d.)","dontUpdate":true,"noteIndex":0},"citationItems":[{"id":747,"uris":["http://zotero.org/users/8873894/items/38JWFL3C"],"itemData":{"id":747,"type":"article-journal","abstract":"Introduction. Evidence has linked exogenous and endogenous sex hormones with the human microbiome. Hypothesis/Gap statement. The longitudinal effects of oral contraceptives (OC) on the human gut microbiome have not previously been studied. Aim. We sought to examine the longitudinal impact of OC use on the taxonomic composition and metabolic functions of the gut microbiota and endogenous sex steroid hormones after initiation of OC use. Methodology. We recruited ten healthy women who provided blood and stool samples prior to OC use, 1 month and 6 months after starting OC. We measured serum levels of sex hormones, including estradiol, progesterone, sex hormone-binding globulin (SHBG), and total testosterone. Shotgun metagenomic sequencing was performed on DNA extracted from faecal samples. Species and metabolic pathway abundances were determined using MetaPhlAn2 and HUMAnN2. Multivariate association with linear models was used to identify microbial species and metabolic pathways associated with OC use and endogenous levels of sex hormones. Results. The percentage variance of the microbial community explained by individual factors ranged from 9.9 % for age to 2.7 % for time since initiation of OC use. We observed no changes in the diversity or composition of the gut microbiome following OC initiation. However, the relative abundance of the biosynthesis pathways of peptidoglycan, amino acids (lysine, threonine, methionine, and tryptophan), and the NAD salvage pathway increased after OC initiation. In addition, serum levels of estradiol and SHBG were positively associated with Eubacterium ramulus, a flavonoid-degrading bacterium. Similarly, microbes involving biosynthesis of l-lysine, l-threonine, and l-methionine were significantly associated with lower estradiol, SHBG, and higher levels of total testosterone. Conclusion. Our study provides the first piece of evidence supporting the association between exogenous and endogenous sex hormones and gut microbiome composition and function.,","container-title":"Journal of Medical Microbiology","DOI":"10.1099/jmm.0.001512","ISSN":"1473-5644,","issue":"4","page":"001512","publisher":"Microbiology Society,","source":"Microbiology Society Journals","title":"Longitudinal analysis of the impact of oral contraceptive use on the gut microbiome","volume":"71","author":[{"family":"Hua","given":"Xinwei"},{"family":"Cao","given":"Yueming"},{"family":"Morgan","given":"David M."},{"family":"Miller","given":"Kaia"},{"family":"Chin","given":"Samantha M."},{"family":"Bellavance","given":"Danielle"},{"family":"Khalili","given":"HamedYR 2022"}]}}],"schema":"https://github.com/citation-style-language/schema/raw/master/csl-citation.json"} </w:instrText>
      </w:r>
      <w:r w:rsidRPr="00D93D74">
        <w:fldChar w:fldCharType="separate"/>
      </w:r>
      <w:r w:rsidRPr="00D93D74">
        <w:t>(Hua et al., 2022)</w:t>
      </w:r>
      <w:r w:rsidRPr="00D93D74">
        <w:fldChar w:fldCharType="end"/>
      </w:r>
      <w:r w:rsidRPr="00D93D74">
        <w:t xml:space="preserve"> and women taking oral contraceptives </w:t>
      </w:r>
      <w:r w:rsidRPr="00D93D74">
        <w:fldChar w:fldCharType="begin"/>
      </w:r>
      <w:r w:rsidR="001C2A55">
        <w:instrText xml:space="preserve"> ADDIN ZOTERO_ITEM CSL_CITATION {"citationID":"oxgSztRT","properties":{"formattedCitation":"(Worby et al., 2022)","plainCitation":"(Worby et al., 2022)","noteIndex":0},"citationItems":[{"id":748,"uris":["http://zotero.org/users/8873894/items/C3RACSWB"],"itemData":{"id":748,"type":"article-journal","abstract":"Recurrent urinary tract infections (rUTIs) are a major health burden worldwide, with history of infection being a significant risk factor. While the gut is a known reservoir for uropathogenic bacteria, the role of the microbiota in rUTI remains unclear. We conducted a year-long study of women with (n = 15) and without (n = 16) history of rUTI, from whom we collected urine, blood and monthly faecal samples for metagenomic and transcriptomic interrogation. During the study 24 UTIs were reported, with additional samples collected during and after infection. The gut microbiome of individuals with a history of rUTI was significantly depleted in microbial richness and butyrate-producing bacteria compared with controls, reminiscent of other inflammatory conditions. However, Escherichia coli gut and bladder populations were comparable between cohorts in both relative abundance and phylogroup. Transcriptional analysis of peripheral blood mononuclear cells revealed expression profiles indicative of differential systemic immunity between cohorts. Altogether, these results suggest that rUTI susceptibility is in part mediated through the gut–bladder axis, comprising gut dysbiosis and differential immune response to bacterial bladder colonization, manifesting in symptoms.","container-title":"Nature Microbiology","DOI":"10.1038/s41564-022-01107-x","ISSN":"2058-5276","issue":"5","journalAbbreviation":"Nat Microbiol","language":"en","license":"2022 The Author(s), under exclusive licence to Springer Nature Limited","note":"number: 5","page":"630-639","publisher":"Nature Publishing Group","source":"www.nature.com","title":"Longitudinal multi-omics analyses link gut microbiome dysbiosis with recurrent urinary tract infections in women","volume":"7","author":[{"family":"Worby","given":"Colin J."},{"family":"Schreiber","given":"Henry L."},{"family":"Straub","given":"Timothy J."},{"family":"Dijk","given":"Lucas R.","non-dropping-particle":"van"},{"family":"Bronson","given":"Ryan A."},{"family":"Olson","given":"Benjamin S."},{"family":"Pinkner","given":"Jerome S."},{"family":"Obernuefemann","given":"Chloe L. P."},{"family":"Muñoz","given":"Vanessa L."},{"family":"Paharik","given":"Alexandra E."},{"family":"Azimzadeh","given":"Philippe N."},{"family":"Walker","given":"Bruce J."},{"family":"Desjardins","given":"Christopher A."},{"family":"Chou","given":"Wen-Chi"},{"family":"Bergeron","given":"Karla"},{"family":"Chapman","given":"Sinéad B."},{"family":"Klim","given":"Aleksandra"},{"family":"Manson","given":"Abigail L."},{"family":"Hannan","given":"Thomas J."},{"family":"Hooton","given":"Thomas M."},{"family":"Kau","given":"Andrew L."},{"family":"Lai","given":"H. Henry"},{"family":"Dodson","given":"Karen W."},{"family":"Hultgren","given":"Scott J."},{"family":"Earl","given":"Ashlee M."}],"issued":{"date-parts":[["2022",5]]}}}],"schema":"https://github.com/citation-style-language/schema/raw/master/csl-citation.json"} </w:instrText>
      </w:r>
      <w:r w:rsidRPr="00D93D74">
        <w:fldChar w:fldCharType="separate"/>
      </w:r>
      <w:r w:rsidRPr="00D93D74">
        <w:t>(Worby et al., 2022)</w:t>
      </w:r>
      <w:r w:rsidRPr="00D93D74">
        <w:fldChar w:fldCharType="end"/>
      </w:r>
      <w:r w:rsidRPr="00D93D74">
        <w:t xml:space="preserve">. </w:t>
      </w:r>
    </w:p>
    <w:p w14:paraId="2302ED2D" w14:textId="5030A678" w:rsidR="00570D04" w:rsidRPr="00236DBE" w:rsidRDefault="00DA42F5" w:rsidP="00DA42F5">
      <w:pPr>
        <w:rPr>
          <w:lang w:val="es-ES"/>
        </w:rPr>
      </w:pPr>
      <w:r w:rsidRPr="00D93D74">
        <w:t xml:space="preserve">Cohorts in these studies ranged from 5 to more than 300 participants, followed for at least six months to a year, with sampling every few weeks to every few months. Metagenomic studies confirm that some species and strains can persist over long periods within individuals, whereas others show frequent replacement or large abundance shifts. Stable colonizers include many of the </w:t>
      </w:r>
      <w:r w:rsidRPr="00D93D74">
        <w:rPr>
          <w:i/>
          <w:iCs/>
        </w:rPr>
        <w:t>Bacteroides</w:t>
      </w:r>
      <w:r w:rsidRPr="00D93D74">
        <w:t xml:space="preserve"> species, while representatives of the </w:t>
      </w:r>
      <w:r w:rsidRPr="00D93D74">
        <w:rPr>
          <w:i/>
          <w:iCs/>
        </w:rPr>
        <w:t>Bacillota</w:t>
      </w:r>
      <w:r w:rsidRPr="00D93D74">
        <w:t xml:space="preserve"> phylum are among the more variable members of the gut community </w:t>
      </w:r>
      <w:r w:rsidRPr="00D93D74">
        <w:fldChar w:fldCharType="begin"/>
      </w:r>
      <w:r w:rsidR="001C2A55">
        <w:instrText xml:space="preserve"> ADDIN ZOTERO_ITEM CSL_CITATION {"citationID":"mbUBY8NF","properties":{"formattedCitation":"(Abu-Ali et al., 2018; Heidrich et al., 2025; Mehta et al., 2018)","plainCitation":"(Abu-Ali et al., 2018; Heidrich et al., 2025; Mehta et al., 2018)","noteIndex":0},"citationItems":[{"id":1903,"uris":["http://zotero.org/users/8873894/items/VF9RJEHA"],"itemData":{"id":1903,"type":"article-journal","abstract":"The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T."},{"family":"Huttenhower","given":"Curtis"}],"issued":{"date-parts":[["2018",3]]}}},{"id":3432,"uris":["http://zotero.org/users/8873894/items/U5A8LQ4G"],"itemData":{"id":3432,"type":"article-journal","abstract":"As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id":1128,"uris":["http://zotero.org/users/8873894/items/F6E4BV38"],"itemData":{"id":1128,"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w:instrText>
      </w:r>
      <w:r w:rsidR="001C2A55" w:rsidRPr="001C2A55">
        <w:rPr>
          <w:lang w:val="es-ES"/>
          <w:rPrChange w:id="197" w:author="Urša Miklavčič" w:date="2026-04-28T11:14:00Z" w16du:dateUtc="2026-04-28T09:14:00Z">
            <w:rPr/>
          </w:rPrChange>
        </w:rPr>
        <w:instrText xml:space="preserve">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Pr="00236DBE">
        <w:rPr>
          <w:lang w:val="es-ES"/>
        </w:rPr>
        <w:t>(Abu-Ali et al., 2018; Heidrich et al., 2025; Mehta et al., 2018)</w:t>
      </w:r>
      <w:r w:rsidRPr="00D93D74">
        <w:fldChar w:fldCharType="end"/>
      </w:r>
      <w:r w:rsidRPr="00236DBE">
        <w:rPr>
          <w:lang w:val="es-ES"/>
        </w:rPr>
        <w:t xml:space="preserve">. </w:t>
      </w:r>
    </w:p>
    <w:p w14:paraId="123CEF4D" w14:textId="3A7C8762" w:rsidR="00DA42F5" w:rsidRPr="00D93D74" w:rsidRDefault="00DA42F5" w:rsidP="00DA42F5">
      <w:r w:rsidRPr="00D93D74">
        <w:t xml:space="preserve">Longitudinal studies show that changes in species or strain persistence are shaped by the same host and environmental factors identified in cross-sectional studies, including diet, physical activity, medications and antibiotics, disease status, environment and host genetics </w:t>
      </w:r>
      <w:r w:rsidRPr="00D93D74">
        <w:fldChar w:fldCharType="begin"/>
      </w:r>
      <w:r w:rsidR="001C2A55">
        <w:instrText xml:space="preserve"> ADDIN ZOTERO_ITEM CSL_CITATION {"citationID":"3ooT3Cba","properties":{"formattedCitation":"(Thursby &amp; Juge, 2017)","plainCitation":"(Thursby &amp; Juge, 2017)","noteIndex":0},"citationItems":[{"id":642,"uris":["http://zotero.org/users/8873894/items/C4E3VNLM"],"itemData":{"id":642,"type":"article-journal","abstract":"The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instrText>
      </w:r>
      <w:r w:rsidRPr="00D93D74">
        <w:fldChar w:fldCharType="separate"/>
      </w:r>
      <w:r w:rsidRPr="00D93D74">
        <w:t>(Thursby &amp; Juge, 2017)</w:t>
      </w:r>
      <w:r w:rsidRPr="00D93D74">
        <w:fldChar w:fldCharType="end"/>
      </w:r>
      <w:r w:rsidRPr="00D93D74">
        <w:t xml:space="preserve">. </w:t>
      </w:r>
    </w:p>
    <w:p w14:paraId="4A5C3ADC" w14:textId="77777777" w:rsidR="00570D04" w:rsidRPr="00D93D74" w:rsidRDefault="00570D04" w:rsidP="00DA42F5"/>
    <w:p w14:paraId="0F8FAEE6" w14:textId="7256599E" w:rsidR="00570D04" w:rsidRPr="00D93D74" w:rsidRDefault="00570D04">
      <w:pPr>
        <w:pStyle w:val="Naslov4"/>
        <w:numPr>
          <w:ilvl w:val="3"/>
          <w:numId w:val="3"/>
        </w:numPr>
      </w:pPr>
      <w:bookmarkStart w:id="198" w:name="_Toc220932825"/>
      <w:r w:rsidRPr="00D93D74">
        <w:t xml:space="preserve">Culture-dependant longitudinal studies of human gut </w:t>
      </w:r>
      <w:r w:rsidR="00780B3B" w:rsidRPr="00D93D74">
        <w:t>bacteria</w:t>
      </w:r>
      <w:bookmarkEnd w:id="198"/>
    </w:p>
    <w:p w14:paraId="46B52A13" w14:textId="0F252B4A" w:rsidR="00DA42F5" w:rsidRPr="00D93D74" w:rsidRDefault="00DA42F5" w:rsidP="00DA42F5">
      <w:bookmarkStart w:id="199" w:name="_Hlk227841692"/>
      <w:r w:rsidRPr="00D93D74">
        <w:t xml:space="preserve">Longitudinal studies of cultured bacteria have provided insight into changes at the level of individual strains, using molecular approaches to assess changes over time. </w:t>
      </w:r>
      <w:bookmarkEnd w:id="199"/>
      <w:r w:rsidRPr="00D93D74">
        <w:t xml:space="preserve">Two longitudinal studies investigated the stability of the intestinal microbiota at the level of individual bacterial </w:t>
      </w:r>
      <w:r w:rsidRPr="00D93D74">
        <w:lastRenderedPageBreak/>
        <w:t xml:space="preserve">species. In one study, PCR genotyping was used to compare the presence of different strains of </w:t>
      </w:r>
      <w:r w:rsidRPr="00D93D74">
        <w:rPr>
          <w:i/>
          <w:iCs/>
        </w:rPr>
        <w:t>Escherichia coli</w:t>
      </w:r>
      <w:r w:rsidRPr="00D93D74">
        <w:t xml:space="preserve"> over time, revealing that some strains were consistently present while others varied </w:t>
      </w:r>
      <w:r w:rsidRPr="00D93D74">
        <w:fldChar w:fldCharType="begin"/>
      </w:r>
      <w:r w:rsidR="001C2A55">
        <w:instrText xml:space="preserve"> ADDIN ZOTERO_ITEM CSL_CITATION {"citationID":"payKEeOo","properties":{"formattedCitation":"(Martinson et al., 2019)","plainCitation":"(Martinson et al., 2019)","noteIndex":0},"citationItems":[{"id":1129,"uris":["http://zotero.org/users/8873894/items/NLVU5PGV"],"itemData":{"id":1129,"type":"article-journal","abstract":"Longitudinal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Pr="00D93D74">
        <w:fldChar w:fldCharType="separate"/>
      </w:r>
      <w:r w:rsidRPr="00D93D74">
        <w:t>(Martinson et al., 2019)</w:t>
      </w:r>
      <w:r w:rsidRPr="00D93D74">
        <w:fldChar w:fldCharType="end"/>
      </w:r>
      <w:r w:rsidRPr="00D93D74">
        <w:t xml:space="preserve">. In another study, the genomes of isolated strains of </w:t>
      </w:r>
      <w:r w:rsidRPr="00D93D74">
        <w:rPr>
          <w:i/>
          <w:iCs/>
        </w:rPr>
        <w:t>Bacteroides vulgatus</w:t>
      </w:r>
      <w:r w:rsidRPr="00D93D74">
        <w:t xml:space="preserve"> and </w:t>
      </w:r>
      <w:r w:rsidRPr="00D93D74">
        <w:rPr>
          <w:i/>
          <w:iCs/>
        </w:rPr>
        <w:t>Bacteroides ovatus</w:t>
      </w:r>
      <w:r w:rsidRPr="00D93D74">
        <w:t xml:space="preserve"> were analysed, showing that a single colonization event occurred, while the spore-forming bacterium </w:t>
      </w:r>
      <w:r w:rsidRPr="00D93D74">
        <w:rPr>
          <w:i/>
          <w:iCs/>
        </w:rPr>
        <w:t>Turicibacter sanguinis</w:t>
      </w:r>
      <w:r w:rsidRPr="00D93D74">
        <w:t xml:space="preserve"> replaced previous strains with each colonization attempt </w:t>
      </w:r>
      <w:r w:rsidRPr="00D93D74">
        <w:fldChar w:fldCharType="begin"/>
      </w:r>
      <w:r w:rsidR="001C2A55">
        <w:instrText xml:space="preserve"> ADDIN ZOTERO_ITEM CSL_CITATION {"citationID":"muko0Zk6","properties":{"formattedCitation":"(Poyet et al., 2019)","plainCitation":"(Poyet et al., 2019)","noteIndex":0},"citationItems":[{"id":400,"uris":["http://zotero.org/users/8873894/items/D73U5VSG"],"itemData":{"id":400,"type":"article-journal","abstract":"Our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Pr="00D93D74">
        <w:t>(Poyet et al., 2019)</w:t>
      </w:r>
      <w:r w:rsidRPr="00D93D74">
        <w:fldChar w:fldCharType="end"/>
      </w:r>
      <w:r w:rsidRPr="00D93D74">
        <w:t xml:space="preserve">. </w:t>
      </w:r>
    </w:p>
    <w:p w14:paraId="2F1BF139" w14:textId="77777777" w:rsidR="00DA42F5" w:rsidRPr="00D93D74" w:rsidRDefault="00DA42F5" w:rsidP="00DA42F5"/>
    <w:p w14:paraId="5E01D4C6" w14:textId="77777777" w:rsidR="00DA42F5" w:rsidRPr="00D93D74" w:rsidRDefault="00DA42F5">
      <w:pPr>
        <w:pStyle w:val="Naslov3"/>
        <w:numPr>
          <w:ilvl w:val="2"/>
          <w:numId w:val="3"/>
        </w:numPr>
      </w:pPr>
      <w:bookmarkStart w:id="200" w:name="_Toc219124856"/>
      <w:bookmarkStart w:id="201" w:name="_Toc220932826"/>
      <w:bookmarkStart w:id="202" w:name="_Toc228252011"/>
      <w:r w:rsidRPr="00D93D74">
        <w:t>Stability of microbial communities</w:t>
      </w:r>
      <w:bookmarkEnd w:id="200"/>
      <w:bookmarkEnd w:id="201"/>
      <w:bookmarkEnd w:id="202"/>
      <w:r w:rsidRPr="00D93D74">
        <w:t xml:space="preserve"> </w:t>
      </w:r>
    </w:p>
    <w:p w14:paraId="074C8B32" w14:textId="72520D88" w:rsidR="00DA42F5" w:rsidRPr="00D93D74" w:rsidRDefault="00DA42F5" w:rsidP="00DA42F5">
      <w:bookmarkStart w:id="203" w:name="_Hlk227841714"/>
      <w:r w:rsidRPr="00D93D74">
        <w:t xml:space="preserve">Most longitudinal studies aim to quantify an aspect of stability in the human gut community. Stability is an ambiguous term with many overlapping definitions </w:t>
      </w:r>
      <w:r w:rsidRPr="00D93D74">
        <w:fldChar w:fldCharType="begin"/>
      </w:r>
      <w:r w:rsidR="001C2A55">
        <w:instrText xml:space="preserve"> ADDIN ZOTERO_ITEM CSL_CITATION {"citationID":"WdAqCY7E","properties":{"formattedCitation":"(Grimm &amp; Wissel, 1996)","plainCitation":"(Grimm &amp; Wissel, 1996)","noteIndex":0},"citationItems":[{"id":2740,"uris":["http://zotero.org/users/8873894/items/SUZV3JCN"],"itemData":{"id":2740,"type":"article-journal","abstract":"We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xml:space="preserve">. Here we focus on two key properties at the level of strains, species or OTUs depending on the method used: resilience and resistance, both of which can be explored using a definable value of persistence </w:t>
      </w:r>
      <w:bookmarkEnd w:id="203"/>
      <w:r w:rsidRPr="00D93D74">
        <w:fldChar w:fldCharType="begin"/>
      </w:r>
      <w:r w:rsidR="001C2A55">
        <w:instrText xml:space="preserve"> ADDIN ZOTERO_ITEM CSL_CITATION {"citationID":"xOwjLtYR","properties":{"formattedCitation":"(Shade et al., 2012)","plainCitation":"(Shade et al., 2012)","noteIndex":0},"citationItems":[{"id":3443,"uris":["http://zotero.org/users/8873894/items/9ZVMFDGQ"],"itemData":{"id":3443,"type":"article-journal","abstract":"Microbial communities are at the heart of all ecosystems, and yet microbial community behavior in disturbed environments remains difficult to measure and predict. Understanding the drivers of microbial community stability, including resistance (insensitivity to disturbance) and resilience (the rate of recovery after disturbance) is important for predicting community response to disturbance. Here, we provide an overview of the concepts of stability that are relevant for microbial communities. First, we highlight insights from ecology that are useful for defining and measuring stability. To determine whether general disturbance responses exist for microbial communities, we next examine representative studies from the literature that investigated community responses to press (long-term) and pulse (short-term) disturbances in a variety of habitats. Then we discuss the biological features of individual microorganisms, of microbial populations, and of microbial communities that may govern overall community stability. We conclude with thoughts about the unique insights that systems perspectives - informed by meta-omics data- may provide about microbial community stability.","container-title":"Frontiers in Microbiology","DOI":"10.3389/fmicb.2012.00417","ISSN":"1664-302X","journalAbbreviation":"Front. Microbiol.","language":"English","publisher":"Frontiers","source":"Frontiers","title":"Fundamentals of Microbial Community Resistance and Resilience","URL":"https://www.frontiersin.org/journals/microbiology/articles/10.3389/fmicb.2012.00417/full","volume":"3","author":[{"family":"Shade","given":"Ashley"},{"family":"Peter","given":"Hannes"},{"family":"Allison","given":"Steven D."},{"family":"Baho","given":"Didier"},{"family":"Berga","given":"Mercé"},{"family":"Buergmann","given":"Helmut"},{"family":"Huber","given":"David H."},{"family":"Langenheder","given":"Silke"},{"family":"Lennon","given":"Jay T."},{"family":"Martiny","given":"Jennifer BH"},{"family":"Matulich","given":"Kristin L."},{"family":"Schmidt","given":"Thomas M."},{"family":"Handelsman","given":"Jo"}],"accessed":{"date-parts":[["2025",12,17]]},"issued":{"date-parts":[["2012",12,19]]}}}],"schema":"https://github.com/citation-style-language/schema/raw/master/csl-citation.json"} </w:instrText>
      </w:r>
      <w:r w:rsidRPr="00D93D74">
        <w:fldChar w:fldCharType="separate"/>
      </w:r>
      <w:r w:rsidRPr="00D93D74">
        <w:t>(Shade et al., 2012)</w:t>
      </w:r>
      <w:r w:rsidRPr="00D93D74">
        <w:fldChar w:fldCharType="end"/>
      </w:r>
      <w:r w:rsidRPr="00D93D74">
        <w:t xml:space="preserve">. </w:t>
      </w:r>
    </w:p>
    <w:p w14:paraId="7E47912D" w14:textId="06F101C7" w:rsidR="00570D04" w:rsidRPr="00D93D74" w:rsidRDefault="00DA42F5" w:rsidP="00DA42F5">
      <w:r w:rsidRPr="00D93D74">
        <w:t>Resistance of a community is defined as insensitivity to the introduction of a new variable into the community, while resilience is defined as the rate of recovery after disturbance</w:t>
      </w:r>
      <w:r w:rsidR="00570D04" w:rsidRPr="00D93D74">
        <w:t xml:space="preserve"> </w:t>
      </w:r>
      <w:r w:rsidR="00570D04" w:rsidRPr="00D93D74">
        <w:fldChar w:fldCharType="begin"/>
      </w:r>
      <w:r w:rsidR="001C2A55">
        <w:instrText xml:space="preserve"> ADDIN ZOTERO_ITEM CSL_CITATION {"citationID":"shgAI8yM","properties":{"formattedCitation":"(Grimm &amp; Wissel, 1996)","plainCitation":"(Grimm &amp; Wissel, 1996)","noteIndex":0},"citationItems":[{"id":2740,"uris":["http://zotero.org/users/8873894/items/SUZV3JCN"],"itemData":{"id":2740,"type":"article-journal","abstract":"We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00570D04" w:rsidRPr="00D93D74">
        <w:fldChar w:fldCharType="separate"/>
      </w:r>
      <w:r w:rsidR="00570D04" w:rsidRPr="00D93D74">
        <w:rPr>
          <w:rFonts w:cs="Times New Roman"/>
        </w:rPr>
        <w:t>(Grimm &amp; Wissel, 1996)</w:t>
      </w:r>
      <w:r w:rsidR="00570D04" w:rsidRPr="00D93D74">
        <w:fldChar w:fldCharType="end"/>
      </w:r>
      <w:r w:rsidRPr="00D93D74">
        <w:t xml:space="preserve">. Persistence, in turn, is a useful longitudinal metric that captures whether taxa remain detectable over time and thus integrates information about both resistance (limited initial change) and resilience (recovery after change) when inferred from longitudinal sequencing data of an environment </w:t>
      </w:r>
      <w:r w:rsidRPr="00D93D74">
        <w:fldChar w:fldCharType="begin"/>
      </w:r>
      <w:r w:rsidR="001C2A55">
        <w:instrText xml:space="preserve"> ADDIN ZOTERO_ITEM CSL_CITATION {"citationID":"omp8ikIX","properties":{"formattedCitation":"(Lozupone et al., 2012)","plainCitation":"(Lozupone et al., 2012)","noteIndex":0},"citationItems":[{"id":1108,"uris":["http://zotero.org/users/8873894/items/H6FJD5TI"],"itemData":{"id":1108,"type":"article-journal","abstract":"Trillions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(Lozupone et al., 2012)</w:t>
      </w:r>
      <w:r w:rsidRPr="00D93D74">
        <w:fldChar w:fldCharType="end"/>
      </w:r>
      <w:r w:rsidRPr="00D93D74">
        <w:t xml:space="preserve">. Disturbance can act either directly on the community or indirectly via changes in the host environment, in both cases, some community members may die out, enter dormancy, or change in relative abundance. </w:t>
      </w:r>
    </w:p>
    <w:p w14:paraId="7E519C43" w14:textId="4C8FB1EC" w:rsidR="00570D04" w:rsidRPr="00D93D74" w:rsidDel="00DA5B9B" w:rsidRDefault="00DA42F5" w:rsidP="00DA42F5">
      <w:pPr>
        <w:rPr>
          <w:del w:id="204" w:author="Urša Miklavčič" w:date="2026-04-28T08:24:00Z" w16du:dateUtc="2026-04-28T06:24:00Z"/>
        </w:rPr>
      </w:pPr>
      <w:r w:rsidRPr="00D93D74">
        <w:t xml:space="preserve">Ecologists classify disturbances as short-term, long-term, or continuous events </w:t>
      </w:r>
      <w:r w:rsidRPr="00D93D74">
        <w:fldChar w:fldCharType="begin"/>
      </w:r>
      <w:r w:rsidR="001C2A55">
        <w:instrText xml:space="preserve"> ADDIN ZOTERO_ITEM CSL_CITATION {"citationID":"3CgqWvhd","properties":{"formattedCitation":"(Grimm &amp; Wissel, 1996)","plainCitation":"(Grimm &amp; Wissel, 1996)","noteIndex":0},"citationItems":[{"id":2740,"uris":["http://zotero.org/users/8873894/items/SUZV3JCN"],"itemData":{"id":2740,"type":"article-journal","abstract":"We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Pr="00D93D74">
        <w:t>(Grimm &amp; Wissel, 1996)</w:t>
      </w:r>
      <w:r w:rsidRPr="00D93D74">
        <w:fldChar w:fldCharType="end"/>
      </w:r>
      <w:r w:rsidRPr="00D93D74">
        <w:t>. Microbes have a short generation time, so disturbances can occur on the scale of minutes to days or can persist for years</w:t>
      </w:r>
      <w:ins w:id="205" w:author="Urša Miklavčič" w:date="2026-04-28T08:24:00Z" w16du:dateUtc="2026-04-28T06:24:00Z">
        <w:r w:rsidR="00DA5B9B">
          <w:t>. In the human gut</w:t>
        </w:r>
      </w:ins>
      <w:del w:id="206" w:author="Urša Miklavčič" w:date="2026-04-28T08:24:00Z" w16du:dateUtc="2026-04-28T06:24:00Z">
        <w:r w:rsidRPr="00D93D74" w:rsidDel="00DA5B9B">
          <w:delText>,</w:delText>
        </w:r>
      </w:del>
      <w:r w:rsidRPr="00D93D74">
        <w:t xml:space="preserve"> these </w:t>
      </w:r>
      <w:ins w:id="207" w:author="Urša Miklavčič" w:date="2026-04-28T08:24:00Z" w16du:dateUtc="2026-04-28T06:24:00Z">
        <w:r w:rsidR="00DA5B9B">
          <w:t xml:space="preserve">are </w:t>
        </w:r>
      </w:ins>
      <w:del w:id="208" w:author="Urša Miklavčič" w:date="2026-04-28T08:24:00Z" w16du:dateUtc="2026-04-28T06:24:00Z">
        <w:r w:rsidRPr="00D93D74" w:rsidDel="00DA5B9B">
          <w:delText xml:space="preserve">include </w:delText>
        </w:r>
      </w:del>
      <w:r w:rsidRPr="00D93D74">
        <w:t xml:space="preserve">changes in diet, disease, physical activity, moving, one-time overconsumption of alcohol, or traveling. </w:t>
      </w:r>
    </w:p>
    <w:p w14:paraId="1E84B9C9" w14:textId="1245F824" w:rsidR="00DA42F5" w:rsidRPr="00D93D74" w:rsidRDefault="00DA42F5" w:rsidP="00DA42F5">
      <w:r w:rsidRPr="00D93D74">
        <w:t xml:space="preserve">A stable state of gut microbiota of all humans is still unknown due to variations in geographical regions, diet and genetics </w:t>
      </w:r>
      <w:r w:rsidRPr="00D93D74">
        <w:fldChar w:fldCharType="begin"/>
      </w:r>
      <w:r w:rsidR="001C2A55">
        <w:instrText xml:space="preserve"> ADDIN ZOTERO_ITEM CSL_CITATION {"citationID":"yUjJV10d","properties":{"formattedCitation":"(Lozupone et al., 2012)","plainCitation":"(Lozupone et al., 2012)","noteIndex":0},"citationItems":[{"id":1108,"uris":["http://zotero.org/users/8873894/items/H6FJD5TI"],"itemData":{"id":1108,"type":"article-journal","abstract":"Trillions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Pr="00D93D74">
        <w:t>(Lozupone et al., 2012)</w:t>
      </w:r>
      <w:r w:rsidRPr="00D93D74">
        <w:fldChar w:fldCharType="end"/>
      </w:r>
      <w:r w:rsidRPr="00D93D74">
        <w:t>. By repeatedly sampling individuals over time, we can follow factors that modulate the persistence of species or even strains and the dynamics of functions, providing essential context for interpreting microbiota dynamics when sampling is coupled with extensive metadata collection.</w:t>
      </w:r>
    </w:p>
    <w:p w14:paraId="31DA5198" w14:textId="77777777" w:rsidR="00FF1358" w:rsidRPr="00D93D74" w:rsidRDefault="00FF1358" w:rsidP="00DA42F5"/>
    <w:p w14:paraId="4E56C84D" w14:textId="4500F7E7" w:rsidR="00DA42F5" w:rsidRPr="00D93D74" w:rsidRDefault="00570D04">
      <w:pPr>
        <w:pStyle w:val="Naslov2"/>
        <w:numPr>
          <w:ilvl w:val="1"/>
          <w:numId w:val="3"/>
        </w:numPr>
      </w:pPr>
      <w:bookmarkStart w:id="209" w:name="_Toc219124857"/>
      <w:bookmarkStart w:id="210" w:name="_Toc220932827"/>
      <w:bookmarkStart w:id="211" w:name="_Toc228252012"/>
      <w:r w:rsidRPr="00D93D74">
        <w:t xml:space="preserve">HUMAN GUT </w:t>
      </w:r>
      <w:bookmarkEnd w:id="209"/>
      <w:r w:rsidRPr="00D93D74">
        <w:t>SPOROBIOTA</w:t>
      </w:r>
      <w:bookmarkEnd w:id="210"/>
      <w:bookmarkEnd w:id="211"/>
    </w:p>
    <w:p w14:paraId="6CEF106D" w14:textId="6E8C69BF" w:rsidR="00570D04" w:rsidRPr="00D93D74" w:rsidRDefault="00DA42F5" w:rsidP="00DA42F5">
      <w:r w:rsidRPr="00D93D74">
        <w:t xml:space="preserve">Sporobiota is defined as all spore-forming bacteria in a given environment </w:t>
      </w:r>
      <w:r w:rsidRPr="00D93D74">
        <w:fldChar w:fldCharType="begin"/>
      </w:r>
      <w:r w:rsidR="001C2A55">
        <w:instrText xml:space="preserve"> ADDIN ZOTERO_ITEM CSL_CITATION {"citationID":"ruaKfKDo","properties":{"formattedCitation":"(Tetz &amp; Tetz, 2017)","plainCitation":"(Tetz &amp; Tetz, 2017)","noteIndex":0},"citationItems":[{"id":1149,"uris":["http://zotero.org/users/8873894/items/G5RWXQYI"],"itemData":{"id":1149,"type":"article-journal","abstract":"Unrelated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Pr="00D93D74">
        <w:t>(Tetz &amp; Tetz, 2017)</w:t>
      </w:r>
      <w:r w:rsidRPr="00D93D74">
        <w:fldChar w:fldCharType="end"/>
      </w:r>
      <w:r w:rsidRPr="00D93D74">
        <w:t xml:space="preserve">. Evolutionary analyses indicate that sporulation originated once in the phylum </w:t>
      </w:r>
      <w:r w:rsidRPr="00D93D74">
        <w:rPr>
          <w:i/>
          <w:iCs/>
        </w:rPr>
        <w:t>Bacillota</w:t>
      </w:r>
      <w:r w:rsidRPr="00D93D74">
        <w:t xml:space="preserve"> approximately 2.5 billion years ago </w:t>
      </w:r>
      <w:r w:rsidR="00EC2C50" w:rsidRPr="00D93D74">
        <w:fldChar w:fldCharType="begin"/>
      </w:r>
      <w:r w:rsidR="001C2A55">
        <w:instrText xml:space="preserve"> ADDIN ZOTERO_ITEM CSL_CITATION {"citationID":"Yb5nFWBy","properties":{"formattedCitation":"(de Hoon et al., 2010)","plainCitation":"(de Hoon et al., 2010)","noteIndex":0},"citationItems":[{"id":436,"uris":["http://zotero.org/users/8873894/items/IACN2TIG"],"itemData":{"id":436,"type":"article-journal","abstract":"Genome sequencing of multiple species makes it possible to understand the main principles behind the evolution of developmental regulatory networks. It is especially interesting to analyze the evolution of well-defined model systems in which conservation patterns can be directly correlated with the functional roles of various network components. Endospore formation (sporulation), extensively studied in Bacillus subtilis, is driven by such a model bacterial network of cellular development and differentiation. In this review, we analyze the evolution of the sporulation network in multiple endospore-forming bacteria. Importantly, the network evolution is not random but primarily follows the hierarchical organization and functional logic of the sporulation process. Specifically, the sporulation sigma factors and the master regulator of sporulation, Spo0A, are conserved in all considered spore-formers. The sequential activation of these global regulators is also strongly conserved. The feed-forward loops, which are likely used to fine-tune waves of gene expression within regulatory modules, show an intermediate level of conservation. These loops are less conserved than the sigma factors but significantly more than the structural sporulation genes, which form the lowest level in the functional and evolutionary hierarchy of the sporulation network. Interestingly, in spore-forming bacteria, gene regulation is more conserved than gene presence for sporulation genes, while the opposite is true for non-sporulation genes. The observed patterns suggest that by understanding the functional organization of a developmental network in a model organism, it is possible to understand the logic behind the evolution of this network in multiple related species.","container-title":"Current biology : CB","DOI":"10.1016/j.cub.2010.06.031","ISSN":"0960-9822","issue":"17","journalAbbreviation":"Curr Biol","page":"R735-R745","PMID":"20833318","PMCID":"PMC2944226","source":"PubMed Central","title":"Hierarchical evolution of the bacterial sporulation network","volume":"20","author":[{"family":"Hoon","given":"Michiel JL","non-dropping-particle":"de"},{"family":"Eichenberger","given":"Patrick"},{"family":"Vitkup","given":"Dennis"}],"issued":{"date-parts":[["2010",9,14]]}}}],"schema":"https://github.com/citation-style-language/schema/raw/master/csl-citation.json"} </w:instrText>
      </w:r>
      <w:r w:rsidR="00EC2C50" w:rsidRPr="00D93D74">
        <w:fldChar w:fldCharType="separate"/>
      </w:r>
      <w:r w:rsidR="00EC2C50" w:rsidRPr="00D93D74">
        <w:rPr>
          <w:rFonts w:cs="Times New Roman"/>
        </w:rPr>
        <w:t>(de Hoon et al., 2010)</w:t>
      </w:r>
      <w:r w:rsidR="00EC2C50" w:rsidRPr="00D93D74">
        <w:fldChar w:fldCharType="end"/>
      </w:r>
      <w:r w:rsidRPr="00D93D74">
        <w:t xml:space="preserve">. Spore formation and physiology </w:t>
      </w:r>
      <w:r w:rsidR="00570D04" w:rsidRPr="00D93D74">
        <w:t>have</w:t>
      </w:r>
      <w:r w:rsidRPr="00D93D74">
        <w:t xml:space="preserve"> since diverged to great genetic diversity in many different species </w:t>
      </w:r>
      <w:r w:rsidR="00EC2C50" w:rsidRPr="00D93D74">
        <w:fldChar w:fldCharType="begin"/>
      </w:r>
      <w:r w:rsidR="001C2A55">
        <w:instrText xml:space="preserve"> ADDIN ZOTERO_ITEM CSL_CITATION {"citationID":"CSZQvhW1","properties":{"formattedCitation":"(Thomas, 2012)","plainCitation":"(Thomas, 2012)","noteIndex":0},"citationItems":[{"id":427,"uris":["http://zotero.org/users/8873894/items/Z87WC5DW"],"itemData":{"id":427,"type":"article-journal","abstract":"This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EC2C50" w:rsidRPr="00D93D74">
        <w:rPr>
          <w:rFonts w:cs="Times New Roman"/>
        </w:rPr>
        <w:t>(Thomas, 2012)</w:t>
      </w:r>
      <w:r w:rsidR="00EC2C50" w:rsidRPr="00D93D74">
        <w:fldChar w:fldCharType="end"/>
      </w:r>
      <w:r w:rsidRPr="00D93D74">
        <w:t xml:space="preserve">. </w:t>
      </w:r>
    </w:p>
    <w:p w14:paraId="724F078A" w14:textId="5176D925" w:rsidR="00DA42F5" w:rsidRPr="00D93D74" w:rsidRDefault="00DA42F5" w:rsidP="00DA42F5">
      <w:r w:rsidRPr="00D93D74">
        <w:lastRenderedPageBreak/>
        <w:t>In the human gut, spore</w:t>
      </w:r>
      <w:r w:rsidRPr="00D93D74">
        <w:noBreakHyphen/>
        <w:t xml:space="preserve">formers are phylogenetically diverse but predominantly belong classes </w:t>
      </w:r>
      <w:r w:rsidRPr="00D93D74">
        <w:rPr>
          <w:i/>
          <w:iCs/>
        </w:rPr>
        <w:t xml:space="preserve">Clostridia </w:t>
      </w:r>
      <w:r w:rsidRPr="00D93D74">
        <w:t xml:space="preserve">and </w:t>
      </w:r>
      <w:r w:rsidRPr="00D93D74">
        <w:rPr>
          <w:i/>
          <w:iCs/>
        </w:rPr>
        <w:t xml:space="preserve">Bacilli </w:t>
      </w:r>
      <w:r w:rsidRPr="00D93D74">
        <w:t xml:space="preserve">including genera such as </w:t>
      </w:r>
      <w:r w:rsidRPr="00D93D74">
        <w:rPr>
          <w:i/>
          <w:iCs/>
        </w:rPr>
        <w:t>Ruminococcus</w:t>
      </w:r>
      <w:r w:rsidRPr="00D93D74">
        <w:t xml:space="preserve">, </w:t>
      </w:r>
      <w:r w:rsidRPr="00D93D74">
        <w:rPr>
          <w:i/>
          <w:iCs/>
        </w:rPr>
        <w:t>Blautia</w:t>
      </w:r>
      <w:r w:rsidRPr="00D93D74">
        <w:t xml:space="preserve">, </w:t>
      </w:r>
      <w:r w:rsidRPr="00D93D74">
        <w:rPr>
          <w:i/>
          <w:iCs/>
        </w:rPr>
        <w:t>Coprococcus</w:t>
      </w:r>
      <w:r w:rsidRPr="00D93D74">
        <w:t xml:space="preserve">, </w:t>
      </w:r>
      <w:r w:rsidRPr="00D93D74">
        <w:rPr>
          <w:i/>
          <w:iCs/>
        </w:rPr>
        <w:t>Eubacterium</w:t>
      </w:r>
      <w:r w:rsidRPr="00D93D74">
        <w:t xml:space="preserve"> and </w:t>
      </w:r>
      <w:r w:rsidRPr="00D93D74">
        <w:rPr>
          <w:i/>
          <w:iCs/>
        </w:rPr>
        <w:t>Flavonifractor</w:t>
      </w:r>
      <w:r w:rsidRPr="00D93D74">
        <w:t xml:space="preserve"> </w:t>
      </w:r>
      <w:r w:rsidRPr="00D93D74">
        <w:fldChar w:fldCharType="begin"/>
      </w:r>
      <w:r w:rsidR="001C2A55">
        <w:instrText xml:space="preserve"> ADDIN ZOTERO_ITEM CSL_CITATION {"citationID":"cBQcjrow","properties":{"formattedCitation":"(Egan et al., 2021; Koopman et al., 2022)","plainCitation":"(Egan et al., 2021; Koopman et al., 2022)","noteIndex":0},"citationItems":[{"id":1150,"uris":["http://zotero.org/users/8873894/items/SJCCTPEG"],"itemData":{"id":1150,"type":"article-journal","abstract":"The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Paul"},{"family":"Stanton","given":"Catherine"}],"issued":{"date-parts":[["2021",1,1]]}}},{"id":1642,"uris":["http://zotero.org/users/8873894/items/CWNLIUM4"],"itemData":{"id":1642,"type":"article-journal","abstract":"Recent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fldChar w:fldCharType="separate"/>
      </w:r>
      <w:r w:rsidRPr="00D93D74">
        <w:t>(Egan et al., 2021; Koopman et al., 2022)</w:t>
      </w:r>
      <w:r w:rsidRPr="00D93D74">
        <w:fldChar w:fldCharType="end"/>
      </w:r>
      <w:r w:rsidRPr="00D93D74">
        <w:t xml:space="preserve">. Many spore-forming species act as commensals and are central to a healthy gut microbiome. Key examples include members of the </w:t>
      </w:r>
      <w:r w:rsidRPr="00D93D74">
        <w:rPr>
          <w:i/>
          <w:iCs/>
        </w:rPr>
        <w:t>Clostridium</w:t>
      </w:r>
      <w:r w:rsidRPr="00D93D74">
        <w:t xml:space="preserve"> clusters XI and XIVa (</w:t>
      </w:r>
      <w:r w:rsidRPr="00D93D74">
        <w:rPr>
          <w:i/>
          <w:iCs/>
        </w:rPr>
        <w:t>Clostridium leptum</w:t>
      </w:r>
      <w:r w:rsidRPr="00D93D74">
        <w:t xml:space="preserve">, </w:t>
      </w:r>
      <w:r w:rsidRPr="00D93D74">
        <w:rPr>
          <w:i/>
          <w:iCs/>
        </w:rPr>
        <w:t>Clostridium scindens</w:t>
      </w:r>
      <w:r w:rsidRPr="00D93D74">
        <w:t xml:space="preserve">, </w:t>
      </w:r>
      <w:r w:rsidRPr="00D93D74">
        <w:rPr>
          <w:i/>
          <w:iCs/>
        </w:rPr>
        <w:t>Clostridium innocuum</w:t>
      </w:r>
      <w:r w:rsidRPr="00D93D74">
        <w:t xml:space="preserve">), as well as </w:t>
      </w:r>
      <w:r w:rsidRPr="00D93D74">
        <w:rPr>
          <w:i/>
          <w:iCs/>
        </w:rPr>
        <w:t>Flavonifractor plautii</w:t>
      </w:r>
      <w:r w:rsidRPr="00D93D74">
        <w:t> and </w:t>
      </w:r>
      <w:r w:rsidRPr="00D93D74">
        <w:rPr>
          <w:i/>
          <w:iCs/>
        </w:rPr>
        <w:t>Ruminococcus bromii</w:t>
      </w:r>
      <w:r w:rsidRPr="00D93D74">
        <w:t xml:space="preserve"> from the </w:t>
      </w:r>
      <w:r w:rsidRPr="00D93D74">
        <w:rPr>
          <w:i/>
          <w:iCs/>
        </w:rPr>
        <w:t>Ruminococcaceae</w:t>
      </w:r>
      <w:r w:rsidRPr="00D93D74">
        <w:t xml:space="preserve"> family. Other prevalent species, such as </w:t>
      </w:r>
      <w:r w:rsidRPr="00D93D74">
        <w:rPr>
          <w:i/>
          <w:iCs/>
        </w:rPr>
        <w:t>Eubacterium rectale</w:t>
      </w:r>
      <w:r w:rsidRPr="00D93D74">
        <w:t xml:space="preserve"> and </w:t>
      </w:r>
      <w:r w:rsidRPr="00D93D74">
        <w:rPr>
          <w:i/>
          <w:iCs/>
        </w:rPr>
        <w:t>Eubacterium elegans</w:t>
      </w:r>
      <w:r w:rsidRPr="00D93D74">
        <w:t xml:space="preserve">, also possess the genetic capability for sporulation </w:t>
      </w:r>
      <w:r w:rsidRPr="00D93D74">
        <w:fldChar w:fldCharType="begin"/>
      </w:r>
      <w:r w:rsidR="001C2A55">
        <w:instrText xml:space="preserve"> ADDIN ZOTERO_ITEM CSL_CITATION {"citationID":"nspLNZI5","properties":{"formattedCitation":"(Egan et al., 2021)","plainCitation":"(Egan et al., 2021)","noteIndex":0},"citationItems":[{"id":1150,"uris":["http://zotero.org/users/8873894/items/SJCCTPEG"],"itemData":{"id":1150,"type":"article-journal","abstract":"The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Pr="00D93D74">
        <w:t>(Egan et al., 2021)</w:t>
      </w:r>
      <w:r w:rsidRPr="00D93D74">
        <w:fldChar w:fldCharType="end"/>
      </w:r>
      <w:r w:rsidRPr="00D93D74">
        <w:t xml:space="preserve">. </w:t>
      </w:r>
    </w:p>
    <w:p w14:paraId="4F1E1BC9" w14:textId="7C8ECFA0" w:rsidR="00D41590" w:rsidRPr="00D93D74" w:rsidRDefault="00DA42F5" w:rsidP="00DA42F5">
      <w:r w:rsidRPr="00D93D74">
        <w:t xml:space="preserve">The abundance of spore-forming bacteria is lower in infants than adults </w:t>
      </w:r>
      <w:r w:rsidRPr="00D93D74">
        <w:fldChar w:fldCharType="begin"/>
      </w:r>
      <w:r w:rsidR="001C2A55">
        <w:instrText xml:space="preserve"> ADDIN ZOTERO_ITEM CSL_CITATION {"citationID":"s0JotdMa","properties":{"formattedCitation":"(Korpela et al., 2018; Nayfach et al., 2016)","plainCitation":"(Korpela et al., 2018; Nayfach et al., 2016)","noteIndex":0},"citationItems":[{"id":1644,"uris":["http://zotero.org/users/8873894/items/B2CNGHMC"],"itemData":{"id":1644,"type":"article-journal","abstract":"Vertical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I."},{"family":"Segata","given":"Nicola"},{"family":"Bork","given":"Peer"}],"issued":{"date-parts":[["2018",4]]}}},{"id":23,"uris":["http://zotero.org/users/8873894/items/C8X2T89J"],"itemData":{"id":23,"type":"article-journal","abstract":"We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93D74">
        <w:fldChar w:fldCharType="separate"/>
      </w:r>
      <w:r w:rsidRPr="00D93D74">
        <w:t>(Korpela et al., 2018; Nayfach et al., 2016)</w:t>
      </w:r>
      <w:r w:rsidRPr="00D93D74">
        <w:fldChar w:fldCharType="end"/>
      </w:r>
      <w:r w:rsidRPr="00D93D74">
        <w:t xml:space="preserve">, but despite this, they are the initial producers of butyrate, which was shown to protect the gut from intestinal diseases such as inflammatory bowel disease and colon cancer </w:t>
      </w:r>
      <w:r w:rsidRPr="00D93D74">
        <w:fldChar w:fldCharType="begin"/>
      </w:r>
      <w:r w:rsidR="001C2A55">
        <w:instrText xml:space="preserve"> ADDIN ZOTERO_ITEM CSL_CITATION {"citationID":"gTJg8dEt","properties":{"formattedCitation":"(Appert et al., 2020; Hodgkinson et al., 2023)","plainCitation":"(Appert et al., 2020; Hodgkinson et al., 2023)","noteIndex":0},"citationItems":[{"id":1645,"uris":["http://zotero.org/users/8873894/items/WWYT9LM8"],"itemData":{"id":1645,"type":"article-journal","abstract":"The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2856,"uris":["http://zotero.org/users/8873894/items/F7N7EXZU"],"itemData":{"id":2856,"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schema":"https://github.com/citation-style-language/schema/raw/master/csl-citation.json"} </w:instrText>
      </w:r>
      <w:r w:rsidRPr="00D93D74">
        <w:fldChar w:fldCharType="separate"/>
      </w:r>
      <w:r w:rsidRPr="00D93D74">
        <w:t>(Appert et al., 2020; Hodgkinson et al., 2023)</w:t>
      </w:r>
      <w:r w:rsidRPr="00D93D74">
        <w:fldChar w:fldCharType="end"/>
      </w:r>
      <w:r w:rsidRPr="00D93D74">
        <w:t>. Specifically, short chain fatty acids (SCFAs) generated by spore</w:t>
      </w:r>
      <w:r w:rsidR="00570D04" w:rsidRPr="00D93D74">
        <w:t>-</w:t>
      </w:r>
      <w:r w:rsidRPr="00D93D74">
        <w:t>forming bacteria break down dietary fibres</w:t>
      </w:r>
      <w:r w:rsidR="00570D04" w:rsidRPr="00D93D74">
        <w:t xml:space="preserve"> and are thus </w:t>
      </w:r>
      <w:r w:rsidRPr="00D93D74">
        <w:t xml:space="preserve">linked to improved gut homeostasis, suppressed inflammatory responses, and epithelial barrier functioning </w:t>
      </w:r>
      <w:r w:rsidR="00EC2C50" w:rsidRPr="00D93D74">
        <w:fldChar w:fldCharType="begin"/>
      </w:r>
      <w:r w:rsidR="001C2A55">
        <w:instrText xml:space="preserve"> ADDIN ZOTERO_ITEM CSL_CITATION {"citationID":"wICBGf4T","properties":{"formattedCitation":"(Koopman et al., 2022)","plainCitation":"(Koopman et al., 2022)","noteIndex":0},"citationItems":[{"id":1642,"uris":["http://zotero.org/users/8873894/items/CWNLIUM4"],"itemData":{"id":1642,"type":"article-journal","abstract":"Recent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00EC2C50" w:rsidRPr="00D93D74">
        <w:fldChar w:fldCharType="separate"/>
      </w:r>
      <w:r w:rsidR="00EC2C50" w:rsidRPr="00D93D74">
        <w:rPr>
          <w:rFonts w:cs="Times New Roman"/>
        </w:rPr>
        <w:t>(Koopman et al., 2022)</w:t>
      </w:r>
      <w:r w:rsidR="00EC2C50" w:rsidRPr="00D93D74">
        <w:fldChar w:fldCharType="end"/>
      </w:r>
      <w:r w:rsidRPr="00D93D74">
        <w:t xml:space="preserve">. </w:t>
      </w:r>
    </w:p>
    <w:p w14:paraId="5CE1239B" w14:textId="5D7E4893" w:rsidR="00DA42F5" w:rsidRPr="00D93D74" w:rsidRDefault="00DA42F5" w:rsidP="00DA42F5">
      <w:r w:rsidRPr="00D93D74">
        <w:t>A high proportion of gut bacteria, at least 50</w:t>
      </w:r>
      <w:ins w:id="212" w:author="Urša Miklavčič" w:date="2026-04-28T18:16:00Z" w16du:dateUtc="2026-04-28T16:16:00Z">
        <w:r w:rsidR="00207CEB">
          <w:t>%</w:t>
        </w:r>
      </w:ins>
      <w:del w:id="213" w:author="Urša Miklavčič" w:date="2026-04-28T18:16:00Z" w16du:dateUtc="2026-04-28T16:16:00Z">
        <w:r w:rsidRPr="00D93D74" w:rsidDel="00207CEB">
          <w:delText xml:space="preserve"> to 60%</w:delText>
        </w:r>
      </w:del>
      <w:r w:rsidRPr="00D93D74">
        <w:t xml:space="preserve"> </w:t>
      </w:r>
      <w:del w:id="214" w:author="Urša Miklavčič" w:date="2026-04-28T18:16:00Z" w16du:dateUtc="2026-04-28T16:16:00Z">
        <w:r w:rsidRPr="00D93D74" w:rsidDel="00207CEB">
          <w:delText xml:space="preserve"> </w:delText>
        </w:r>
      </w:del>
      <w:r w:rsidRPr="00D93D74">
        <w:t xml:space="preserve">possess the genetic </w:t>
      </w:r>
      <w:del w:id="215" w:author="Urša Miklavčič" w:date="2026-04-28T18:16:00Z" w16du:dateUtc="2026-04-28T16:16:00Z">
        <w:r w:rsidRPr="00D93D74" w:rsidDel="00207CEB">
          <w:delText>cap</w:delText>
        </w:r>
      </w:del>
      <w:r w:rsidRPr="00D93D74">
        <w:t xml:space="preserve">ability for sporulation,  representing around 30% of all bacterial abundance in the adult human gut capable of survival in conditions that are unfavourable for growth </w:t>
      </w:r>
      <w:r w:rsidRPr="00D93D74">
        <w:fldChar w:fldCharType="begin"/>
      </w:r>
      <w:r w:rsidR="001C2A55">
        <w:instrText xml:space="preserve"> ADDIN ZOTERO_ITEM CSL_CITATION {"citationID":"ik6cmWMM","properties":{"formattedCitation":"(Browne et al., 2016b)","plainCitation":"(Browne et al., 2016b)","noteIndex":0},"citationItems":[{"id":29,"uris":["http://zotero.org/users/8873894/items/YDIPWJ3L"],"itemData":{"id":29,"type":"article-journal","abstract":"A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Pr="00D93D74">
        <w:rPr>
          <w:rFonts w:cs="Times New Roman"/>
        </w:rPr>
        <w:t>(Browne et al., 2016b)</w:t>
      </w:r>
      <w:r w:rsidRPr="00D93D74">
        <w:fldChar w:fldCharType="end"/>
      </w:r>
      <w:r w:rsidRPr="00D93D74">
        <w:t xml:space="preserve">. The ability of spore-forming bacteria in the human gut to endure unfavourable conditions, such as oxygen, antibiotic treatment, inflammation, and other diseases, allows them to persist and potentially recolonize the gut following disruptions but also facilitates transmission between individuals </w:t>
      </w:r>
      <w:r w:rsidRPr="00D93D74">
        <w:fldChar w:fldCharType="begin"/>
      </w:r>
      <w:r w:rsidR="001C2A55">
        <w:instrText xml:space="preserve"> ADDIN ZOTERO_ITEM CSL_CITATION {"citationID":"leLj8T4B","properties":{"formattedCitation":"(Swick et al., 2016)","plainCitation":"(Swick et al., 2016)","noteIndex":0},"citationItems":[{"id":1870,"uris":["http://zotero.org/users/8873894/items/8U7JDRN7"],"itemData":{"id":1870,"type":"article-journal","container-title":"Microbiology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M."},{"family":"Driks","given":"Adam"}],"issued":{"date-parts":[["2016",8]]}}}],"schema":"https://github.com/citation-style-language/schema/raw/master/csl-citation.json"} </w:instrText>
      </w:r>
      <w:r w:rsidRPr="00D93D74">
        <w:fldChar w:fldCharType="separate"/>
      </w:r>
      <w:r w:rsidRPr="00D93D74">
        <w:t>(Swick et al., 2016)</w:t>
      </w:r>
      <w:r w:rsidRPr="00D93D74">
        <w:fldChar w:fldCharType="end"/>
      </w:r>
      <w:r w:rsidRPr="00D93D74">
        <w:t xml:space="preserve">. Other mechanisms hypothesized to increase transmission between human hosts include aero-toleration, and viable, but not-culturable state, where an increased survival ability is achieved through decreased metabolic activity and strengthened cell walls </w:t>
      </w:r>
      <w:r w:rsidRPr="00D93D74">
        <w:fldChar w:fldCharType="begin"/>
      </w:r>
      <w:r w:rsidR="001C2A55">
        <w:instrText xml:space="preserve"> ADDIN ZOTERO_ITEM CSL_CITATION {"citationID":"CvrO8tBN","properties":{"formattedCitation":"(Browne et al., 2017)","plainCitation":"(Browne et al., 2017)","noteIndex":0},"citationItems":[{"id":2860,"uris":["http://zotero.org/users/8873894/items/4W6Y6Z8H"],"itemData":{"id":2860,"type":"article-journal","container-title":"Nature Reviews Microbiology","DOI":"10.1038/nrmicro.2017.50","ISSN":"1740-1526, 1740-1534","issue":"9","journalAbbreviation":"Nat Rev Microbiol","language":"en","page":"531-543","source":"DOI.org (Crossref)","title":"Transmission of the gut microbiota: spreading of health","title-short":"Transmission of the gut microbiota","volume":"15","author":[{"family":"Browne","given":"Hilary P."},{"family":"Neville","given":"B. Anne"},{"family":"Forster","given":"Samuel C."},{"family":"Lawley","given":"Trevor D."}],"issued":{"date-parts":[["2017",9]]}}}],"schema":"https://github.com/citation-style-language/schema/raw/master/csl-citation.json"} </w:instrText>
      </w:r>
      <w:r w:rsidRPr="00D93D74">
        <w:fldChar w:fldCharType="separate"/>
      </w:r>
      <w:r w:rsidRPr="00D93D74">
        <w:t>(Browne et al., 2017)</w:t>
      </w:r>
      <w:r w:rsidRPr="00D93D74">
        <w:fldChar w:fldCharType="end"/>
      </w:r>
      <w:r w:rsidRPr="00D93D74">
        <w:t xml:space="preserve">. The likelihood of transmission increases with bacteria’s utilization of different life-history strategies (e.g. dormancy) and their prevalence, however high strain abundance within a host is not typically driven by transmission, but rather the bacterium’s ability to adapt and grow within a host </w:t>
      </w:r>
      <w:r w:rsidRPr="00D93D74">
        <w:fldChar w:fldCharType="begin"/>
      </w:r>
      <w:r w:rsidR="001C2A55">
        <w:instrText xml:space="preserve"> ADDIN ZOTERO_ITEM CSL_CITATION {"citationID":"IU5bP44E","properties":{"formattedCitation":"(Valles-Colomer et al., 2023)","plainCitation":"(Valles-Colomer et al., 2023)","noteIndex":0},"citationItems":[{"id":1879,"uris":["http://zotero.org/users/8873894/items/8PIGTYZD"],"itemData":{"id":1879,"type":"article-journal","abstract":"The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D93D74">
        <w:t>(Valles-Colomer et al., 2023)</w:t>
      </w:r>
      <w:r w:rsidRPr="00D93D74">
        <w:fldChar w:fldCharType="end"/>
      </w:r>
      <w:r w:rsidRPr="00D93D74">
        <w:t xml:space="preserve">. </w:t>
      </w:r>
    </w:p>
    <w:p w14:paraId="443A5E2A" w14:textId="77777777" w:rsidR="00D41590" w:rsidRPr="00D93D74" w:rsidRDefault="00D41590" w:rsidP="00DA42F5"/>
    <w:p w14:paraId="1367FAFB" w14:textId="4574372E" w:rsidR="00DA42F5" w:rsidRPr="00D93D74" w:rsidRDefault="007730F9">
      <w:pPr>
        <w:pStyle w:val="Naslov3"/>
        <w:numPr>
          <w:ilvl w:val="2"/>
          <w:numId w:val="3"/>
        </w:numPr>
      </w:pPr>
      <w:bookmarkStart w:id="216" w:name="_Toc219124858"/>
      <w:bookmarkStart w:id="217" w:name="_Toc220932828"/>
      <w:bookmarkStart w:id="218" w:name="_Toc228252013"/>
      <w:r w:rsidRPr="00D93D74">
        <w:t>Culture-dependant and -independent an</w:t>
      </w:r>
      <w:r w:rsidR="00DA42F5" w:rsidRPr="00D93D74">
        <w:t>alysis of sporobiota</w:t>
      </w:r>
      <w:bookmarkEnd w:id="216"/>
      <w:bookmarkEnd w:id="217"/>
      <w:bookmarkEnd w:id="218"/>
      <w:r w:rsidR="00DA42F5" w:rsidRPr="00D93D74">
        <w:t xml:space="preserve"> </w:t>
      </w:r>
    </w:p>
    <w:p w14:paraId="0825407D" w14:textId="4AA02F49" w:rsidR="00EC2C50" w:rsidRPr="00D93D74" w:rsidRDefault="00DA42F5" w:rsidP="00DA42F5">
      <w:r w:rsidRPr="00D93D74">
        <w:t>Until recently</w:t>
      </w:r>
      <w:r w:rsidR="004241D9" w:rsidRPr="00D93D74">
        <w:t>,</w:t>
      </w:r>
      <w:r w:rsidRPr="00D93D74">
        <w:t xml:space="preserve"> most research has focused on the pathogenic endospores related to food safety and intestinal infections </w:t>
      </w:r>
      <w:r w:rsidRPr="00D93D74">
        <w:fldChar w:fldCharType="begin"/>
      </w:r>
      <w:r w:rsidR="001C2A55">
        <w:instrText xml:space="preserve"> ADDIN ZOTERO_ITEM CSL_CITATION {"citationID":"zr9CxxsE","properties":{"formattedCitation":"(Brown, 2000)","plainCitation":"(Brown, 2000)","dontUpdate":true,"noteIndex":0},"citationItems":[{"id":2857,"uris":["http://zotero.org/users/8873894/items/D6H26382"],"itemData":{"id":2857,"type":"article-journal","abstract":"Bacterial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93D74">
        <w:fldChar w:fldCharType="separate"/>
      </w:r>
      <w:r w:rsidRPr="00D93D74">
        <w:t>(reviewed in Brown, 2000)</w:t>
      </w:r>
      <w:r w:rsidRPr="00D93D74">
        <w:fldChar w:fldCharType="end"/>
      </w:r>
      <w:r w:rsidRPr="00D93D74">
        <w:t xml:space="preserve">, but these species constitute </w:t>
      </w:r>
      <w:r w:rsidR="004241D9" w:rsidRPr="00D93D74">
        <w:t xml:space="preserve">only </w:t>
      </w:r>
      <w:r w:rsidRPr="00D93D74">
        <w:t>a min</w:t>
      </w:r>
      <w:r w:rsidR="004241D9" w:rsidRPr="00D93D74">
        <w:t>u</w:t>
      </w:r>
      <w:r w:rsidRPr="00D93D74">
        <w:t xml:space="preserve">scule fraction of the </w:t>
      </w:r>
      <w:ins w:id="219" w:author="Urša Miklavčič" w:date="2026-04-28T08:25:00Z" w16du:dateUtc="2026-04-28T06:25:00Z">
        <w:r w:rsidR="00DA5B9B">
          <w:t xml:space="preserve">gut </w:t>
        </w:r>
      </w:ins>
      <w:r w:rsidRPr="00D93D74">
        <w:t>microbiota</w:t>
      </w:r>
      <w:r w:rsidR="004241D9" w:rsidRPr="00D93D74">
        <w:t>,</w:t>
      </w:r>
      <w:r w:rsidRPr="00D93D74">
        <w:t xml:space="preserve"> and far less is known about the ecological dynamics of commensal, spore-forming bacteria that are highly abundant </w:t>
      </w:r>
      <w:r w:rsidR="004241D9" w:rsidRPr="00D93D74">
        <w:t>in</w:t>
      </w:r>
      <w:r w:rsidRPr="00D93D74">
        <w:t xml:space="preserve"> healthy individuals. This is </w:t>
      </w:r>
      <w:r w:rsidR="004241D9" w:rsidRPr="00D93D74">
        <w:t>partly</w:t>
      </w:r>
      <w:r w:rsidRPr="00D93D74">
        <w:t xml:space="preserve"> due to the difficulty of isolating </w:t>
      </w:r>
      <w:ins w:id="220" w:author="Urša Miklavčič" w:date="2026-04-28T08:25:00Z" w16du:dateUtc="2026-04-28T06:25:00Z">
        <w:r w:rsidR="00DA5B9B">
          <w:t xml:space="preserve">DNA from </w:t>
        </w:r>
      </w:ins>
      <w:r w:rsidRPr="00D93D74">
        <w:t xml:space="preserve">spores, which have proven to be </w:t>
      </w:r>
      <w:r w:rsidR="004241D9" w:rsidRPr="00D93D74">
        <w:t xml:space="preserve">among </w:t>
      </w:r>
      <w:r w:rsidRPr="00D93D74">
        <w:t xml:space="preserve">the most resistant cell structures to </w:t>
      </w:r>
      <w:r w:rsidR="004241D9" w:rsidRPr="00D93D74">
        <w:t>survive</w:t>
      </w:r>
      <w:r w:rsidRPr="00D93D74">
        <w:t xml:space="preserve"> on Earth and </w:t>
      </w:r>
      <w:r w:rsidR="004241D9" w:rsidRPr="00D93D74">
        <w:t xml:space="preserve">in </w:t>
      </w:r>
      <w:r w:rsidRPr="00D93D74">
        <w:t xml:space="preserve">space </w:t>
      </w:r>
      <w:r w:rsidR="00EC2C50" w:rsidRPr="00D93D74">
        <w:fldChar w:fldCharType="begin"/>
      </w:r>
      <w:r w:rsidR="001C2A55">
        <w:instrText xml:space="preserve"> ADDIN ZOTERO_ITEM CSL_CITATION {"citationID":"2FFkFZHX","properties":{"formattedCitation":"(Horneck et al., 1994; Leggett et al., 2012)","plainCitation":"(Horneck et al., 1994; Leggett et al., 2012)","noteIndex":0},"citationItems":[{"id":407,"uris":["http://zotero.org/users/8873894/items/HUAZ4EBA"],"itemData":{"id":407,"type":"article-journal","abstract":"On board of the NASA Long Duration Exposure Facility (LDEF), spores of Bacillus subtilis in monolayers (106/sample) or multilayers (108/sample) were exposed to the space environment for nearly six years and their survival was analyzed after retrieval. The response to space parameters, such as vacuum (10−6 Pa), solar electromagnetic radiation up to the highly energetic vacuum-ultraviolet range (109 J/m2) and/or cosmic radiation (4.8 Gy), was studied and compared to the results of a simultaneously running ground control experiment. If shielded against solar ultraviolet (UV)-radiation, up to 80 % of spores in multilayers survive in space. Solar UV-radiation, being the most deleterious parameter of space, reduces survival by 4 orders of magnitude or more. However, up to 104 viable spores were still recovered, even in completely unprotected samples. Substances, such as glucose or buffer salts serve as chemical protectants. With this 6 year study in space, experimental data are provided to the discussion on the likelihood of “Panspermia”.","container-title":"Advances in Space Research","DOI":"10.1016/0273-1177(94)90448-0","ISSN":"0273-1177","issue":"10","journalAbbreviation":"Advances in Space Research","language":"en","page":"41-45","source":"ScienceDirect","title":"Long-term survival of bacterial spores in space","volume":"14","author":[{"family":"Horneck","given":"G."},{"family":"Bücker","given":"H."},{"family":"Reitz","given":"G."}],"issued":{"date-parts":[["1994",10,1]]}}},{"id":406,"uris":["http://zotero.org/users/8873894/items/29ALU4FT"],"itemData":{"id":406,"type":"article-journal","abstract":"The structure and chemical composition of bacterial spores differ considerably from those of vegetative cells. These differences largely account for the unique resistance properties of the spore to environmental stresses, including disinfectants and sterilants, resulting in the emergence of spore-forming bacteria such as Clostridium difficile as major hospital pathogens. Although there has been considerable work investigating the mechanisms of action of many sporicidal biocides against Bacillus subtilis spores, there is far less information available for other species and particularly for various Clostridia. This paucity of information represents a major gap in our knowledge given the importance of Clostridia as human pathogens. This review considers the main spore structures, highlighting their relevance to spore resistance properties and detailing their chemical composition, with a particular emphasis on the differences between various spore formers. Such information will be vital for the rational design and development of novel sporicidal chemistries with enhanced activity in the future.","container-title":"Journal of Applied Microbiology","DOI":"10.1111/j.1365-2672.2012.05336.x","ISSN":"1365-2672","issue":"3","language":"en","note":"_eprint: https://onlinelibrary.wiley.com/doi/pdf/10.1111/j.1365-2672.2012.05336.x","page":"485-498","source":"Wiley Online Library","title":"Bacterial spore structures and their protective role in biocide resistance","volume":"113","author":[{"family":"Leggett","given":"M.j."},{"family":"McDonnell","given":"G."},{"family":"Denyer","given":"S.p."},{"family":"Setlow","given":"P."},{"family":"Maillard","given":"J.-Y."}],"issued":{"date-parts":[["2012"]]}}}],"schema":"https://github.com/citation-style-language/schema/raw/master/csl-citation.json"} </w:instrText>
      </w:r>
      <w:r w:rsidR="00EC2C50" w:rsidRPr="00D93D74">
        <w:fldChar w:fldCharType="separate"/>
      </w:r>
      <w:r w:rsidR="00EC2C50" w:rsidRPr="00D93D74">
        <w:rPr>
          <w:rFonts w:cs="Times New Roman"/>
        </w:rPr>
        <w:t>(Horneck et al., 1994; Leggett et al., 2012)</w:t>
      </w:r>
      <w:r w:rsidR="00EC2C50" w:rsidRPr="00D93D74">
        <w:fldChar w:fldCharType="end"/>
      </w:r>
      <w:r w:rsidR="00EC2C50" w:rsidRPr="00D93D74">
        <w:t xml:space="preserve">. </w:t>
      </w:r>
      <w:r w:rsidRPr="00D93D74">
        <w:t>Due to</w:t>
      </w:r>
      <w:r w:rsidR="004241D9" w:rsidRPr="00D93D74">
        <w:t xml:space="preserve"> their</w:t>
      </w:r>
      <w:r w:rsidRPr="00D93D74">
        <w:t xml:space="preserve"> diverse evolutionary history</w:t>
      </w:r>
      <w:r w:rsidR="004241D9" w:rsidRPr="00D93D74">
        <w:t>,</w:t>
      </w:r>
      <w:r w:rsidRPr="00D93D74">
        <w:t xml:space="preserve"> bacterial spores can withstand many different environmental pressures such as heat, desiccation, radiation, oxidation</w:t>
      </w:r>
      <w:r w:rsidR="004241D9" w:rsidRPr="00D93D74">
        <w:t>,</w:t>
      </w:r>
      <w:r w:rsidRPr="00D93D74">
        <w:t xml:space="preserve"> or exposure to chemicals. Endospore</w:t>
      </w:r>
      <w:r w:rsidR="004241D9" w:rsidRPr="00D93D74">
        <w:t>-</w:t>
      </w:r>
      <w:r w:rsidRPr="00D93D74">
        <w:lastRenderedPageBreak/>
        <w:t xml:space="preserve">producing bacteria have different mechanisms for defence </w:t>
      </w:r>
      <w:r w:rsidR="004241D9" w:rsidRPr="00D93D74">
        <w:t>against</w:t>
      </w:r>
      <w:r w:rsidRPr="00D93D74">
        <w:t xml:space="preserve"> high temperature</w:t>
      </w:r>
      <w:r w:rsidR="004241D9" w:rsidRPr="00D93D74">
        <w:t>s</w:t>
      </w:r>
      <w:r w:rsidRPr="00D93D74">
        <w:t xml:space="preserve"> or prolonged </w:t>
      </w:r>
      <w:r w:rsidR="004241D9" w:rsidRPr="00D93D74">
        <w:t>immersion</w:t>
      </w:r>
      <w:r w:rsidRPr="00D93D74">
        <w:t xml:space="preserve"> in high concentration</w:t>
      </w:r>
      <w:r w:rsidR="004241D9" w:rsidRPr="00D93D74">
        <w:t>s</w:t>
      </w:r>
      <w:r w:rsidRPr="00D93D74">
        <w:t xml:space="preserve"> of ethanol </w:t>
      </w:r>
      <w:r w:rsidR="00EC2C50" w:rsidRPr="00D93D74">
        <w:fldChar w:fldCharType="begin"/>
      </w:r>
      <w:r w:rsidR="001C2A55">
        <w:instrText xml:space="preserve"> ADDIN ZOTERO_ITEM CSL_CITATION {"citationID":"ThsqEH1c","properties":{"formattedCitation":"(Beaman et al., 1988; Salvage et al., 2014; Tetz &amp; Tetz, 2017; Thomas, 2012)","plainCitation":"(Beaman et al., 1988; Salvage et al., 2014; Tetz &amp; Tetz, 2017; Thomas, 2012)","noteIndex":0},"citationItems":[{"id":439,"uris":["http://zotero.org/users/8873894/items/A7BB2QFQ"],"itemData":{"id":439,"type":"article-journal","container-title":"APPL. ENVIRON. MICROBIOL.","language":"en","page":"6","source":"Zotero","title":"Heat shock affects permeability and resistance of Bacillus stearothermophilus spores","volume":"54","author":[{"family":"Beaman","given":"T C"},{"family":"Pankratz","given":"H S"},{"family":"Gerhardt","given":"P"}],"issued":{"date-parts":[["1988"]]}}},{"id":449,"uris":["http://zotero.org/users/8873894/items/L9CNRTAI"],"itemData":{"id":449,"type":"article-journal","abstract":"Alcohol-based disinfectants are used for the removal of microbial hard surface bioburden in Life science Cleanrooms. Evidence for using formulations containing 70% alcohol has been lost over time but probably originates from historical observations of the activity of 60-70% alcohol. Tradition is no longer adequate to inform contemporary cleaning practice. We evaluated the efficacy of ethanol, isopropanol and trade-specific denatured alcohol 7 against vegetative Pseudomonas aeruginosa, Staphylococcus aureus, Escherichia coli and Enterococcus hirae using standardized European Suspension and Hard Surface tests. All three alcohols were effective at lower concentrations than the 70% standard. This constitutes the first evaluation of disinfectant formulations containing ≤70% alcohol using standard methodology. The utility of trade-specific denatured alcohol #7 and evidence-based cleanroom practice warrant further validation.","container-title":"Future Microbiology","DOI":"10.2217/fmb.14.73","ISSN":"1746-0921","issue":"10","journalAbbreviation":"Future Microbiol","language":"eng","page":"1123-1130","PMID":"25405882","source":"PubMed","title":"Use of 70% alcohol for the routine removal of microbial hard surface bioburden in life science cleanrooms","volume":"9","author":[{"family":"Salvage","given":"Richard"},{"family":"Hull","given":"Claire M."},{"family":"Kelly","given":"Diane E."},{"family":"Kelly","given":"Steven L."}],"issued":{"date-parts":[["2014"]]}}},{"id":1149,"uris":["http://zotero.org/users/8873894/items/G5RWXQYI"],"itemData":{"id":1149,"type":"article-journal","abstract":"Unrelated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sporobiome","volume":"9","author":[{"family":"Tetz","given":"George"},{"family":"Tetz","given":"Victor"}],"issued":{"date-parts":[["2017",6,30]]}}},{"id":427,"uris":["http://zotero.org/users/8873894/items/Z87WC5DW"],"itemData":{"id":427,"type":"article-journal","abstract":"This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4241D9" w:rsidRPr="00D93D74">
        <w:rPr>
          <w:rFonts w:cs="Times New Roman"/>
        </w:rPr>
        <w:t>(Beaman et al., 1988; Salvage et al., 2014; Tetz &amp; Tetz, 2017; Thomas, 2012)</w:t>
      </w:r>
      <w:r w:rsidR="00EC2C50" w:rsidRPr="00D93D74">
        <w:fldChar w:fldCharType="end"/>
      </w:r>
      <w:r w:rsidR="004241D9" w:rsidRPr="00D93D74">
        <w:t xml:space="preserve">. </w:t>
      </w:r>
    </w:p>
    <w:p w14:paraId="03F41AC3" w14:textId="7F428A97" w:rsidR="00D41590" w:rsidRPr="00D93D74" w:rsidRDefault="004241D9" w:rsidP="00DA42F5">
      <w:r w:rsidRPr="00D93D74">
        <w:t>Spores’</w:t>
      </w:r>
      <w:r w:rsidR="00DA42F5" w:rsidRPr="00D93D74">
        <w:t xml:space="preserve"> resistance to ethanol is enabled </w:t>
      </w:r>
      <w:r w:rsidR="0085734D" w:rsidRPr="00D93D74">
        <w:t>by</w:t>
      </w:r>
      <w:r w:rsidR="00DA42F5" w:rsidRPr="00D93D74">
        <w:t xml:space="preserve"> detoxification t</w:t>
      </w:r>
      <w:r w:rsidR="0085734D" w:rsidRPr="00D93D74">
        <w:t>h</w:t>
      </w:r>
      <w:r w:rsidR="00DA42F5" w:rsidRPr="00D93D74">
        <w:t xml:space="preserve">rough </w:t>
      </w:r>
      <w:r w:rsidR="0085734D" w:rsidRPr="00D93D74">
        <w:t xml:space="preserve">the </w:t>
      </w:r>
      <w:r w:rsidR="00DA42F5" w:rsidRPr="00D93D74">
        <w:t xml:space="preserve">external layers of </w:t>
      </w:r>
      <w:r w:rsidR="0085734D" w:rsidRPr="00D93D74">
        <w:t xml:space="preserve">the </w:t>
      </w:r>
      <w:r w:rsidR="00DA42F5" w:rsidRPr="00D93D74">
        <w:t>spore coat</w:t>
      </w:r>
      <w:r w:rsidRPr="00D93D74">
        <w:t>,</w:t>
      </w:r>
      <w:r w:rsidR="00D41590" w:rsidRPr="00D93D74">
        <w:t xml:space="preserve"> </w:t>
      </w:r>
      <w:r w:rsidR="00DA42F5" w:rsidRPr="00D93D74">
        <w:t xml:space="preserve">reduced permeability and mobility of </w:t>
      </w:r>
      <w:r w:rsidR="0085734D" w:rsidRPr="00D93D74">
        <w:t xml:space="preserve">the </w:t>
      </w:r>
      <w:r w:rsidR="00DA42F5" w:rsidRPr="00D93D74">
        <w:t>inner membrane</w:t>
      </w:r>
      <w:r w:rsidRPr="00D93D74">
        <w:t>,</w:t>
      </w:r>
      <w:r w:rsidR="00DA42F5" w:rsidRPr="00D93D74">
        <w:t xml:space="preserve"> and protection of </w:t>
      </w:r>
      <w:r w:rsidR="0085734D" w:rsidRPr="00D93D74">
        <w:t xml:space="preserve">the </w:t>
      </w:r>
      <w:r w:rsidR="00DA42F5" w:rsidRPr="00D93D74">
        <w:t>core content through restriction of the macromolecule mobility in the coat</w:t>
      </w:r>
      <w:r w:rsidR="00D41590" w:rsidRPr="00D93D74">
        <w:t xml:space="preserve"> </w:t>
      </w:r>
      <w:r w:rsidRPr="00D93D74">
        <w:fldChar w:fldCharType="begin"/>
      </w:r>
      <w:r w:rsidR="001C2A55">
        <w:instrText xml:space="preserve"> ADDIN ZOTERO_ITEM CSL_CITATION {"citationID":"aRzkPKiJ","properties":{"formattedCitation":"(Beaman et al., 1988; Henriques &amp; Moran, 2007)","plainCitation":"(Beaman et al., 1988; Henriques &amp; Moran, 2007)","noteIndex":0},"citationItems":[{"id":439,"uris":["http://zotero.org/users/8873894/items/A7BB2QFQ"],"itemData":{"id":439,"type":"article-journal","container-title":"APPL. ENVIRON. MICROBIOL.","language":"en","page":"6","source":"Zotero","title":"Heat shock affects permeability and resistance of Bacillus stearothermophilus spores","volume":"54","author":[{"family":"Beaman","given":"T C"},{"family":"Pankratz","given":"H S"},{"family":"Gerhardt","given":"P"}],"issued":{"date-parts":[["1988"]]}}},{"id":403,"uris":["http://zotero.org/users/8873894/items/HY6IEALX"],"itemData":{"id":403,"type":"article-journal","abstract":"Endospores formed by Bacillus, Clostridia, and related genera are encased in a protein shell called the coat. In many species, including B. subtilis, the coat is the outermost spore structure, and in other species, such as the pathogenic organisms B. anthracis and B. cereus, the spore is encased in an additional layer called the exosporium. Both the coat and the exosporium have roles in protection of the spore and in its environmental interactions. Assembly of both structures is a function of the mother cell, one of two cellular compartments of the developing sporangium. Studies in B. subtilis have revealed that the timing of coat protein production, the guiding role of a small group of morphogenetic proteins, and several types of posttranslational modifications are essential for the fidelity of the assembly process. Assembly of the exosporium requires a set of novel proteins as well as homologues of proteins found in the outermost layers of the coat and of some of the coat morphogenetic factors, suggesting that the exosporium is a more specialized structure of a multifunctional coat. These and other insights into the molecular details of spore surface morphogenesis provide avenues for exploitation of the spore surface layers in applications for biotechnology and medicine.","container-title":"Annual Review of Microbiology","DOI":"10.1146/annurev.micro.61.080706.093224","issue":"1","note":"_eprint: https://doi.org/10.1146/annurev.micro.61.080706.093224","page":"555-588","PMID":"18035610","source":"Annual Reviews","title":"Structure, Assembly, and Function of the Spore Surface Layers","volume":"61","author":[{"family":"Henriques","given":"Adriano O."},{"family":"Moran","given":"Charles P.","suffix":"Jr."}],"issued":{"date-parts":[["2007"]]}}}],"schema":"https://github.com/citation-style-language/schema/raw/master/csl-citation.json"} </w:instrText>
      </w:r>
      <w:r w:rsidRPr="00D93D74">
        <w:fldChar w:fldCharType="separate"/>
      </w:r>
      <w:r w:rsidRPr="00D93D74">
        <w:rPr>
          <w:rFonts w:cs="Times New Roman"/>
        </w:rPr>
        <w:t>(Beaman et al., 1988; Henriques &amp; Moran, 2007)</w:t>
      </w:r>
      <w:r w:rsidRPr="00D93D74">
        <w:fldChar w:fldCharType="end"/>
      </w:r>
      <w:r w:rsidRPr="00D93D74">
        <w:t xml:space="preserve">. </w:t>
      </w:r>
      <w:r w:rsidR="0085734D" w:rsidRPr="00D93D74">
        <w:t>The o</w:t>
      </w:r>
      <w:r w:rsidR="00DA42F5" w:rsidRPr="00D93D74">
        <w:t>uter spore coat layer is composed of more than 70 different proteins</w:t>
      </w:r>
      <w:r w:rsidR="0085734D" w:rsidRPr="00D93D74">
        <w:t>,</w:t>
      </w:r>
      <w:r w:rsidR="00DA42F5" w:rsidRPr="00D93D74">
        <w:t xml:space="preserve"> which are impermeable to alcohol that would </w:t>
      </w:r>
      <w:r w:rsidR="00D41590" w:rsidRPr="00D93D74">
        <w:t xml:space="preserve">otherwise </w:t>
      </w:r>
      <w:r w:rsidR="00DA42F5" w:rsidRPr="00D93D74">
        <w:t>denatu</w:t>
      </w:r>
      <w:r w:rsidR="0085734D" w:rsidRPr="00D93D74">
        <w:t>re</w:t>
      </w:r>
      <w:r w:rsidR="00DA42F5" w:rsidRPr="00D93D74">
        <w:t xml:space="preserve"> proteins </w:t>
      </w:r>
      <w:r w:rsidR="0085734D" w:rsidRPr="00D93D74">
        <w:t xml:space="preserve">and </w:t>
      </w:r>
      <w:r w:rsidRPr="00D93D74">
        <w:t>lead to cell lysis</w:t>
      </w:r>
      <w:r w:rsidR="00DA42F5" w:rsidRPr="00D93D74">
        <w:t xml:space="preserve"> by disrupti</w:t>
      </w:r>
      <w:r w:rsidR="0085734D" w:rsidRPr="00D93D74">
        <w:t>ng</w:t>
      </w:r>
      <w:r w:rsidR="00DA42F5" w:rsidRPr="00D93D74">
        <w:t xml:space="preserve"> membranes</w:t>
      </w:r>
      <w:r w:rsidRPr="00D93D74">
        <w:t xml:space="preserve"> </w:t>
      </w:r>
      <w:r w:rsidRPr="00D93D74">
        <w:fldChar w:fldCharType="begin"/>
      </w:r>
      <w:r w:rsidR="001C2A55">
        <w:instrText xml:space="preserve"> ADDIN ZOTERO_ITEM CSL_CITATION {"citationID":"5PthwaYa","properties":{"formattedCitation":"(Driks &amp; Eichenberger, 2016)","plainCitation":"(Driks &amp; Eichenberger, 2016)","noteIndex":0},"citationItems":[{"id":409,"uris":["http://zotero.org/users/8873894/items/9Y4FHJJW"],"itemData":{"id":409,"type":"article-journal","container-title":"Microbiology Spectrum","DOI":"10.1128/microbiolspec.TBS-0023-2016","issue":"2","page":"4.2.03","publisher":"American Society for Microbiology","source":"journals.asm.org (Atypon)","title":"The Spore Coat","volume":"4","author":[{"family":"Driks","given":"Adam"},{"family":"Eichenberger","given":"Patrick"}],"issued":{"date-parts":[["2016",3,11]]}}}],"schema":"https://github.com/citation-style-language/schema/raw/master/csl-citation.json"} </w:instrText>
      </w:r>
      <w:r w:rsidRPr="00D93D74">
        <w:fldChar w:fldCharType="separate"/>
      </w:r>
      <w:r w:rsidRPr="00D93D74">
        <w:rPr>
          <w:rFonts w:cs="Times New Roman"/>
        </w:rPr>
        <w:t>(Driks &amp; Eichenberger, 2016)</w:t>
      </w:r>
      <w:r w:rsidRPr="00D93D74">
        <w:fldChar w:fldCharType="end"/>
      </w:r>
      <w:r w:rsidRPr="00D93D74">
        <w:t>.</w:t>
      </w:r>
      <w:r w:rsidR="00DA42F5" w:rsidRPr="00D93D74">
        <w:t xml:space="preserve"> </w:t>
      </w:r>
    </w:p>
    <w:p w14:paraId="791E0F1A" w14:textId="2F3E058F" w:rsidR="00DA42F5" w:rsidRPr="00D93D74" w:rsidRDefault="004241D9" w:rsidP="00DA42F5">
      <w:r w:rsidRPr="00D93D74">
        <w:t>Spores’</w:t>
      </w:r>
      <w:r w:rsidR="00DA42F5" w:rsidRPr="00D93D74">
        <w:t xml:space="preserve"> </w:t>
      </w:r>
      <w:r w:rsidR="00D41590" w:rsidRPr="00D93D74">
        <w:t>resistance</w:t>
      </w:r>
      <w:r w:rsidR="00DA42F5" w:rsidRPr="00D93D74">
        <w:t xml:space="preserve"> to </w:t>
      </w:r>
      <w:r w:rsidRPr="00D93D74">
        <w:t xml:space="preserve">wet </w:t>
      </w:r>
      <w:r w:rsidR="00DA42F5" w:rsidRPr="00D93D74">
        <w:t xml:space="preserve">heat shock </w:t>
      </w:r>
      <w:r w:rsidR="00D41590" w:rsidRPr="00D93D74">
        <w:t>is enabled by</w:t>
      </w:r>
      <w:r w:rsidR="00DA42F5" w:rsidRPr="00D93D74">
        <w:t xml:space="preserve"> low core water content</w:t>
      </w:r>
      <w:r w:rsidR="0085734D" w:rsidRPr="00D93D74">
        <w:t>, a</w:t>
      </w:r>
      <w:r w:rsidR="00DA42F5" w:rsidRPr="00D93D74">
        <w:t xml:space="preserve"> high concentration of dipicolinic acid, Ca</w:t>
      </w:r>
      <w:r w:rsidR="00DA42F5" w:rsidRPr="00D93D74">
        <w:rPr>
          <w:vertAlign w:val="superscript"/>
        </w:rPr>
        <w:t>2+</w:t>
      </w:r>
      <w:r w:rsidR="00DA42F5" w:rsidRPr="00D93D74">
        <w:t xml:space="preserve"> ions and α/β-type small acid-soluble spore proteins (SASP)</w:t>
      </w:r>
      <w:r w:rsidR="0085734D" w:rsidRPr="00D93D74">
        <w:t>,</w:t>
      </w:r>
      <w:r w:rsidR="00DA42F5" w:rsidRPr="00D93D74">
        <w:t xml:space="preserve"> which protect DNA from damage</w:t>
      </w:r>
      <w:r w:rsidRPr="00D93D74">
        <w:t xml:space="preserve"> and enable its repair</w:t>
      </w:r>
      <w:r w:rsidR="00DA42F5" w:rsidRPr="00D93D74">
        <w:t xml:space="preserve"> </w:t>
      </w:r>
      <w:r w:rsidRPr="00D93D74">
        <w:fldChar w:fldCharType="begin"/>
      </w:r>
      <w:r w:rsidR="001C2A55">
        <w:instrText xml:space="preserve"> ADDIN ZOTERO_ITEM CSL_CITATION {"citationID":"2iTxBdTm","properties":{"formattedCitation":"(Jamroskovic et al., 2016; Setlow, 2006)","plainCitation":"(Jamroskovic et al., 2016; Setlow, 2006)","noteIndex":0},"citationItems":[{"id":444,"uris":["http://zotero.org/users/8873894/items/7HRGLGG2"],"itemData":{"id":444,"type":"article-journal","abstract":"Spores of a number of clostridial species, and their resistance to thermal treatment is a major concern for the food industry. Spore resistance to wet heat is related to the level of spore hydration, which is inversely correlated with the content of calcium and dipicolinic acid (DPA) in the spore core. It is widely believed that the accumulation of DPA and calcium in the spore core is a fundamental component of the sporulation process for all endospore forming species. We have noticed heterogeneity in the heat resistance capacity and overall DPA/calcium content among the spores of several species belonging to Clostridium sensu stricto group: two C. acetobutylicum strains (DSM 792 and 1731), two C. beijerinckii strains (DSM 791 and NCIMB 8052), and a C. collagenovorans strain (DSM 3089). A C. beijerinckii strain (DSM 791) and a C. acetobutylicum strain (DSM 792) display low Ca and DPA levels. In addition, these two species, with the lowest average Ca/DPA content amongst the strains considered, also exhibit minimal heat resistance. There appears to be no correlation between the Ca/DPA content and the phylogenetic distribution of the C. acetobutylicum and C. beijerinckii species based either on the 16S rRNA or the spoVA gene. This finding suggests that a subset of Clostridium sensu stricto species produce spores with low resistance to wet heat. Additionally, analysis of individual spores using STEM-EDS and STXM revealed that DPA and calcium levels can also vary amongst individual spores in a single spore population.","container-title":"Frontiers in Microbiology","ISSN":"1664-302X","source":"Frontiers","title":"Variability in DPA and Calcium Content in the Spores of Clostridium Species","URL":"https://www.frontiersin.org/article/10.3389/fmicb.2016.01791","volume":"7","author":[{"family":"Jamroskovic","given":"Jan"},{"family":"Chromikova","given":"Zuzana"},{"family":"List","given":"Cornelia"},{"family":"Bartova","given":"Barbora"},{"family":"Barak","given":"Imrich"},{"family":"Bernier-Latmani","given":"Rizlan"}],"accessed":{"date-parts":[["2022",4,14]]},"issued":{"date-parts":[["2016"]]}}},{"id":441,"uris":["http://zotero.org/users/8873894/items/QTUJMWGC"],"itemData":{"id":441,"type":"article-journal","abstract":"A number of mechanisms are responsible for the resistance of spores of Bacillus species to heat, radiation and chemicals and for spore killing by these agents. Spore resistance to wet heat is determined largely by the water content of spore core, which is much lower than that in the growing cell protoplast. A lower core water content generally gives more wet heat-resistant spores. The level and type of spore core mineral ions and the intrinsic stability of total spore proteins also play a role in spore wet heat resistance, and the saturation of spore DNA with α/β-type small, acid-soluble spore proteins (SASP) protects DNA against wet heat damage. However, how wet heat kills spores is not clear, although it is not through DNA damage. The α/β-type SASP are also important in spore resistance to dry heat, as is DNA repair in spore outgrowth, as Bacillus subtilis spores are killed by dry heat via DNA damage. Both UV and γ-radiation also kill spores via DNA damage. The mechanism of spore resistance to γ-radiation is not well understood, although the α/β-type SASP are not involved. In contrast, spore UV resistance is due largely to an alteration in spore DNA photochemistry caused by the binding of α/β-type SASP to the DNA, and to a lesser extent to the photosensitizing action of the spore core's large pool of dipicolinic acid. UV irradiation of spores at 254 nm does not generate the cyclobutane dimers (CPDs) and (6-4)-photoproducts (64PPs) formed between adjacent pyrimidines in growing cells, but rather a thymidyl-thymidine adduct termed spore photoproduct (SP). While SP is formed in spores with approximately the same quantum efficiency as that for generation of CPDs and 64PPs in growing cells, SP is repaired rapidly and efficiently in spore outgrowth by a number of repair systems, at least one of which is specific for SP. Some chemicals (e.g. nitrous acid, formaldehyde) again kill spores by DNA damage, while others, in particular oxidizing agents, appear to damage the spore's inner membrane so that this membrane ruptures upon spore germination and outgrowth. There are also other agents such as glutaraldehyde for which the mechanism of spore killing is unclear. Factors important in spore chemical resistance vary with the chemical, but include: (i) the spore coat proteins that likely react with and detoxify chemical agents; (ii) the relative impermeability of the spore's inner membrane that restricts access of exogenous chemicals to the spore core; (iii) the protection of spore DNA by its saturation with α/β-type SASP; and (iv) DNA repair for agents that kill spores via DNA damage. Given the importance of the killing of spores of Bacillus species in the food and medical products industry, a deeper understanding of the mechanisms of spore resistance and killing may lead to improved methods for spore destruction.","container-title":"Journal of Applied Microbiology","DOI":"10.1111/j.1365-2672.2005.02736.x","ISSN":"1365-2672","issue":"3","language":"en","note":"_eprint: https://onlinelibrary.wiley.com/doi/pdf/10.1111/j.1365-2672.2005.02736.x","page":"514-525","source":"Wiley Online Library","title":"Spores of Bacillus subtilis: their resistance to and killing by radiation, heat and chemicals","title-short":"Spores of Bacillus subtilis","volume":"101","author":[{"family":"Setlow","given":"P."}],"issued":{"date-parts":[["2006"]]}}}],"schema":"https://github.com/citation-style-language/schema/raw/master/csl-citation.json"} </w:instrText>
      </w:r>
      <w:r w:rsidRPr="00D93D74">
        <w:fldChar w:fldCharType="separate"/>
      </w:r>
      <w:r w:rsidRPr="00D93D74">
        <w:rPr>
          <w:rFonts w:cs="Times New Roman"/>
        </w:rPr>
        <w:t>(Jamroskovic et al., 2016; Setlow, 2006)</w:t>
      </w:r>
      <w:r w:rsidRPr="00D93D74">
        <w:fldChar w:fldCharType="end"/>
      </w:r>
      <w:r w:rsidRPr="00D93D74">
        <w:t>.</w:t>
      </w:r>
      <w:r w:rsidR="00DA42F5" w:rsidRPr="00D93D74">
        <w:t xml:space="preserve"> SASPs and </w:t>
      </w:r>
      <w:r w:rsidRPr="00D93D74">
        <w:t>dipicolinic acids</w:t>
      </w:r>
      <w:r w:rsidR="00DA42F5" w:rsidRPr="00D93D74">
        <w:t xml:space="preserve"> </w:t>
      </w:r>
      <w:r w:rsidR="00C41917" w:rsidRPr="00D93D74">
        <w:t>constitute</w:t>
      </w:r>
      <w:r w:rsidR="00DA42F5" w:rsidRPr="00D93D74">
        <w:t xml:space="preserve"> up to 20% of </w:t>
      </w:r>
      <w:r w:rsidR="00C41917" w:rsidRPr="00D93D74">
        <w:t xml:space="preserve">the </w:t>
      </w:r>
      <w:r w:rsidR="00DA42F5" w:rsidRPr="00D93D74">
        <w:t>spore core dry weight</w:t>
      </w:r>
      <w:r w:rsidRPr="00D93D74">
        <w:t xml:space="preserve"> </w:t>
      </w:r>
      <w:r w:rsidRPr="00D93D74">
        <w:fldChar w:fldCharType="begin"/>
      </w:r>
      <w:r w:rsidR="001C2A55">
        <w:instrText xml:space="preserve"> ADDIN ZOTERO_ITEM CSL_CITATION {"citationID":"dhOfdmAG","properties":{"formattedCitation":"(Sunde et al., 2009)","plainCitation":"(Sunde et al., 2009)","noteIndex":0},"citationItems":[{"id":404,"uris":["http://zotero.org/users/8873894/items/KYL2SN4X"],"itemData":{"id":404,"type":"article-journal","container-title":"Proceedings of the National Academy of Sciences","DOI":"10.1073/pnas.0908712106","issue":"46","page":"19334-19339","publisher":"Proceedings of the National Academy of Sciences","source":"pnas.org (Atypon)","title":"The physical state of water in bacterial spores","volume":"106","author":[{"family":"Sunde","given":"Erik P."},{"family":"Setlow","given":"Peter"},{"family":"Hederstedt","given":"Lars"},{"family":"Halle","given":"Bertil"}],"issued":{"date-parts":[["2009",11,17]]}}}],"schema":"https://github.com/citation-style-language/schema/raw/master/csl-citation.json"} </w:instrText>
      </w:r>
      <w:r w:rsidRPr="00D93D74">
        <w:fldChar w:fldCharType="separate"/>
      </w:r>
      <w:r w:rsidRPr="00D93D74">
        <w:rPr>
          <w:rFonts w:cs="Times New Roman"/>
        </w:rPr>
        <w:t>(Sunde et al., 2009)</w:t>
      </w:r>
      <w:r w:rsidRPr="00D93D74">
        <w:fldChar w:fldCharType="end"/>
      </w:r>
      <w:r w:rsidRPr="00D93D74">
        <w:t xml:space="preserve">. </w:t>
      </w:r>
      <w:r w:rsidR="00DA42F5" w:rsidRPr="00D93D74">
        <w:t>It has been observed that heat resistance develops late in the sporulation process, after calcium is incorporated and the cortex is formed</w:t>
      </w:r>
      <w:r w:rsidR="00C41917" w:rsidRPr="00D93D74">
        <w:t>,</w:t>
      </w:r>
      <w:r w:rsidR="00DA42F5" w:rsidRPr="00D93D74">
        <w:t xml:space="preserve"> or after </w:t>
      </w:r>
      <w:r w:rsidR="00C41917" w:rsidRPr="00D93D74">
        <w:t>dipicolinic acid</w:t>
      </w:r>
      <w:r w:rsidR="00DA42F5" w:rsidRPr="00D93D74">
        <w:t xml:space="preserve"> is synthesized </w:t>
      </w:r>
      <w:r w:rsidRPr="00D93D74">
        <w:fldChar w:fldCharType="begin"/>
      </w:r>
      <w:r w:rsidR="001C2A55">
        <w:instrText xml:space="preserve"> ADDIN ZOTERO_ITEM CSL_CITATION {"citationID":"regs0TD9","properties":{"formattedCitation":"(Bonsen et al., 1969)","plainCitation":"(Bonsen et al., 1969)","noteIndex":0},"citationItems":[{"id":410,"uris":["http://zotero.org/users/8873894/items/4R5F8KPH"],"itemData":{"id":410,"type":"article-journal","abstract":"A sulfonic acid found to be a major constituent of spores of Bacillus subtilis was provisionally identified as 3-l-sulfolactic acid. This compound was completely absent from vegetative cells during growth, but large amounts accumulated in sporulating cells just before the development of refractile spores. Essentially all of the accumulated sulfolactic acid was eventually incorporated into the nature spore, where it may represent more than 5% of the dry weight of the spore. Germination resulted in the rapid and complete release into the medium of unaltered sulfolactic acid. This compound was not found in spores of Bacillus megaterium, B. cereus, or B. thuringiensis.","container-title":"Journal of Bacteriology","ISSN":"0021-9193","issue":"1","journalAbbreviation":"J Bacteriol","page":"62-68","PMID":"4977690","PMCID":"PMC249904","source":"PubMed Central","title":"Biochemical Studies of Bacterial Sporulation and Germination XII. A Sulfonic Acid as a Major Sulfur Compound of Bacillus subtilis Spores","volume":"98","author":[{"family":"Bonsen","given":"Pieter P. M."},{"family":"Spudich","given":"James A."},{"family":"Nelson","given":"David L."},{"family":"Kornberg","given":"Arthur"}],"issued":{"date-parts":[["1969",4]]}}}],"schema":"https://github.com/citation-style-language/schema/raw/master/csl-citation.json"} </w:instrText>
      </w:r>
      <w:r w:rsidRPr="00D93D74">
        <w:fldChar w:fldCharType="separate"/>
      </w:r>
      <w:r w:rsidRPr="00D93D74">
        <w:rPr>
          <w:rFonts w:cs="Times New Roman"/>
        </w:rPr>
        <w:t>(Bonsen et al., 1969)</w:t>
      </w:r>
      <w:r w:rsidRPr="00D93D74">
        <w:fldChar w:fldCharType="end"/>
      </w:r>
      <w:r w:rsidR="00DA42F5" w:rsidRPr="00D93D74">
        <w:t>.</w:t>
      </w:r>
    </w:p>
    <w:p w14:paraId="493A0E6F" w14:textId="7E85E233" w:rsidR="00D41590" w:rsidRPr="00D93D74" w:rsidRDefault="00DA42F5" w:rsidP="00DA42F5">
      <w:r w:rsidRPr="00D93D74">
        <w:t xml:space="preserve">Exposure to high temperatures or to ethanol are two main procedures used for selective enrichment of spores in both cultivation-dependant and </w:t>
      </w:r>
      <w:r w:rsidR="00D41590" w:rsidRPr="00D93D74">
        <w:t>-</w:t>
      </w:r>
      <w:r w:rsidRPr="00D93D74">
        <w:t xml:space="preserve">independent </w:t>
      </w:r>
      <w:r w:rsidR="00D41590" w:rsidRPr="00D93D74">
        <w:t>analytical approaches</w:t>
      </w:r>
      <w:r w:rsidRPr="00D93D74">
        <w:t xml:space="preserve">. This can either be heat shock at 80 °C or 60 °C for 60 min and ethanol shock with 70% (v/v) ethanol for at least 4 h at room temperature to kill vegetative cells, while leaving spores intact </w:t>
      </w:r>
      <w:r w:rsidRPr="00D93D74">
        <w:fldChar w:fldCharType="begin"/>
      </w:r>
      <w:r w:rsidR="001C2A55">
        <w:instrText xml:space="preserve"> ADDIN ZOTERO_ITEM CSL_CITATION {"citationID":"NXJBvk5M","properties":{"formattedCitation":"(Browne et al., 2016b; Fakhry et al., 2008; Setlow et al., 2017)","plainCitation":"(Browne et al., 2016b; Fakhry et al., 2008; Setlow et al., 2017)","noteIndex":0},"citationItems":[{"id":29,"uris":["http://zotero.org/users/8873894/items/YDIPWJ3L"],"itemData":{"id":29,"type":"article-journal","abstract":"A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D."}],"issued":{"date-parts":[["2016"]]}}},{"id":3431,"uris":["http://zotero.org/users/8873894/items/TIX5FA5X"],"itemData":{"id":3431,"type":"article-journal","abstract":"AIMS: To isolate and characterize spore-former bacteria able to colonize the human gastrointestinal tract (GIT).\nMETHODS AND RESULTS: A total of 25 spore-formers was isolated from faeces and ileal biopsies of healthy human volunteers and identified at the species level. Physiological analysis was performed to evaluate the ability of the various isolates to form biofilms, to swarm, to produce surfactants and molecules that have antimicrobial activity against selected pathogens. To assess the potential probiotic activity of the isolates, we tested the resistance of cells and spores to simulated gastric conditions, the ability to grow and sporulate in anaerobic conditions and the presence of toxin-encoding genes in their genome.\nCONCLUSIONS: Spore-formers belonging to various bacterial species have been isolated from the gut of healthy human volunteers. These strains appear to be well adapted to the intestinal environment and we propose them as potential probiotic strains for human use and as oral vaccine vehicles.\nSIGNIFICANCE AND IMPACT OF THE STUDY: To our knowledge this is the first detailed characterization of spore-forming Bacilli from the human GIT. Our data suggest that the isolated species do not transit, but rather colonize this specific habitat and propose them as probiotic strains for human use.","container-title":"Journal of Applied Microbiology","DOI":"10.1111/j.1365-2672.2008.03934.x","ISSN":"1365-2672","issue":"6","journalAbbreviation":"J Appl Microbiol","language":"eng","page":"2178-2186","PMID":"19120663","source":"PubMed","title":"Characterization of spore forming Bacilli isolated from the human gastrointestinal tract","volume":"105","author":[{"family":"Fakhry","given":"S."},{"family":"Sorrentini","given":"I."},{"family":"Ricca","given":"E."},{"family":"De Felice","given":"M."},{"family":"Baccigalupi","given":"L."}],"issued":{"date-parts":[["2008",12]]}}},{"id":3430,"uris":["http://zotero.org/users/8873894/items/TARIRLF9"],"itemData":{"id":3430,"type":"article-journal","abstract":"Dormant Bacillales and Clostridiales spores begin to grow when small molecules (germinants) trigger germination, potentially leading to food spoilage or disease. Germination-specific proteins sense germinants, transport small molecules, and hydrolyze specific bonds in cortex peptidoglycan and specific proteins. Major events in germination include (a) germinant sensing; (b) commitment to germinate; (c) release of spores' depot of dipicolinic acid (DPA); (d) hydrolysis of spores' peptidoglycan cortex; and (e) spore core swelling and water uptake, cell wall peptidoglycan remodeling, and restoration of core protein and inner spore membrane lipid mobility. Germination is similar between Bacillales and Clostridiales, but some species differ in how germinants are sensed and how cortex hydrolysis and DPA release are triggered. Despite detailed knowledge of the proteins and signal transduction pathways involved in germination, precisely what some germination proteins do and how they do it remain unclear.","container-title":"Annual Review of Microbiology","DOI":"10.1146/annurev-micro-090816-093558","ISSN":"1545-3251","journalAbbreviation":"Annu Rev Microbiol","language":"eng","page":"459-477","PMID":"28697670","source":"PubMed","title":"Germination of Spores of the Orders Bacillales and Clostridiales","volume":"71","author":[{"family":"Setlow","given":"Peter"},{"family":"Wang","given":"Shiwei"},{"family":"Li","given":"Yong-Qing"}],"issued":{"date-parts":[["2017",9,8]]}}}],"schema":"https://github.com/citation-style-language/schema/raw/master/csl-citation.json"} </w:instrText>
      </w:r>
      <w:r w:rsidRPr="00D93D74">
        <w:fldChar w:fldCharType="separate"/>
      </w:r>
      <w:r w:rsidRPr="00D93D74">
        <w:rPr>
          <w:rFonts w:cs="Times New Roman"/>
        </w:rPr>
        <w:t>(Browne et al., 2016b; Fakhry et al., 2008; Setlow et al., 2017)</w:t>
      </w:r>
      <w:r w:rsidRPr="00D93D74">
        <w:fldChar w:fldCharType="end"/>
      </w:r>
      <w:r w:rsidRPr="00D93D74">
        <w:t xml:space="preserve">. </w:t>
      </w:r>
      <w:r w:rsidR="00D41590" w:rsidRPr="00D93D74">
        <w:t>Shocks</w:t>
      </w:r>
      <w:r w:rsidRPr="00D93D74">
        <w:t xml:space="preserve"> are followed by either culturing</w:t>
      </w:r>
      <w:r w:rsidR="00D41590" w:rsidRPr="00D93D74">
        <w:t xml:space="preserve"> the bacteria</w:t>
      </w:r>
      <w:r w:rsidRPr="00D93D74">
        <w:t xml:space="preserve"> with added germinant, such as bile acids and amino acids, or DNA isolation and sequencing </w:t>
      </w:r>
      <w:r w:rsidRPr="00D93D74">
        <w:fldChar w:fldCharType="begin"/>
      </w:r>
      <w:r w:rsidR="001C2A55">
        <w:instrText xml:space="preserve"> ADDIN ZOTERO_ITEM CSL_CITATION {"citationID":"O4S7g659","properties":{"formattedCitation":"(Avershina et al., 2020; Browne et al., 2016b; Kearney et al., 2018; Koransky et al., 1978; Onizuka et al., 2021; Tanaka et al., 2020)","plainCitation":"(Avershina et al., 2020; Browne et al., 2016b; Kearney et al., 2018; Koransky et al., 1978; Onizuka et al., 2021; Tanaka et al., 2020)","noteIndex":0},"citationItems":[{"id":144,"uris":["http://zotero.org/users/8873894/items/UNE5VPVB"],"itemData":{"id":144,"type":"article-journal","abstract":"Abstract\n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J."}],"issued":{"date-parts":[["2018",10]]}}},{"id":134,"uris":["http://zotero.org/users/8873894/items/XJN9RDPU"],"itemData":{"id":134,"type":"article-journal","abstract":"When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R"}],"issued":{"date-parts":[["1978",4]]}}},{"id":113,"uris":["http://zotero.org/users/8873894/items/EGKNDGK6"],"itemData":{"id":113,"type":"article-journal","abstract":"Spores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41,"uris":["http://zotero.org/users/8873894/items/T9JX6STI"],"itemData":{"id":41,"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D93D74">
        <w:rPr>
          <w:rFonts w:cs="Times New Roman"/>
        </w:rPr>
        <w:t>(Avershina et al., 2020; Browne et al., 2016b; Kearney et al., 2018; Koransky et al., 1978; Onizuka et al., 2021; Tanaka et al., 2020)</w:t>
      </w:r>
      <w:r w:rsidRPr="00D93D74">
        <w:fldChar w:fldCharType="end"/>
      </w:r>
      <w:r w:rsidRPr="00D93D74">
        <w:t xml:space="preserve">. </w:t>
      </w:r>
    </w:p>
    <w:p w14:paraId="11363E20" w14:textId="7C0A5504" w:rsidR="00DA42F5" w:rsidRPr="00D93D74" w:rsidRDefault="00DA42F5" w:rsidP="00DA42F5">
      <w:r w:rsidRPr="00D93D74">
        <w:t xml:space="preserve">An advance in the </w:t>
      </w:r>
      <w:r w:rsidR="00D41590" w:rsidRPr="00D93D74">
        <w:t>cultivation</w:t>
      </w:r>
      <w:r w:rsidRPr="00D93D74">
        <w:t xml:space="preserve"> of ethanol</w:t>
      </w:r>
      <w:r w:rsidR="00D41590" w:rsidRPr="00D93D74">
        <w:t>-</w:t>
      </w:r>
      <w:r w:rsidRPr="00D93D74">
        <w:t xml:space="preserve">resistant spore-forming bacteria was achieved with addition of bile acids to boost germination in the culture process </w:t>
      </w:r>
      <w:r w:rsidRPr="00D93D74">
        <w:fldChar w:fldCharType="begin"/>
      </w:r>
      <w:r w:rsidR="001C2A55">
        <w:instrText xml:space="preserve"> ADDIN ZOTERO_ITEM CSL_CITATION {"citationID":"RjU3bDsr","properties":{"formattedCitation":"(Browne et al., 2016b; Onizuka et al., 2021; Tanaka et al., 2020)","plainCitation":"(Browne et al., 2016b; Onizuka et al., 2021; Tanaka et al., 2020)","noteIndex":0},"citationItems":[{"id":29,"uris":["http://zotero.org/users/8873894/items/YDIPWJ3L"],"itemData":{"id":29,"type":"article-journal","abstract":"A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D."}],"issued":{"date-parts":[["2016"]]}}},{"id":113,"uris":["http://zotero.org/users/8873894/items/EGKNDGK6"],"itemData":{"id":113,"type":"article-journal","abstract":"Spores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41,"uris":["http://zotero.org/users/8873894/items/T9JX6STI"],"itemData":{"id":41,"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w:instrText>
      </w:r>
      <w:r w:rsidR="001C2A55" w:rsidRPr="001C2A55">
        <w:rPr>
          <w:lang w:val="es-ES"/>
          <w:rPrChange w:id="221" w:author="Urša Miklavčič" w:date="2026-04-28T11:14:00Z" w16du:dateUtc="2026-04-28T09:14:00Z">
            <w:rPr/>
          </w:rPrChange>
        </w:rPr>
        <w:instrText xml:space="preserv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Pr="00236DBE">
        <w:rPr>
          <w:rFonts w:cs="Times New Roman"/>
          <w:lang w:val="es-ES"/>
        </w:rPr>
        <w:t>(Browne et al., 2016b; Onizuka et al., 2021; Tanaka et al., 2020)</w:t>
      </w:r>
      <w:r w:rsidRPr="00D93D74">
        <w:fldChar w:fldCharType="end"/>
      </w:r>
      <w:r w:rsidRPr="00236DBE">
        <w:rPr>
          <w:lang w:val="es-ES"/>
        </w:rPr>
        <w:t xml:space="preserve">. </w:t>
      </w:r>
      <w:r w:rsidRPr="00D93D74">
        <w:t xml:space="preserve">This procedure enabled isolation of new species from families which were previously been though as non-spore-forming such as </w:t>
      </w:r>
      <w:r w:rsidRPr="00D93D74">
        <w:rPr>
          <w:i/>
          <w:iCs/>
        </w:rPr>
        <w:t xml:space="preserve">Ruminococcus, Blautia, Coprococcus, Lachnospiraceae </w:t>
      </w:r>
      <w:r w:rsidRPr="00D93D74">
        <w:t xml:space="preserve">and </w:t>
      </w:r>
      <w:r w:rsidRPr="00D93D74">
        <w:rPr>
          <w:i/>
          <w:iCs/>
        </w:rPr>
        <w:t>Oscillospiraceae</w:t>
      </w:r>
      <w:r w:rsidRPr="00D93D74">
        <w:t>. These studies have vastly expanded our knowledge and shifted the view of spores from primarily soil-dwellers to prominent occupants of the human gut.</w:t>
      </w:r>
    </w:p>
    <w:p w14:paraId="7E62D292" w14:textId="0504C8F9" w:rsidR="00794F93" w:rsidRPr="00D93D74" w:rsidRDefault="00D41590" w:rsidP="00DA42F5">
      <w:r w:rsidRPr="00D93D74">
        <w:t>Culture</w:t>
      </w:r>
      <w:r w:rsidR="00DA42F5" w:rsidRPr="00D93D74">
        <w:t xml:space="preserve">-independent studies used either lysozyme treatment or ethanol shock to selectively remove vegetative cells and profile the whole spore-forming community. In a cohort of healthy adults, lysozyme resistant operational taxonomic units (OTUs) were more frequently shared between individuals than other non-spore-forming taxa </w:t>
      </w:r>
      <w:r w:rsidR="00DA42F5" w:rsidRPr="00D93D74">
        <w:fldChar w:fldCharType="begin"/>
      </w:r>
      <w:r w:rsidR="001C2A55">
        <w:instrText xml:space="preserve"> ADDIN ZOTERO_ITEM CSL_CITATION {"citationID":"6hk28bW0","properties":{"formattedCitation":"(Kearney et al., 2018)","plainCitation":"(Kearney et al., 2018)","noteIndex":0},"citationItems":[{"id":34,"uris":["http://zotero.org/users/8873894/items/3G69ZQ2W"],"itemData":{"id":34,"type":"article-journal","abstract":"Endospore-formers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00DA42F5" w:rsidRPr="00D93D74">
        <w:fldChar w:fldCharType="separate"/>
      </w:r>
      <w:r w:rsidR="00DA42F5" w:rsidRPr="00D93D74">
        <w:t>(Kearney et al., 2018)</w:t>
      </w:r>
      <w:r w:rsidR="00DA42F5" w:rsidRPr="00D93D74">
        <w:fldChar w:fldCharType="end"/>
      </w:r>
      <w:r w:rsidR="00DA42F5" w:rsidRPr="00D93D74">
        <w:t xml:space="preserve">. While a comparison of infant-mother pairs showed that the majority of OTUs determined as spore-forming are acquired from environment rather than mother-to-child transmission </w:t>
      </w:r>
      <w:r w:rsidR="00DA42F5" w:rsidRPr="00D93D74">
        <w:fldChar w:fldCharType="begin"/>
      </w:r>
      <w:r w:rsidR="001C2A55">
        <w:instrText xml:space="preserve"> ADDIN ZOTERO_ITEM CSL_CITATION {"citationID":"CX2aF87G","properties":{"formattedCitation":"(Avershina et al., 2020)","plainCitation":"(Avershina et al., 2020)","noteIndex":0},"citationItems":[{"id":144,"uris":["http://zotero.org/users/8873894/items/UNE5VPVB"],"itemData":{"id":144,"type":"article-journal","abstract":"Abstract\n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00DA42F5" w:rsidRPr="00D93D74">
        <w:fldChar w:fldCharType="separate"/>
      </w:r>
      <w:r w:rsidR="00DA42F5" w:rsidRPr="00D93D74">
        <w:t>(Avershina et al., 2020)</w:t>
      </w:r>
      <w:r w:rsidR="00DA42F5" w:rsidRPr="00D93D74">
        <w:fldChar w:fldCharType="end"/>
      </w:r>
      <w:r w:rsidR="00DA42F5" w:rsidRPr="00D93D74">
        <w:t xml:space="preserve">. </w:t>
      </w:r>
    </w:p>
    <w:p w14:paraId="06BEF504" w14:textId="41738737" w:rsidR="00794F93" w:rsidRPr="00D93D74" w:rsidRDefault="00DA42F5" w:rsidP="00DA42F5">
      <w:r w:rsidRPr="00D93D74">
        <w:t xml:space="preserve">Transmission ability of spore-forming bacteria was further confirmed by comparison of metagenomic-assembled genomes from multiple human gut studies, where species with </w:t>
      </w:r>
      <w:r w:rsidRPr="00D93D74">
        <w:lastRenderedPageBreak/>
        <w:t xml:space="preserve">sporulation genes showed greater prevalence across the population but decreased in relative abundance within an individual </w:t>
      </w:r>
      <w:r w:rsidRPr="00D93D74">
        <w:fldChar w:fldCharType="begin"/>
      </w:r>
      <w:r w:rsidR="001C2A55">
        <w:instrText xml:space="preserve"> ADDIN ZOTERO_ITEM CSL_CITATION {"citationID":"ae5A75Lz","properties":{"formattedCitation":"(Browne et al., 2021)","plainCitation":"(Browne et al., 2021)","noteIndex":0},"citationItems":[{"id":33,"uris":["http://zotero.org/users/8873894/items/N88GZHKF"],"itemData":{"id":33,"type":"article-journal","abstract":"Background: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Pr="00D93D74">
        <w:t>(Browne et al., 2021)</w:t>
      </w:r>
      <w:r w:rsidRPr="00D93D74">
        <w:fldChar w:fldCharType="end"/>
      </w:r>
      <w:r w:rsidRPr="00D93D74">
        <w:t xml:space="preserve">. </w:t>
      </w:r>
    </w:p>
    <w:p w14:paraId="68FA17D5" w14:textId="1D27B329" w:rsidR="00DA42F5" w:rsidRPr="00D93D74" w:rsidRDefault="00DA42F5" w:rsidP="00DA42F5">
      <w:r w:rsidRPr="00D93D74">
        <w:t xml:space="preserve">The only longitudinal study on sporobiota to date, shows evidence from a 24-day time series of 16S rRNA amplicon sequences from a single individual, which showed  stronger correlation between OTUs in the lysozyme resistant fraction compared to other gut taxa </w:t>
      </w:r>
      <w:r w:rsidRPr="00D93D74">
        <w:fldChar w:fldCharType="begin"/>
      </w:r>
      <w:r w:rsidR="001C2A55">
        <w:instrText xml:space="preserve"> ADDIN ZOTERO_ITEM CSL_CITATION {"citationID":"XiX6P6Q3","properties":{"formattedCitation":"(Kearney et al., 2018)","plainCitation":"(Kearney et al., 2018)","noteIndex":0},"citationItems":[{"id":34,"uris":["http://zotero.org/users/8873894/items/3G69ZQ2W"],"itemData":{"id":34,"type":"article-journal","abstract":"Endospore-formers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Pr="00D93D74">
        <w:t>(Kearney et al., 2018)</w:t>
      </w:r>
      <w:r w:rsidRPr="00D93D74">
        <w:fldChar w:fldCharType="end"/>
      </w:r>
      <w:r w:rsidRPr="00D93D74">
        <w:t xml:space="preserve">. These patterns support the “seed bank” hypothesis stating that spore-forming bacteria establish a persistent community of dormant cells in the human gut </w:t>
      </w:r>
      <w:r w:rsidRPr="00D93D74">
        <w:fldChar w:fldCharType="begin"/>
      </w:r>
      <w:r w:rsidR="001C2A55">
        <w:instrText xml:space="preserve"> ADDIN ZOTERO_ITEM CSL_CITATION {"citationID":"KT4TjCTH","properties":{"formattedCitation":"(Lennon &amp; Jones, 2011)","plainCitation":"(Lennon &amp; Jones, 2011)","noteIndex":0},"citationItems":[{"id":2823,"uris":["http://zotero.org/users/8873894/items/NNH74YH5"],"itemData":{"id":2823,"type":"article-journal","abstract":"Dormancy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Pr="00D93D74">
        <w:t>(Lennon &amp; Jones, 2011)</w:t>
      </w:r>
      <w:r w:rsidRPr="00D93D74">
        <w:fldChar w:fldCharType="end"/>
      </w:r>
      <w:r w:rsidRPr="00D93D74">
        <w:t xml:space="preserve">. </w:t>
      </w:r>
    </w:p>
    <w:p w14:paraId="5D7127C9" w14:textId="77777777" w:rsidR="00DA42F5" w:rsidRPr="00D93D74" w:rsidRDefault="00DA42F5" w:rsidP="00DA42F5"/>
    <w:p w14:paraId="591028F4" w14:textId="77777777" w:rsidR="00DA42F5" w:rsidRPr="00D93D74" w:rsidRDefault="00DA42F5">
      <w:pPr>
        <w:pStyle w:val="Naslov2"/>
        <w:numPr>
          <w:ilvl w:val="1"/>
          <w:numId w:val="3"/>
        </w:numPr>
      </w:pPr>
      <w:bookmarkStart w:id="222" w:name="_Toc219124859"/>
      <w:bookmarkStart w:id="223" w:name="_Toc220932829"/>
      <w:bookmarkStart w:id="224" w:name="_Toc228252014"/>
      <w:r w:rsidRPr="00D93D74">
        <w:t>CULTIVATION OF BACTERIA FROM THE HUMAN GUT</w:t>
      </w:r>
      <w:bookmarkEnd w:id="222"/>
      <w:bookmarkEnd w:id="223"/>
      <w:bookmarkEnd w:id="224"/>
      <w:r w:rsidRPr="00D93D74">
        <w:t xml:space="preserve"> </w:t>
      </w:r>
    </w:p>
    <w:p w14:paraId="0D53FDD8" w14:textId="68087700" w:rsidR="00794F93" w:rsidRPr="00D93D74" w:rsidRDefault="00DA42F5" w:rsidP="00DA42F5">
      <w:r w:rsidRPr="00D93D74">
        <w:t xml:space="preserve">Cultivating bacteria from the human gut microbiome is challenging, as many </w:t>
      </w:r>
      <w:r w:rsidR="008E4A99" w:rsidRPr="00D93D74">
        <w:t>have</w:t>
      </w:r>
      <w:r w:rsidRPr="00D93D74">
        <w:t xml:space="preserve"> stringent growth requirements, including extreme oxygen sensitivity, dependence on complex substrates (often produced by the host or other community members), narrow pH and redox </w:t>
      </w:r>
      <w:r w:rsidR="008E4A99" w:rsidRPr="00D93D74">
        <w:t>ranges</w:t>
      </w:r>
      <w:r w:rsidRPr="00D93D74">
        <w:t xml:space="preserve">, and unidentified cofactors or growth factors </w:t>
      </w:r>
      <w:r w:rsidRPr="00D93D74">
        <w:fldChar w:fldCharType="begin"/>
      </w:r>
      <w:r w:rsidR="001C2A55">
        <w:instrText xml:space="preserve"> ADDIN ZOTERO_ITEM CSL_CITATION {"citationID":"8GD7KM63","properties":{"formattedCitation":"(Tidjani Alou et al., 2020)","plainCitation":"(Tidjani Alou et al., 2020)","noteIndex":0},"citationItems":[{"id":3441,"uris":["http://zotero.org/users/8873894/items/7MT4WBB4"],"itemData":{"id":3441,"type":"article-journal","abstract":"SUMMARYThe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D93D74">
        <w:t>(Tidjani Alou et al., 2020)</w:t>
      </w:r>
      <w:r w:rsidRPr="00D93D74">
        <w:fldChar w:fldCharType="end"/>
      </w:r>
      <w:r w:rsidRPr="00D93D74">
        <w:t xml:space="preserve">. </w:t>
      </w:r>
      <w:r w:rsidR="008E4A99" w:rsidRPr="00D93D74">
        <w:t>T</w:t>
      </w:r>
      <w:r w:rsidRPr="00D93D74">
        <w:t xml:space="preserve">hese </w:t>
      </w:r>
      <w:r w:rsidR="008E4A99" w:rsidRPr="00D93D74">
        <w:t>challenges are compounded by the fact that</w:t>
      </w:r>
      <w:r w:rsidRPr="00D93D74">
        <w:t xml:space="preserve"> slow-growing specialists are </w:t>
      </w:r>
      <w:r w:rsidR="008E4A99" w:rsidRPr="00D93D74">
        <w:t>often</w:t>
      </w:r>
      <w:r w:rsidRPr="00D93D74">
        <w:t xml:space="preserve"> outcompeted by fast-growing generalists under standard laboratory conditions </w:t>
      </w:r>
      <w:r w:rsidR="008E4A99" w:rsidRPr="00D93D74">
        <w:fldChar w:fldCharType="begin"/>
      </w:r>
      <w:r w:rsidR="001C2A55">
        <w:instrText xml:space="preserve"> ADDIN ZOTERO_ITEM CSL_CITATION {"citationID":"KBDJESVl","properties":{"formattedCitation":"(Lagier et al., 2018)","plainCitation":"(Lagier et al., 2018)","noteIndex":0},"citationItems":[{"id":132,"uris":["http://zotero.org/users/8873894/items/ADFRVAB3"],"itemData":{"id":132,"type":"article-journal","abstract":"The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008E4A99" w:rsidRPr="00D93D74">
        <w:fldChar w:fldCharType="separate"/>
      </w:r>
      <w:r w:rsidR="008E4A99" w:rsidRPr="00D93D74">
        <w:rPr>
          <w:rFonts w:cs="Times New Roman"/>
        </w:rPr>
        <w:t>(Lagier et al., 2018)</w:t>
      </w:r>
      <w:r w:rsidR="008E4A99" w:rsidRPr="00D93D74">
        <w:fldChar w:fldCharType="end"/>
      </w:r>
      <w:r w:rsidRPr="00D93D74">
        <w:t xml:space="preserve">. </w:t>
      </w:r>
    </w:p>
    <w:p w14:paraId="3CDCD359" w14:textId="358B5AC4" w:rsidR="00794F93" w:rsidRPr="00D93D74" w:rsidRDefault="00DA42F5" w:rsidP="00DA42F5">
      <w:r w:rsidRPr="00D93D74">
        <w:t xml:space="preserve">Historically, culture-independent methods </w:t>
      </w:r>
      <w:r w:rsidR="008E4A99" w:rsidRPr="00D93D74">
        <w:t>such as</w:t>
      </w:r>
      <w:r w:rsidRPr="00D93D74">
        <w:t xml:space="preserve"> 16S rRNA amplicon</w:t>
      </w:r>
      <w:r w:rsidR="008E4A99" w:rsidRPr="00D93D74">
        <w:t xml:space="preserve"> sequencing</w:t>
      </w:r>
      <w:r w:rsidRPr="00D93D74">
        <w:t xml:space="preserve"> and shotgun metagenomics have dominated microbiome research, </w:t>
      </w:r>
      <w:r w:rsidR="008E4A99" w:rsidRPr="00D93D74">
        <w:t>with estimates suggesting that</w:t>
      </w:r>
      <w:r w:rsidRPr="00D93D74">
        <w:t xml:space="preserve"> over 70% of predicted species </w:t>
      </w:r>
      <w:r w:rsidR="008E4A99" w:rsidRPr="00D93D74">
        <w:t>lack</w:t>
      </w:r>
      <w:r w:rsidRPr="00D93D74">
        <w:t xml:space="preserve"> cultured representatives </w:t>
      </w:r>
      <w:r w:rsidR="00794F93" w:rsidRPr="00D93D74">
        <w:fldChar w:fldCharType="begin"/>
      </w:r>
      <w:r w:rsidR="001C2A55">
        <w:instrText xml:space="preserve"> ADDIN ZOTERO_ITEM CSL_CITATION {"citationID":"kepvaMEc","properties":{"formattedCitation":"(Browne et al., 2016b)","plainCitation":"(Browne et al., 2016b)","noteIndex":0},"citationItems":[{"id":29,"uris":["http://zotero.org/users/8873894/items/YDIPWJ3L"],"itemData":{"id":29,"type":"article-journal","abstract":"A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794F93" w:rsidRPr="00D93D74">
        <w:fldChar w:fldCharType="separate"/>
      </w:r>
      <w:r w:rsidR="00794F93" w:rsidRPr="00D93D74">
        <w:rPr>
          <w:rFonts w:cs="Times New Roman"/>
        </w:rPr>
        <w:t>(Browne et al., 2016b)</w:t>
      </w:r>
      <w:r w:rsidR="00794F93" w:rsidRPr="00D93D74">
        <w:fldChar w:fldCharType="end"/>
      </w:r>
      <w:r w:rsidRPr="00D93D74">
        <w:t xml:space="preserve">. However, cultivation </w:t>
      </w:r>
      <w:r w:rsidR="008E4A99" w:rsidRPr="00D93D74">
        <w:t>remains critically</w:t>
      </w:r>
      <w:r w:rsidRPr="00D93D74">
        <w:t xml:space="preserve"> importan</w:t>
      </w:r>
      <w:r w:rsidR="008E4A99" w:rsidRPr="00D93D74">
        <w:t>t</w:t>
      </w:r>
      <w:r w:rsidRPr="00D93D74">
        <w:t xml:space="preserve"> for functional validation, as metagenomic inferences alone cannot reliably predict phenotypes such as growth characteristics, metabolic outputs, antibiotic resistance, host interactions, or syntrophic behaviours </w:t>
      </w:r>
      <w:r w:rsidRPr="00D93D74">
        <w:fldChar w:fldCharType="begin"/>
      </w:r>
      <w:r w:rsidR="001C2A55">
        <w:instrText xml:space="preserve"> ADDIN ZOTERO_ITEM CSL_CITATION {"citationID":"nqGDQrJz","properties":{"formattedCitation":"(Abellan-Schneyder et al., 2021; Lagier et al., 2018)","plainCitation":"(Abellan-Schneyder et al., 2021; Lagier et al., 2018)","noteIndex":0},"citationItems":[{"id":2124,"uris":["http://zotero.org/users/8873894/items/ESNV4FEY"],"itemData":{"id":2124,"type":"article-journal","abstract":"In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studies.\n          , \n            ABSTRACT\n            \n              Short-amplicon 16S rRNA gene sequencing is currently the method of choice for studies investigating microbiomes. However, comparative studies on differences in procedures are scarce. We sequenced human stool samples and mock communities with increasing complexity using a variety of commonly used protocols. Short amplicons targeting different variable regions (V-regions) or ranges thereof  (V1-V2, V1-V3, V3-V4, V4, V4-V5, V6-V8, and V7-V9) were investigated for differences in the composition outcome due to primer choices. Next, the influence of clustering (operational taxonomic units [OTUs], zero-radius OTUs [zOTUs], and amplicon sequence variants [ASVs]), different databases (GreenGenes, the Ribosomal Database Project, Silva, the genomic-based 16S rRNA Database, and The All-Species Living Tree), and bioinformatic settings on taxonomic assignment were also investigated. We present a systematic comparison across all typically used V-regions using well-established primers. While it is known that the primer choice has a significant influence on the resulting microbial composition, we show that microbial profiles generated using different primer pairs need independent validation of performance. Further, comparing data sets across V-regions using different databases might be misleading due to differences in nomenclature (e.g.,\n              Enterorhabdus\n              versus\n              Adlercreutzia\n              ) and varying precisions in classification down to genus level. Overall, specific but important taxa are not picked up by certain primer pairs (e.g.,\n              Bacteroidetes\n              is missed using primers 515F-944R) or due to the database used (e.g.,\n              Acetatifactor\n              in GreenGenes and the genomic-based 16S rRNA Database). We found that appropriate truncation of amplicons is essential and different truncated-length combinations should be tested for each study. Finally, specific mock communities of sufficient and adequate complexity are highly recommended.\n            \n            \n              IMPORTANCE\n              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 Conclusions drawn by comparing one data set to another (e.g., between publications) appear to be problematic and require independent cross-validation using matching V-regions and uniform data processing. Therefore, we highlight the importance of a thought-out study design including sufficiently complex mock standards and appropriate V-region choice for the sample of interest. The use of processing pipelines and parameters must be tested beforehand.","container-title":"mSphere","DOI":"10.1128/mSphere.01202-20","ISSN":"2379-5042","issue":"1","journalAbbreviation":"mSphere","language":"en","page":"e01202-20","source":"DOI.org (Crossref)","title":"Primer, Pipelines, Parameters: Issues in 16S rRNA Gene Sequencing","title-short":"Primer, Pipelines, Parameters","volume":"6","author":[{"family":"Abellan-Schneyder","given":"Isabel"},{"family":"Matchado","given":"Monica S."},{"family":"Reitmeier","given":"Sandra"},{"family":"Sommer","given":"Alina"},{"family":"Sewald","given":"Zeno"},{"family":"Baumbach","given":"Jan"},{"family":"List","given":"Markus"},{"family":"Neuhaus","given":"Klaus"}],"editor":[{"family":"Tringe","given":"Susannah Green"}],"issued":{"date-parts":[["2021",2,24]]}}},{"id":132,"uris":["http://zotero.org/users/8873894/items/ADFRVAB3"],"itemData":{"id":132,"type":"article-journal","abstract":"The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(Abellan-Schneyder et al., 2021; Lagier et al., 2018)</w:t>
      </w:r>
      <w:r w:rsidRPr="00D93D74">
        <w:fldChar w:fldCharType="end"/>
      </w:r>
      <w:r w:rsidRPr="00D93D74">
        <w:t xml:space="preserve">. </w:t>
      </w:r>
    </w:p>
    <w:p w14:paraId="5BFFF7CC" w14:textId="22C6FD14" w:rsidR="00DA42F5" w:rsidRPr="00236DBE" w:rsidRDefault="00DA42F5" w:rsidP="00DA42F5">
      <w:pPr>
        <w:rPr>
          <w:lang w:val="es-ES"/>
        </w:rPr>
      </w:pPr>
      <w:r w:rsidRPr="00D93D74">
        <w:t xml:space="preserve">Shotgun metagenomics excels at species-level </w:t>
      </w:r>
      <w:r w:rsidR="00794F93" w:rsidRPr="00D93D74">
        <w:t>profiling but</w:t>
      </w:r>
      <w:r w:rsidRPr="00D93D74">
        <w:t xml:space="preserve"> struggles with strain resolution</w:t>
      </w:r>
      <w:r w:rsidR="00794F93" w:rsidRPr="00D93D74">
        <w:t>,</w:t>
      </w:r>
      <w:r w:rsidRPr="00D93D74">
        <w:t xml:space="preserve"> particularly for low-abundance taxa. It requires high coverage (&gt; 20x) and dominant strains to reconstruct metagenome-assembled genomes (MAGs), yet non-dominant subpopulations often evade detection due to allelic variation or chimeric assemblies </w:t>
      </w:r>
      <w:r w:rsidRPr="00D93D74">
        <w:fldChar w:fldCharType="begin"/>
      </w:r>
      <w:r w:rsidR="001C2A55">
        <w:instrText xml:space="preserve"> ADDIN ZOTERO_ITEM CSL_CITATION {"citationID":"qiqmoBTZ","properties":{"formattedCitation":"(Garud et al., 2019; Garud &amp; Pollard, 2020; Nayfach et al., 2016; Poyet et al., 2019; Valles-Colomer et al., 2023)","plainCitation":"(Garud et al., 2019; Garud &amp; Pollard, 2020; Nayfach et al., 2016; Poyet et al., 2019; Valles-Colomer et al., 2023)","noteIndex":0},"citationItems":[{"id":1161,"uris":["http://zotero.org/users/8873894/items/NZ4G596M"],"itemData":{"id":1161,"type":"article-journal","abstract":"Gut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S."}],"issued":{"date-parts":[["2019",1,23]]}}},{"id":3072,"uris":["http://zotero.org/users/8873894/items/8HJ4HKTS"],"itemData":{"id":3072,"type":"article-journal","container-title":"Trends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S."}],"issued":{"date-parts":[["2020",1,1]]}}},{"id":23,"uris":["http://zotero.org/users/8873894/items/C8X2T89J"],"itemData":{"id":23,"type":"article-journal","abstract":"We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J."}],"issued":{"date-parts":[["2019",9]]}}},{"id":1879,"uris":["http://zotero.org/users/8873894/items/8PIGTYZD"],"itemData":{"id":1879,"type":"article-journal","abstract":"The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w:instrText>
      </w:r>
      <w:r w:rsidR="001C2A55" w:rsidRPr="001C2A55">
        <w:rPr>
          <w:lang w:val="es-ES"/>
          <w:rPrChange w:id="225" w:author="Urša Miklavčič" w:date="2026-04-28T11:14:00Z" w16du:dateUtc="2026-04-28T09:14:00Z">
            <w:rPr/>
          </w:rPrChange>
        </w:rPr>
        <w:instrText xml:space="preserve">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Pr="00236DBE">
        <w:rPr>
          <w:lang w:val="es-ES"/>
        </w:rPr>
        <w:t>(Garud et al., 2019; Garud &amp; Pollard, 2020; Nayfach et al., 2016; Poyet et al., 2019; Valles-Colomer et al., 2023)</w:t>
      </w:r>
      <w:r w:rsidRPr="00D93D74">
        <w:fldChar w:fldCharType="end"/>
      </w:r>
      <w:r w:rsidRPr="00236DBE">
        <w:rPr>
          <w:lang w:val="es-ES"/>
        </w:rPr>
        <w:t xml:space="preserve">. </w:t>
      </w:r>
    </w:p>
    <w:p w14:paraId="05D2412D" w14:textId="2BA3ECEE" w:rsidR="00DA42F5" w:rsidRPr="00D93D74" w:rsidRDefault="00DA42F5" w:rsidP="00DA42F5">
      <w:r w:rsidRPr="00D93D74">
        <w:t>Culturomics addresses these hurdles through high-throughput, targeted strategies such as tailoring media (e.g. mucin, bile acids, specific fibres), using antioxidants, extending incubation times, employing pre</w:t>
      </w:r>
      <w:r w:rsidRPr="00D93D74">
        <w:noBreakHyphen/>
        <w:t>enrichment or elimination steps</w:t>
      </w:r>
      <w:r w:rsidR="008E4A99" w:rsidRPr="00D93D74">
        <w:t>,</w:t>
      </w:r>
      <w:r w:rsidRPr="00D93D74">
        <w:t xml:space="preserve"> and increasingly using metagenome</w:t>
      </w:r>
      <w:r w:rsidR="008E4A99" w:rsidRPr="00D93D74">
        <w:t>-</w:t>
      </w:r>
      <w:r w:rsidRPr="00D93D74">
        <w:t>guided media design to target difficult genera</w:t>
      </w:r>
      <w:r w:rsidR="008E4A99" w:rsidRPr="00D93D74">
        <w:t xml:space="preserve"> and</w:t>
      </w:r>
      <w:r w:rsidRPr="00D93D74">
        <w:t xml:space="preserve"> a large fraction of </w:t>
      </w:r>
      <w:r w:rsidR="008E4A99" w:rsidRPr="00D93D74">
        <w:t>‘</w:t>
      </w:r>
      <w:r w:rsidRPr="00D93D74">
        <w:t>uncultured</w:t>
      </w:r>
      <w:r w:rsidR="008E4A99" w:rsidRPr="00D93D74">
        <w:t>’</w:t>
      </w:r>
      <w:r w:rsidRPr="00D93D74">
        <w:t xml:space="preserve"> diversity </w:t>
      </w:r>
      <w:r w:rsidRPr="00D93D74">
        <w:fldChar w:fldCharType="begin"/>
      </w:r>
      <w:r w:rsidR="001C2A55">
        <w:instrText xml:space="preserve"> ADDIN ZOTERO_ITEM CSL_CITATION {"citationID":"gcqLIwvK","properties":{"formattedCitation":"(Afouda et al., 2020; Browne et al., 2016b; Huang et al., 2023; Onizuka et al., 2021; Song et al., 2024; Tanaka et al., 2020; Tidjani Alou et al., 2020)","plainCitation":"(Afouda et al., 2020; Browne et al., 2016b; Huang et al., 2023; Onizuka et al., 2021; Song et al., 2024; Tanaka et al., 2020; Tidjani Alou et al., 2020)","noteIndex":0},"citationItems":[{"id":146,"uris":["http://zotero.org/users/8873894/items/7N3HWKTZ"],"itemData":{"id":146,"type":"article-journal","abstract":"Abstract\n            \n              Recent studies have used ethanol stool disinfection as a mean of promoting valuable species’ cultivation in bacteriotherapy trials for\n              Clostridium difficile\n              infections (CDI) treatment with a particular focus on sporulating bacteria. Moreover, the culturomic approach has considerably enriched the repertoire of cultivable organisms in the human gut in recent years. This study aimed to apply this culturomic approach on fecal donor samples treated with ethanol disinfection to evidence potential beneficial microbes that could be used in bacteriotherapy trials for the treatment of CDI. Thereby, a total of 254 bacterial species were identified, 9 of which were novel. Of these, 242 have never been included in clinical trials for the treatment of CDIs, representing potential new candidates for bacteriotherapy trials. While non-sporulating species were nevertheless more affected by the ethanol pretreatment than sporulating species, the ethanol disinfection technique did not specifically select bacteria able to sporulate, as suggested by previous studies. Furthermore, some bacteria previously considered as potential candidates for bacteriotherapy have been lost after ethanol treatment. This study, while enriching the bacterial repertoire of the human intestine, would nevertheless require determining the exact contribution of each of species composing the bacterial consortia intended to be administered for CDI treatment.","container-title":"Scientific Reports","DOI":"10.1038/s41598-020-62068-x","ISSN":"2045-2322","issue":"1","journalAbbreviation":"Sci Rep","language":"en","page":"5190","source":"DOI.org (Crossref)","title":"Alcohol pretreatment of stools effect on culturomics","volume":"10","author":[{"family":"Afouda","given":"Pamela"},{"family":"Hocquart","given":"Marie"},{"family":"Pham","given":"Thi-Phuong-Thao"},{"family":"Kuete","given":"Edmond"},{"family":"Ngom","given":"Issa Isaac"},{"family":"Dione","given":"Niokhor"},{"family":"Valles","given":"Camille"},{"family":"Bellali","given":"Sara"},{"family":"Lagier","given":"Jean-Christophe"},{"family":"Dubourg","given":"Grégory"},{"family":"Raoult","given":"Didier"}],"issued":{"date-parts":[["2020",12]]}}},{"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D."}],"issued":{"date-parts":[["2016"]]}}},{"id":3421,"uris":["http://zotero.org/users/8873894/items/PSY4YL9I"],"itemData":{"id":3421,"type":"article-journal","abstract":"Pure bacterial cultures remain essential for detailed experimental and mechanistic studies in microbiome research, and traditional methods to isolate individual bacteria from complex microbial ecosystems are labor-intensive, difficult-to-scale and lack phenotype–genotype integration. Here we describe an open-source high-throughput robotic strain isolation platform for the rapid generation of isolates on demand. We develop a machine learning approach that leverages colony morphology and genomic data to maximize the diversity of microbes isolated and enable targeted picking of specific genera. Application of this platform on fecal samples from 20 humans yields personalized gut microbiome biobanks totaling 26,997 isolates that represented &gt;80% of all abundant taxa. Spatial analysis on &gt;100,000 visually captured colonies reveals cogrowth patterns between Ruminococcaceae, Bacteroidaceae, Coriobacteriaceae and Bifidobacteriaceae families that suggest important microbial interactions. Comparative analysis of 1,197 high-quality genomes from these biobanks shows interesting intra- and interpersonal strain evolution, selection and horizontal gene transfer. This culturomics framework should empower new research efforts to systematize the collection and quantitative analysis of imaging-based phenotypes with high-resolution genomics data for many emerging microbiome studies.","container-title":"Nature Biotechnology","DOI":"10.1038/s41587-023-01674-2","ISSN":"1546-1696","issue":"10","journalAbbreviation":"Nat Biotechnol","language":"en","license":"2023 The Author(s)","page":"1424-1433","publisher":"Nature Publishing Group","source":"www.nature.com","title":"High-throughput microbial culturomics using automation and machine learning","volume":"41","author":[{"family":"Huang","given":"Yiming"},{"family":"Sheth","given":"Ravi U."},{"family":"Zhao","given":"Shijie"},{"family":"Cohen","given":"Lucas A."},{"family":"Dabaghi","given":"Kendall"},{"family":"Moody","given":"Thomas"},{"family":"Sun","given":"Yiwei"},{"family":"Ricaurte","given":"Deirdre"},{"family":"Richardson","given":"Miles"},{"family":"Velez-Cortes","given":"Florencia"},{"family":"Blazejewski","given":"Tomasz"},{"family":"Kaufman","given":"Andrew"},{"family":"Ronda","given":"Carlotta"},{"family":"Wang","given":"Harris H."}],"issued":{"date-parts":[["2023",10]]}}},{"id":113,"uris":["http://zotero.org/users/8873894/items/EGKNDGK6"],"itemData":{"id":113,"type":"article-journal","abstract":"Spores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3450,"uris":["http://zotero.org/users/8873894/items/CAE7JYXW"],"itemData":{"id":3450,"type":"article-journal","abstract":"Hye Seon Song, Yeon Bee Kim, Joon Yong Kim, Seong Woon Roh, and Tae Woong Whon. J. Microbiol. Biotechnol. 2024;34:757-64. https://doi.org/10.4014/jmb.2311.11024","DOI":"10.4014/jmb.2311.11024","issue":"4","language":"en","page":"757-764","publisher":"Korean Society for Microbiology and Biotechnology","source":"www.jmb.or.kr","title":"Advances in Culturomics Research on the Human Gut Microbiome: Optimizing Medium Composition and Culture Techniques for Enhanced Microbial Discovery","title-short":"Advances in Culturomics Research on the Human Gut Microbiome","volume":"34","author":[{"family":"Song","given":"Hye Seon"},{"family":"Kim","given":"Yeon Bee"},{"family":"Kim","given":"Joon Yong"},{"family":"Roh","given":"Seong Woon"},{"family":"Whon","given":"Tae Woong"}],"issued":{"date-parts":[["2024",4,28]]}}},{"id":41,"uris":["http://zotero.org/users/8873894/items/T9JX6STI"],"itemData":{"id":41,"type":"article-journal","abstract":"Structurally-diversified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id":3441,"uris":["http://zotero.org/users/8873894/items/7MT4WBB4"],"itemData":{"id":3441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w:instrText>
      </w:r>
      <w:r w:rsidR="001C2A55" w:rsidRPr="001C2A55">
        <w:rPr>
          <w:lang w:val="es-ES"/>
          <w:rPrChange w:id="226" w:author="Urša Miklavčič" w:date="2026-04-28T11:14:00Z" w16du:dateUtc="2026-04-28T09:14:00Z">
            <w:rPr/>
          </w:rPrChange>
        </w:rPr>
        <w:instrText xml:space="preser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Pr="00236DBE">
        <w:rPr>
          <w:rFonts w:cs="Times New Roman"/>
          <w:lang w:val="es-ES"/>
        </w:rPr>
        <w:t>(Afouda et al., 2020; Browne et al., 2016b; Huang et al., 2023; Onizuka et al., 2021; Song et al., 2024; Tanaka et al., 2020; Tidjani Alou et al., 2020)</w:t>
      </w:r>
      <w:r w:rsidRPr="00D93D74">
        <w:fldChar w:fldCharType="end"/>
      </w:r>
      <w:r w:rsidRPr="00236DBE">
        <w:rPr>
          <w:lang w:val="es-ES"/>
        </w:rPr>
        <w:t xml:space="preserve">. </w:t>
      </w:r>
      <w:r w:rsidRPr="00D93D74">
        <w:t>Once isolates are obtained, whole genome sequencing enables precise characterization of high-quality reference genomes</w:t>
      </w:r>
      <w:r w:rsidR="00794F93" w:rsidRPr="00D93D74">
        <w:t xml:space="preserve">. </w:t>
      </w:r>
      <w:r w:rsidR="008E4A99" w:rsidRPr="00D93D74">
        <w:t>Once</w:t>
      </w:r>
      <w:r w:rsidR="00794F93" w:rsidRPr="00D93D74">
        <w:t xml:space="preserve"> a high-quality reference is obtained it also </w:t>
      </w:r>
      <w:r w:rsidRPr="00D93D74">
        <w:t>facilitate</w:t>
      </w:r>
      <w:r w:rsidR="00794F93" w:rsidRPr="00D93D74">
        <w:t>s</w:t>
      </w:r>
      <w:r w:rsidRPr="00D93D74">
        <w:t xml:space="preserve"> </w:t>
      </w:r>
      <w:r w:rsidR="00794F93" w:rsidRPr="00D93D74">
        <w:t xml:space="preserve">more </w:t>
      </w:r>
      <w:r w:rsidRPr="00D93D74">
        <w:t xml:space="preserve">accurate binning of metagenomic reads, gene function validation through knockouts or expression studies, and development of live biotherapeutics, probiotics, and synthetic consortia. Cultured strains are vital for testing antibiotic susceptibility, as metagenomic </w:t>
      </w:r>
      <w:r w:rsidRPr="00D93D74">
        <w:lastRenderedPageBreak/>
        <w:t xml:space="preserve">predictions overlook phenotypic resistance mechanisms, and for elucidating interspecies interactions </w:t>
      </w:r>
      <w:r w:rsidR="008E4A99" w:rsidRPr="00D93D74">
        <w:t>such as</w:t>
      </w:r>
      <w:r w:rsidRPr="00D93D74">
        <w:t xml:space="preserve"> cross-feeding </w:t>
      </w:r>
      <w:r w:rsidRPr="00D93D74">
        <w:fldChar w:fldCharType="begin"/>
      </w:r>
      <w:r w:rsidR="001C2A55">
        <w:instrText xml:space="preserve"> ADDIN ZOTERO_ITEM CSL_CITATION {"citationID":"UAFsuUkJ","properties":{"formattedCitation":"(Lagier et al., 2018)","plainCitation":"(Lagier et al., 2018)","noteIndex":0},"citationItems":[{"id":132,"uris":["http://zotero.org/users/8873894/items/ADFRVAB3"],"itemData":{"id":132,"type":"article-journal","abstract":"The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Pr="00D93D74">
        <w:t>(Lagier et al., 2018)</w:t>
      </w:r>
      <w:r w:rsidRPr="00D93D74">
        <w:fldChar w:fldCharType="end"/>
      </w:r>
      <w:r w:rsidRPr="00D93D74">
        <w:t xml:space="preserve">. </w:t>
      </w:r>
    </w:p>
    <w:p w14:paraId="6E1B1CAF" w14:textId="4F1561D4" w:rsidR="00DA42F5" w:rsidRPr="00D93D74" w:rsidDel="00DA5B9B" w:rsidRDefault="00DA42F5" w:rsidP="00DA42F5">
      <w:pPr>
        <w:rPr>
          <w:del w:id="227" w:author="Urša Miklavčič" w:date="2026-04-28T08:26:00Z" w16du:dateUtc="2026-04-28T06:26:00Z"/>
        </w:rPr>
      </w:pPr>
      <w:del w:id="228" w:author="Urša Miklavčič" w:date="2026-04-28T08:26:00Z" w16du:dateUtc="2026-04-28T06:26:00Z">
        <w:r w:rsidRPr="00D93D74" w:rsidDel="00DA5B9B">
          <w:delText>Tu sva se pogovarjali o tabeli najbolj pogostih bakterijskih vrst v črevesni mikrobioti (po relativni zastopanosti v Evropski populaciji? v moji popoulaciji?). Če grem z shotgun podatki, je veliko vrst, ki niti nimajo določenega imena ker še niso bile kultivirane (CAGxzy ..), njihovi pomembnosti (fukcionalna pomembnost ali zgolj zanimiv podatek iz članka ko je ta vrsta bila opisana?, spet problem veliko the ‘vrst’ je zaenkrat na nivoju MAGov) in statusu kultivacije.</w:delText>
        </w:r>
      </w:del>
    </w:p>
    <w:p w14:paraId="21284E67" w14:textId="77777777" w:rsidR="00DA42F5" w:rsidRPr="00D93D74" w:rsidRDefault="00DA42F5" w:rsidP="00DA42F5"/>
    <w:p w14:paraId="22547D64" w14:textId="77777777" w:rsidR="00DA42F5" w:rsidRPr="00D93D74" w:rsidRDefault="00DA42F5">
      <w:pPr>
        <w:pStyle w:val="Naslov2"/>
        <w:numPr>
          <w:ilvl w:val="1"/>
          <w:numId w:val="3"/>
        </w:numPr>
      </w:pPr>
      <w:bookmarkStart w:id="229" w:name="_Toc219124860"/>
      <w:bookmarkStart w:id="230" w:name="_Toc220932830"/>
      <w:bookmarkStart w:id="231" w:name="_Toc228252015"/>
      <w:r w:rsidRPr="00D93D74">
        <w:t>HUMAN GUT RESISTOME</w:t>
      </w:r>
      <w:bookmarkEnd w:id="229"/>
      <w:bookmarkEnd w:id="230"/>
      <w:bookmarkEnd w:id="231"/>
      <w:r w:rsidRPr="00D93D74">
        <w:t xml:space="preserve"> </w:t>
      </w:r>
    </w:p>
    <w:p w14:paraId="485A8B2F" w14:textId="7343BB54" w:rsidR="00343B66" w:rsidRPr="00D93D74" w:rsidRDefault="00DA42F5" w:rsidP="00DA42F5">
      <w:r w:rsidRPr="00D93D74">
        <w:t>The human gut resistome comprises all genes in the intestinal microbiota that can confer resistance to antimicrobial agents, whether they reside in pathogen</w:t>
      </w:r>
      <w:r w:rsidR="00FD40ED" w:rsidRPr="00D93D74">
        <w:t>s</w:t>
      </w:r>
      <w:r w:rsidRPr="00D93D74">
        <w:t xml:space="preserve">, opportunistic pathobionts or commensal bacteria </w:t>
      </w:r>
      <w:r w:rsidRPr="00D93D74">
        <w:fldChar w:fldCharType="begin"/>
      </w:r>
      <w:r w:rsidR="001C2A55">
        <w:instrText xml:space="preserve"> ADDIN ZOTERO_ITEM CSL_CITATION {"citationID":"Nl0Oc75D","properties":{"formattedCitation":"(Wuethrich et al., 2021)","plainCitation":"(Wuethrich et al., 2021)","noteIndex":0},"citationItems":[{"id":2245,"uris":["http://zotero.org/users/8873894/items/JFXZYL67"],"itemData":{"id":2245,"type":"article-journal","container-title":"Gut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Pr="00D93D74">
        <w:t>(Wuethrich et al., 2021)</w:t>
      </w:r>
      <w:r w:rsidRPr="00D93D74">
        <w:fldChar w:fldCharType="end"/>
      </w:r>
      <w:r w:rsidRPr="00D93D74">
        <w:t xml:space="preserve">. </w:t>
      </w:r>
      <w:del w:id="232" w:author="Urša Miklavčič [2]" w:date="2026-02-02T09:02:00Z" w16du:dateUtc="2026-02-02T08:02:00Z">
        <w:r w:rsidRPr="00D93D74" w:rsidDel="00343B66">
          <w:delText>So</w:delText>
        </w:r>
        <w:r w:rsidR="00343B66" w:rsidRPr="00D93D74" w:rsidDel="00343B66">
          <w:delText>me</w:delText>
        </w:r>
        <w:r w:rsidRPr="00D93D74" w:rsidDel="00343B66">
          <w:delText xml:space="preserve"> of the many bacterial species that carry antimicrobial resistance genes (ARGs) are vancomycin-resistant enterococci (VRE), methicillin-resistant staphylococci (MRSA), pseudomonas and </w:delText>
        </w:r>
        <w:r w:rsidRPr="00D93D74" w:rsidDel="00343B66">
          <w:rPr>
            <w:i/>
            <w:iCs/>
          </w:rPr>
          <w:delText>Acinetobacter</w:delText>
        </w:r>
        <w:r w:rsidRPr="00D93D74" w:rsidDel="00343B66">
          <w:delText xml:space="preserve"> resistant to carbapenems, and especially multiple-resistant enterobacteria including </w:delText>
        </w:r>
        <w:r w:rsidRPr="00D93D74" w:rsidDel="00343B66">
          <w:rPr>
            <w:i/>
            <w:iCs/>
          </w:rPr>
          <w:delText>E. coli</w:delText>
        </w:r>
        <w:r w:rsidRPr="00D93D74" w:rsidDel="00343B66">
          <w:delText xml:space="preserve"> and </w:delText>
        </w:r>
        <w:r w:rsidRPr="00D93D74" w:rsidDel="00343B66">
          <w:rPr>
            <w:i/>
            <w:iCs/>
          </w:rPr>
          <w:delText>Klebsiella</w:delText>
        </w:r>
        <w:r w:rsidRPr="00D93D74" w:rsidDel="00343B66">
          <w:delText xml:space="preserve"> spp. with extended-spectrum beta-lactamases or carbapenems, </w:delText>
        </w:r>
        <w:r w:rsidRPr="00D93D74" w:rsidDel="00343B66">
          <w:rPr>
            <w:i/>
            <w:iCs/>
          </w:rPr>
          <w:delText>Salmonella</w:delText>
        </w:r>
        <w:r w:rsidRPr="00D93D74" w:rsidDel="00343B66">
          <w:delText xml:space="preserve"> spp. and </w:delText>
        </w:r>
        <w:r w:rsidRPr="00D93D74" w:rsidDel="00343B66">
          <w:rPr>
            <w:i/>
            <w:iCs/>
          </w:rPr>
          <w:delText>Shigella</w:delText>
        </w:r>
        <w:r w:rsidRPr="00D93D74" w:rsidDel="00343B66">
          <w:delText xml:space="preserve"> spp. resistant to quinolones </w:delText>
        </w:r>
        <w:r w:rsidRPr="00D93D74" w:rsidDel="00343B66">
          <w:fldChar w:fldCharType="begin"/>
        </w:r>
        <w:r w:rsidRPr="00D93D74" w:rsidDel="00343B66">
          <w:delInstrText xml:space="preserve"> ADDIN ZOTERO_ITEM CSL_CITATION {"citationID":"LC2FtPz0","properties":{"formattedCitation":"(Anthony et al., 2021)","plainCitation":"(Anthony et al., 2021)","noteIndex":0},"citationItems":[{"id":350,"uris":["http://zotero.org/users/8873894/items/EAM99M7I"],"itemData":{"id":350,"type":"article-journal","abstract":"This review will consider the gut as a reservoir for antimicrobial resistance, colonization resistance, and how disruption of the microbiome can lead to colonization by pathogenic organisms. There is a focus on the gut as a reservoir for β-lactam and plasmid-mediated quinolone resistance. Finally, the role of functional metagenomics and long-read sequencing technologies to detect and understand antimicrobial resistance genes within the gut microbiome is discussed, along with the potential for future microbiome-directed methods to detect and prevent infection.","container-title":"The Journal of Infectious Diseases","DOI":"10.1093/infdis/jiaa497","ISSN":"1537-6613","issue":"12 Suppl 2","journalAbbreviation":"J Infect Dis","language":"eng","page":"S209-S213","PMID":"33326581","PMCID":"PMC8206794","source":"PubMed","title":"The Gut Microbiome as a Reservoir for Antimicrobial Resistance","volume":"223","author":[{"family":"Anthony","given":"Winston E."},{"family":"Burnham","given":"Carey-Ann D."},{"family":"Dantas","given":"Gautam"},{"family":"Kwon","given":"Jennie H."}],"issued":{"date-parts":[["2021",6,16]]}}}],"schema":"https://github.com/citation-style-language/schema/raw/master/csl-citation.json"} </w:delInstrText>
        </w:r>
        <w:r w:rsidRPr="00D93D74" w:rsidDel="00343B66">
          <w:fldChar w:fldCharType="separate"/>
        </w:r>
        <w:r w:rsidRPr="00D93D74" w:rsidDel="00343B66">
          <w:delText>(Anthony et al., 2021)</w:delText>
        </w:r>
        <w:r w:rsidRPr="00D93D74" w:rsidDel="00343B66">
          <w:fldChar w:fldCharType="end"/>
        </w:r>
        <w:r w:rsidRPr="00D93D74" w:rsidDel="00343B66">
          <w:delText xml:space="preserve">. </w:delText>
        </w:r>
      </w:del>
      <w:r w:rsidRPr="00D93D74">
        <w:t>A</w:t>
      </w:r>
      <w:r w:rsidR="00FD40ED" w:rsidRPr="00D93D74">
        <w:t xml:space="preserve">ntimicrobial resistance genes (ARGs) </w:t>
      </w:r>
      <w:r w:rsidRPr="00D93D74">
        <w:t xml:space="preserve">in the gut resistome can be intrinsic, encoded in core genomes, or acquired through horizontal gene transfer via plasmids, transposons and integrative elements. They </w:t>
      </w:r>
      <w:r w:rsidR="00FD40ED" w:rsidRPr="00D93D74">
        <w:t>confer</w:t>
      </w:r>
      <w:r w:rsidRPr="00D93D74">
        <w:t xml:space="preserve"> resistance to all major antibiotic classes, through mechanisms such as reduced uptake and efflux, target modification, target protection or bypass, and antibiotic inactivation. </w:t>
      </w:r>
    </w:p>
    <w:p w14:paraId="1948A67B" w14:textId="01AFE20A" w:rsidR="00343B66" w:rsidRPr="00D93D74" w:rsidRDefault="00DA42F5" w:rsidP="00DA42F5">
      <w:r w:rsidRPr="00D93D74">
        <w:t xml:space="preserve">Metagenomic surveys show that resistance to tetracyclines, bacitracin and glycopeptides (e.g. vancomycin) is particularly common in healthy individuals across multiple countries,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1C2A55">
        <w:instrText xml:space="preserve"> ADDIN ZOTERO_ITEM CSL_CITATION {"citationID":"rISmIJeD","properties":{"formattedCitation":"(Lee et al., 2023)","plainCitation":"(Lee et al., 2023)","noteIndex":0},"citationItems":[{"id":3413,"uris":["http://zotero.org/users/8873894/items/GX8ISJXU"],"itemData":{"id":3413,"type":"article-journal","abstract":"The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Pr="00D93D74">
        <w:t>(Lee et al., 2023)</w:t>
      </w:r>
      <w:r w:rsidRPr="00D93D74">
        <w:fldChar w:fldCharType="end"/>
      </w:r>
      <w:r w:rsidRPr="00D93D74">
        <w:t>. Country</w:t>
      </w:r>
      <w:r w:rsidR="00FD40ED" w:rsidRPr="00D93D74">
        <w:t xml:space="preserve"> </w:t>
      </w:r>
      <w:r w:rsidRPr="00D93D74">
        <w:t xml:space="preserve">specific analyses indicate that ARG abundance and diversity correlate with national antibiotic consumption patterns </w:t>
      </w:r>
      <w:r w:rsidRPr="00D93D74">
        <w:fldChar w:fldCharType="begin"/>
      </w:r>
      <w:r w:rsidR="001C2A55">
        <w:instrText xml:space="preserve"> ADDIN ZOTERO_ITEM CSL_CITATION {"citationID":"7ZCQRfFZ","properties":{"formattedCitation":"(Xia et al., 2019)","plainCitation":"(Xia et al., 2019)","noteIndex":0},"citationItems":[{"id":"WZezgJu1/96Voc0iS","uris":["http://zotero.org/users/8873894/items/5W5HXCIU"],"itemData":{"id":3489,"type":"article-journal","abstract":"The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Pr="00D93D74">
        <w:t>(Xia et al., 2019)</w:t>
      </w:r>
      <w:r w:rsidRPr="00D93D74">
        <w:fldChar w:fldCharType="end"/>
      </w:r>
      <w:r w:rsidRPr="00D93D74">
        <w:t xml:space="preserve">. </w:t>
      </w:r>
    </w:p>
    <w:p w14:paraId="2BC45B1E" w14:textId="0C87BADE" w:rsidR="00DA42F5" w:rsidRPr="00D93D74" w:rsidRDefault="00DA42F5" w:rsidP="00DA42F5">
      <w:r w:rsidRPr="00D93D74">
        <w:t xml:space="preserve">Antibiotic exposure strongly reshapes both the microbiota and the resistome. Short antibiotic courses typically reduce microbial diversity, create ecological bottlenecks and select for resistant and tolerant taxa, which </w:t>
      </w:r>
      <w:r w:rsidR="00FD40ED" w:rsidRPr="00D93D74">
        <w:t>then can</w:t>
      </w:r>
      <w:r w:rsidRPr="00D93D74">
        <w:t xml:space="preserve"> expand and </w:t>
      </w:r>
      <w:r w:rsidR="00FD40ED" w:rsidRPr="00D93D74">
        <w:t>increase</w:t>
      </w:r>
      <w:r w:rsidRPr="00D93D74">
        <w:t xml:space="preserve"> the gut </w:t>
      </w:r>
      <w:r w:rsidR="00FD40ED" w:rsidRPr="00D93D74">
        <w:t>resistome</w:t>
      </w:r>
      <w:r w:rsidRPr="00D93D74">
        <w:t>. Experimental and human longitudinal studies show that antibiotic treatment often increases the rate of horizontal gene transfer events and the abundance of mobile ARGs, sometimes with long</w:t>
      </w:r>
      <w:r w:rsidR="00FD40ED" w:rsidRPr="00D93D74">
        <w:t>-</w:t>
      </w:r>
      <w:r w:rsidRPr="00D93D74">
        <w:t xml:space="preserve">lasting effects on resistome composition even after apparent taxonomic recovery </w:t>
      </w:r>
      <w:r w:rsidRPr="00D93D74">
        <w:fldChar w:fldCharType="begin"/>
      </w:r>
      <w:r w:rsidR="001C2A55">
        <w:instrText xml:space="preserve"> ADDIN ZOTERO_ITEM CSL_CITATION {"citationID":"XKutvDRy","properties":{"formattedCitation":"(Peng et al., 2025)","plainCitation":"(Peng et al., 2025)","noteIndex":0},"citationItems":[{"id":3419,"uris":["http://zotero.org/users/8873894/items/NKRRPMER"],"itemData":{"id":3419,"type":"article-journal","abstract":"Horizontal gene transfer (HGT) is a major driver of bacterial evolution, but its role in shaping the human gut microbiome over time remains poorly understood. Here, we present a longitudinal metagenomic analysis of 676 fecal samples from 338 individuals in the Lifelines-DEEP study collected ~4 years apart, using a newly developed workflow to detect recent HGT events from metagenome-assembled genomes. We identified 5,644 high-confidence HGT events occurring within the past ~10,000 years across 116 gut bacterial species. We find that species pairs with an HGT relationship were significantly more likely to maintain stable co-abundance relationships over the 4-year period, suggesting that gene exchange contributes to community stability. Notably, HGT and strain replacement act together to disseminate mobile genes in the population. Furthermore, our observation that an individual’s mobile gene pool remains highly personalized and stable over time indicates that host lifestyles drive specific gene transfer. For example, proton pump inhibitor usage is linked to increased transfer of multidrug transporter genes. Our findings demonstrate, at the individual gut microbiome level, that HGT is both an integral and stabilizing force in the human gut ecosystem and an important mechanism for disseminating adaptive functions, underscoring HGT potential for tracking host lifestyle.","container-title":"Nature Communications","DOI":"10.1038/s41467-025-66612-z","ISSN":"2041-1723","issue":"1","journalAbbreviation":"Nat Commun","language":"en","license":"2025 The Author(s)","page":"11543","publisher":"Nature Publishing Group","source":"www.nature.com","title":"Longitudinal gut microbiota tracking reveals the dynamics of horizontal gene transfer","volume":"16","author":[{"family":"Peng","given":"Haoran"},{"family":"Andreu-Sanchez","given":"Sergio"},{"family":"Ruiz-Moreno","given":"Angel J."},{"family":"Fernández-Pato","given":"Asier"},{"family":"Wu","given":"Jiafei"},{"family":"Gacesa","given":"Ranko"},{"family":"Zhernakova","given":"Alexandra"},{"family":"Wang","given":"Daoming"},{"family":"Fu","given":"Jingyuan"}],"issued":{"date-parts":[["2025",11,22]]}}}],"schema":"https://github.com/citation-style-language/schema/raw/master/csl-citation.json"} </w:instrText>
      </w:r>
      <w:r w:rsidRPr="00D93D74">
        <w:fldChar w:fldCharType="separate"/>
      </w:r>
      <w:r w:rsidRPr="00D93D74">
        <w:t>(Peng et al., 2025)</w:t>
      </w:r>
      <w:r w:rsidRPr="00D93D74">
        <w:fldChar w:fldCharType="end"/>
      </w:r>
      <w:r w:rsidRPr="00D93D74">
        <w:t>. Across the lifespan, the gut resistome generally expands with age and cumulative antibiotic exposure, with elderly individuals and patients with chronic, antibiotic</w:t>
      </w:r>
      <w:r w:rsidR="00FD40ED" w:rsidRPr="00D93D74">
        <w:t xml:space="preserve"> </w:t>
      </w:r>
      <w:r w:rsidRPr="00D93D74">
        <w:t xml:space="preserve">treated diseases often harbouring higher loads and broader repertoires of ARGs </w:t>
      </w:r>
      <w:r w:rsidRPr="00D93D74">
        <w:fldChar w:fldCharType="begin"/>
      </w:r>
      <w:r w:rsidR="001C2A55">
        <w:instrText xml:space="preserve"> ADDIN ZOTERO_ITEM CSL_CITATION {"citationID":"FmcqPVHN","properties":{"formattedCitation":"(Ho et al., 2020)","plainCitation":"(Ho et al., 2020)","noteIndex":0},"citationItems":[{"id":3449,"uris":["http://zotero.org/users/8873894/items/EBF6AJTG"],"itemData":{"id":3449,"type":"article-journal","abstract":"In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p>
    <w:p w14:paraId="2AEE663D" w14:textId="0FE106D4" w:rsidR="00DA42F5" w:rsidRPr="00D93D74" w:rsidRDefault="00DA42F5" w:rsidP="00DA42F5">
      <w:r w:rsidRPr="00D93D74">
        <w:t xml:space="preserve">Methodologically, most human gut resistome studies rely on shotgun metagenomics combined with bioinformatic pipelines that map reads or assembled contigs to curated ARG databases or machine learning algorithms that recognize ARG signatures on contigs </w:t>
      </w:r>
      <w:r w:rsidRPr="00D93D74">
        <w:fldChar w:fldCharType="begin"/>
      </w:r>
      <w:r w:rsidR="001C2A55">
        <w:instrText xml:space="preserve"> ADDIN ZOTERO_ITEM CSL_CITATION {"citationID":"CCdtgjVY","properties":{"formattedCitation":"(Ho et al., 2020)","plainCitation":"(Ho et al., 2020)","noteIndex":0},"citationItems":[{"id":3449,"uris":["http://zotero.org/users/8873894/items/EBF6AJTG"],"itemData":{"id":3449,"type":"article-journal","abstract":"In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Pr="00D93D74">
        <w:t>(Ho et al., 2020)</w:t>
      </w:r>
      <w:r w:rsidRPr="00D93D74">
        <w:fldChar w:fldCharType="end"/>
      </w:r>
      <w:r w:rsidRPr="00D93D74">
        <w:t xml:space="preserve">. </w:t>
      </w:r>
      <w:r w:rsidR="00FD40ED" w:rsidRPr="00D93D74">
        <w:t xml:space="preserve">However, </w:t>
      </w:r>
      <w:r w:rsidRPr="00D93D74">
        <w:t>reliable detection of low</w:t>
      </w:r>
      <w:r w:rsidR="00FD40ED" w:rsidRPr="00D93D74">
        <w:t xml:space="preserve"> </w:t>
      </w:r>
      <w:r w:rsidRPr="00D93D74">
        <w:t>abundance ARGs requires relatively high sequencing depth</w:t>
      </w:r>
      <w:r w:rsidR="00FD40ED" w:rsidRPr="00D93D74">
        <w:t>,</w:t>
      </w:r>
      <w:r w:rsidRPr="00D93D74">
        <w:t xml:space="preserve"> and different tools and databases vary in sensitivity and precision </w:t>
      </w:r>
      <w:r w:rsidRPr="00D93D74">
        <w:fldChar w:fldCharType="begin"/>
      </w:r>
      <w:r w:rsidR="001C2A55">
        <w:instrText xml:space="preserve"> ADDIN ZOTERO_ITEM CSL_CITATION {"citationID":"v6TAFLWi","properties":{"formattedCitation":"(Aldea et al., 2025)","plainCitation":"(Aldea et al., 2025)","noteIndex":0},"citationItems":[{"id":3426,"uris":["http://zotero.org/users/8873894/items/S8BPY9ED"],"itemData":{"id":3426,"type":"article-journal","abstract":"Antibiotic resistance continues to erode the effectiveness of modern medicine, creating an urgent demand for rapid and reliable diagnostic solutions. Conventional diagnostic approaches, including culture-based susceptibility testing, remain the clinical reference standard but are constrained by lengthy turnaround times and limited sensitivity for early detection. In recent years, significant progress has been made with molecular and spectrometry-based methods, such as PCR and next-generation sequencing, MALDI-TOF MS, Raman and FTIR spectroscopy, alongside emerging CRISPR-based platforms. Complementary innovations in biosensors, microfluidics, and artificial intelligence further expand the diagnostic landscape, enabling faster, more sensitive, and increasingly portable assays. This review examines both established and emerging technologies for detecting antibiotic resistance, outlining their respective strengths, limitations, and potential roles across diverse settings. By synthesizing current advances and highlighting future opportunities, this review emphasizes complementarities among detection strategies and their potential integration into practical diagnostic frameworks, including in resource-limited settings.","container-title":"Frontiers in Microbiology","DOI":"10.3389/fmicb.2025.1673343","ISSN":"1664-302X","journalAbbreviation":"Front. Microbiol.","language":"English","publisher":"Frontiers","source":"Frontiers","title":"Detecting antibiotic resistance: classical, molecular, advanced bioengineering, and AI-enhanced approaches","title-short":"Detecting antibiotic resistance","URL":"https://www.frontiersin.org/journals/microbiology/articles/10.3389/fmicb.2025.1673343/full","volume":"16","author":[{"family":"Aldea","given":"Alexandru Constantin"},{"family":"Diguṭă","given":"Filofteia Camelia"},{"family":"Presacan","given":"Oriana"},{"family":"Voaideṣ","given":"Cătălina"},{"family":"Toma","given":"Radu Cristian"},{"family":"Matei","given":"Florentina"}],"accessed":{"date-parts":[["2026",1,7]]},"issued":{"date-parts":[["2025",10,3]]}}}],"schema":"https://github.com/citation-style-language/schema/raw/master/csl-citation.json"} </w:instrText>
      </w:r>
      <w:r w:rsidRPr="00D93D74">
        <w:fldChar w:fldCharType="separate"/>
      </w:r>
      <w:r w:rsidRPr="00D93D74">
        <w:t>(Aldea et al., 2025)</w:t>
      </w:r>
      <w:r w:rsidRPr="00D93D74">
        <w:fldChar w:fldCharType="end"/>
      </w:r>
      <w:r w:rsidRPr="00D93D74">
        <w:t>.  Longitudinal metagenomic studies, though still fewer than cross</w:t>
      </w:r>
      <w:r w:rsidR="00FD40ED" w:rsidRPr="00D93D74">
        <w:t>-</w:t>
      </w:r>
      <w:r w:rsidRPr="00D93D74">
        <w:t xml:space="preserve">sectional ones, reveal that individual </w:t>
      </w:r>
      <w:del w:id="233" w:author="Urša Miklavčič" w:date="2026-04-28T18:19:00Z" w16du:dateUtc="2026-04-28T16:19:00Z">
        <w:r w:rsidR="00FD40ED" w:rsidRPr="00D93D74" w:rsidDel="00207CEB">
          <w:delText>resistomes</w:delText>
        </w:r>
      </w:del>
      <w:ins w:id="234" w:author="Urša Miklavčič" w:date="2026-04-28T18:19:00Z" w16du:dateUtc="2026-04-28T16:19:00Z">
        <w:r w:rsidR="00207CEB" w:rsidRPr="00D93D74">
          <w:t>resistome</w:t>
        </w:r>
      </w:ins>
      <w:r w:rsidRPr="00D93D74">
        <w:t xml:space="preserve"> </w:t>
      </w:r>
      <w:del w:id="235" w:author="Urša Miklavčič" w:date="2026-04-28T18:19:00Z" w16du:dateUtc="2026-04-28T16:19:00Z">
        <w:r w:rsidRPr="00D93D74" w:rsidDel="00207CEB">
          <w:delText xml:space="preserve">are </w:delText>
        </w:r>
      </w:del>
      <w:ins w:id="236" w:author="Urša Miklavčič" w:date="2026-04-28T18:19:00Z" w16du:dateUtc="2026-04-28T16:19:00Z">
        <w:r w:rsidR="00207CEB">
          <w:t>is</w:t>
        </w:r>
        <w:r w:rsidR="00207CEB" w:rsidRPr="00D93D74">
          <w:t xml:space="preserve"> </w:t>
        </w:r>
      </w:ins>
      <w:r w:rsidRPr="00D93D74">
        <w:t>dynamic yet person</w:t>
      </w:r>
      <w:r w:rsidR="00FD40ED" w:rsidRPr="00D93D74">
        <w:t>-</w:t>
      </w:r>
      <w:r w:rsidRPr="00D93D74">
        <w:t xml:space="preserve">specific, with ARG loads and compositions fluctuating over time but often tracking clinical events, antibiotic courses and microbiota shifts </w:t>
      </w:r>
      <w:r w:rsidRPr="00D93D74">
        <w:fldChar w:fldCharType="begin"/>
      </w:r>
      <w:r w:rsidR="001C2A55">
        <w:instrText xml:space="preserve"> ADDIN ZOTERO_ITEM CSL_CITATION {"citationID":"yQfH2Bgf","properties":{"formattedCitation":"(X. Li et al., 2023)","plainCitation":"(X. Li et al., 2023)","noteIndex":0},"citationItems":[{"id":3429,"uris":["http://zotero.org/users/8873894/items/V5ETH9ZX"],"itemData":{"id":3429,"type":"article-journal","abstract":"Despite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162CD1" w:rsidRPr="00D93D74">
        <w:rPr>
          <w:rFonts w:cs="Times New Roman"/>
        </w:rPr>
        <w:t>(X. Li et al., 2023)</w:t>
      </w:r>
      <w:r w:rsidRPr="00D93D74">
        <w:fldChar w:fldCharType="end"/>
      </w:r>
      <w:r w:rsidRPr="00D93D74">
        <w:t>.</w:t>
      </w:r>
    </w:p>
    <w:p w14:paraId="702A390A" w14:textId="77777777" w:rsidR="00DA42F5" w:rsidRPr="00D93D74" w:rsidRDefault="00DA42F5">
      <w:pPr>
        <w:spacing w:line="259" w:lineRule="auto"/>
        <w:jc w:val="left"/>
      </w:pPr>
      <w:r w:rsidRPr="00D93D74">
        <w:br w:type="page"/>
      </w:r>
    </w:p>
    <w:p w14:paraId="36BFD34A" w14:textId="586363FC" w:rsidR="00C6265A" w:rsidRPr="00D93D74" w:rsidRDefault="00281EC3">
      <w:pPr>
        <w:pStyle w:val="Naslov1"/>
        <w:numPr>
          <w:ilvl w:val="0"/>
          <w:numId w:val="3"/>
        </w:numPr>
      </w:pPr>
      <w:bookmarkStart w:id="237" w:name="_Toc212712189"/>
      <w:bookmarkStart w:id="238" w:name="_Toc216099709"/>
      <w:bookmarkStart w:id="239" w:name="_Toc220932831"/>
      <w:bookmarkStart w:id="240" w:name="_Toc228252016"/>
      <w:r w:rsidRPr="00D93D74">
        <w:lastRenderedPageBreak/>
        <w:t xml:space="preserve">METHODS </w:t>
      </w:r>
      <w:r w:rsidR="00221812" w:rsidRPr="00D93D74">
        <w:t>AND</w:t>
      </w:r>
      <w:r w:rsidRPr="00D93D74">
        <w:t xml:space="preserve"> MATERIALS</w:t>
      </w:r>
      <w:bookmarkEnd w:id="237"/>
      <w:bookmarkEnd w:id="238"/>
      <w:bookmarkEnd w:id="239"/>
      <w:bookmarkEnd w:id="240"/>
      <w:r w:rsidR="009D36FF" w:rsidRPr="00D93D74">
        <w:t xml:space="preserve"> </w:t>
      </w:r>
      <w:bookmarkStart w:id="241" w:name="_Toc184220081"/>
      <w:bookmarkEnd w:id="0"/>
    </w:p>
    <w:p w14:paraId="74280437" w14:textId="5E472D65" w:rsidR="002E5BE1" w:rsidRPr="00D93D74" w:rsidRDefault="00DA42F5" w:rsidP="00DA42F5">
      <w:r w:rsidRPr="00D93D74">
        <w:t xml:space="preserve">Work for this thesis encompasses </w:t>
      </w:r>
      <w:r w:rsidR="00FF249A" w:rsidRPr="00D93D74">
        <w:t>work</w:t>
      </w:r>
      <w:r w:rsidRPr="00D93D74">
        <w:t xml:space="preserve"> </w:t>
      </w:r>
      <w:r w:rsidR="002E5BE1" w:rsidRPr="00D93D74">
        <w:t xml:space="preserve">illustrated </w:t>
      </w:r>
      <w:r w:rsidRPr="00D93D74">
        <w:t xml:space="preserve">in Figure 1. </w:t>
      </w:r>
    </w:p>
    <w:p w14:paraId="0E5D3FC8" w14:textId="07460192" w:rsidR="002E5BE1" w:rsidRPr="00D93D74" w:rsidRDefault="00003DA5" w:rsidP="00DA42F5">
      <w:r w:rsidRPr="00D93D74">
        <w:t>Prior to the main study, protocols</w:t>
      </w:r>
      <w:r w:rsidR="00FF249A" w:rsidRPr="00D93D74">
        <w:t xml:space="preserve"> </w:t>
      </w:r>
      <w:r w:rsidRPr="00D93D74">
        <w:t xml:space="preserve">for DNA isolation </w:t>
      </w:r>
      <w:r w:rsidR="00FF249A" w:rsidRPr="00D93D74">
        <w:t xml:space="preserve">were </w:t>
      </w:r>
      <w:del w:id="242" w:author="Urša Miklavčič" w:date="2026-04-28T18:19:00Z" w16du:dateUtc="2026-04-28T16:19:00Z">
        <w:r w:rsidR="00FF249A" w:rsidRPr="00D93D74" w:rsidDel="00161462">
          <w:delText xml:space="preserve">developed and </w:delText>
        </w:r>
      </w:del>
      <w:r w:rsidR="00FF249A" w:rsidRPr="00D93D74">
        <w:t>optimised</w:t>
      </w:r>
      <w:r w:rsidRPr="00D93D74">
        <w:t>.</w:t>
      </w:r>
      <w:r w:rsidR="00FF249A" w:rsidRPr="00D93D74">
        <w:t xml:space="preserve"> </w:t>
      </w:r>
      <w:r w:rsidRPr="00D93D74">
        <w:t xml:space="preserve">This involved </w:t>
      </w:r>
      <w:r w:rsidR="00DA42F5" w:rsidRPr="00D93D74">
        <w:t xml:space="preserve">testing four protocols for </w:t>
      </w:r>
      <w:del w:id="243" w:author="Urša Miklavčič" w:date="2026-04-28T18:26:00Z" w16du:dateUtc="2026-04-28T16:26:00Z">
        <w:r w:rsidR="00DA42F5" w:rsidRPr="00D93D74" w:rsidDel="002B142C">
          <w:delText xml:space="preserve">bulk </w:delText>
        </w:r>
      </w:del>
      <w:r w:rsidR="00DA42F5" w:rsidRPr="00D93D74">
        <w:t>DNA isolation from stool samples</w:t>
      </w:r>
      <w:ins w:id="244" w:author="Urša Miklavčič" w:date="2026-04-28T18:26:00Z" w16du:dateUtc="2026-04-28T16:26:00Z">
        <w:r w:rsidR="002B142C">
          <w:t xml:space="preserve"> and </w:t>
        </w:r>
      </w:ins>
      <w:del w:id="245" w:author="Urša Miklavčič" w:date="2026-04-28T18:26:00Z" w16du:dateUtc="2026-04-28T16:26:00Z">
        <w:r w:rsidRPr="00D93D74" w:rsidDel="002B142C">
          <w:delText xml:space="preserve">, followed by </w:delText>
        </w:r>
        <w:r w:rsidR="00DA42F5" w:rsidRPr="00D93D74" w:rsidDel="002B142C">
          <w:delText>o</w:delText>
        </w:r>
      </w:del>
      <w:ins w:id="246" w:author="Urša Miklavčič" w:date="2026-04-28T18:26:00Z" w16du:dateUtc="2026-04-28T16:26:00Z">
        <w:r w:rsidR="002B142C">
          <w:t>o</w:t>
        </w:r>
      </w:ins>
      <w:r w:rsidR="00DA42F5" w:rsidRPr="00D93D74">
        <w:t>ptimis</w:t>
      </w:r>
      <w:r w:rsidRPr="00D93D74">
        <w:t>ation of a protocol specifically targeting</w:t>
      </w:r>
      <w:r w:rsidR="00DA42F5" w:rsidRPr="00D93D74">
        <w:t xml:space="preserve"> </w:t>
      </w:r>
      <w:ins w:id="247" w:author="Urša Miklavčič" w:date="2026-04-28T18:19:00Z" w16du:dateUtc="2026-04-28T16:19:00Z">
        <w:r w:rsidR="00161462">
          <w:t xml:space="preserve">DNA from </w:t>
        </w:r>
      </w:ins>
      <w:ins w:id="248" w:author="Urša Miklavčič" w:date="2026-04-28T18:26:00Z" w16du:dateUtc="2026-04-28T16:26:00Z">
        <w:r w:rsidR="002B142C">
          <w:t>spores in stool samples,</w:t>
        </w:r>
      </w:ins>
      <w:del w:id="249" w:author="Urša Miklavčič" w:date="2026-04-28T18:26:00Z" w16du:dateUtc="2026-04-28T16:26:00Z">
        <w:r w:rsidR="00DA42F5" w:rsidRPr="00D93D74" w:rsidDel="002B142C">
          <w:delText>spore-forming bacteria</w:delText>
        </w:r>
      </w:del>
      <w:ins w:id="250" w:author="Urša Miklavčič" w:date="2026-04-28T18:19:00Z" w16du:dateUtc="2026-04-28T16:19:00Z">
        <w:r w:rsidR="00161462">
          <w:t xml:space="preserve"> </w:t>
        </w:r>
      </w:ins>
      <w:del w:id="251" w:author="Urša Miklavčič" w:date="2026-04-28T18:19:00Z" w16du:dateUtc="2026-04-28T16:19:00Z">
        <w:r w:rsidR="00DA42F5" w:rsidRPr="00D93D74" w:rsidDel="00161462">
          <w:delText xml:space="preserve">l DNA </w:delText>
        </w:r>
      </w:del>
      <w:del w:id="252" w:author="Urša Miklavčič" w:date="2026-04-28T18:20:00Z" w16du:dateUtc="2026-04-28T16:20:00Z">
        <w:r w:rsidR="00DA42F5" w:rsidRPr="00D93D74" w:rsidDel="00161462">
          <w:delText xml:space="preserve">from stool </w:delText>
        </w:r>
      </w:del>
      <w:r w:rsidRPr="00D93D74">
        <w:t>through</w:t>
      </w:r>
      <w:r w:rsidR="00DA42F5" w:rsidRPr="00D93D74">
        <w:t xml:space="preserve"> selective remov</w:t>
      </w:r>
      <w:r w:rsidRPr="00D93D74">
        <w:t>al of</w:t>
      </w:r>
      <w:r w:rsidR="00DA42F5" w:rsidRPr="00D93D74">
        <w:t xml:space="preserve"> vegetative cells. </w:t>
      </w:r>
    </w:p>
    <w:p w14:paraId="2EEF7692" w14:textId="7B5D4E27" w:rsidR="002E5BE1" w:rsidRPr="00E81268" w:rsidRDefault="00003DA5" w:rsidP="002E5BE1">
      <w:r w:rsidRPr="00E81268">
        <w:t xml:space="preserve">Stool samples were </w:t>
      </w:r>
      <w:r w:rsidR="002E5BE1" w:rsidRPr="00E81268">
        <w:t>collect</w:t>
      </w:r>
      <w:r w:rsidRPr="00E81268">
        <w:t>ed</w:t>
      </w:r>
      <w:r w:rsidR="002E5BE1" w:rsidRPr="00E81268">
        <w:t xml:space="preserve"> from nine healthy male participants every 14 days over six months. Along with each sample participants completed a questionnaire about their lifestyle, including diet, exercise, stress level, supplement and antibiotic use. Each stool sample was processed using two DNA isolation methods: untreated </w:t>
      </w:r>
      <w:ins w:id="253" w:author="Urša Miklavčič" w:date="2026-04-28T18:27:00Z" w16du:dateUtc="2026-04-28T16:27:00Z">
        <w:r w:rsidR="002B142C">
          <w:t xml:space="preserve">(obtaining all DNA from stool samples) </w:t>
        </w:r>
      </w:ins>
      <w:r w:rsidR="002E5BE1" w:rsidRPr="00E81268">
        <w:t>and ethanol-EMA (ethidium monoazide amide) treated</w:t>
      </w:r>
      <w:ins w:id="254" w:author="Urša Miklavčič" w:date="2026-04-28T18:27:00Z" w16du:dateUtc="2026-04-28T16:27:00Z">
        <w:r w:rsidR="002B142C">
          <w:t xml:space="preserve"> (obtaining DNA from spores and other ethanol-resistant cell forms</w:t>
        </w:r>
      </w:ins>
      <w:ins w:id="255" w:author="Urša Miklavčič" w:date="2026-04-28T18:28:00Z" w16du:dateUtc="2026-04-28T16:28:00Z">
        <w:r w:rsidR="002B142C">
          <w:t>)</w:t>
        </w:r>
      </w:ins>
      <w:ins w:id="256" w:author="Urša Miklavčič" w:date="2026-04-28T18:27:00Z" w16du:dateUtc="2026-04-28T16:27:00Z">
        <w:r w:rsidR="002B142C">
          <w:t>.</w:t>
        </w:r>
      </w:ins>
      <w:del w:id="257" w:author="Urša Miklavčič" w:date="2026-04-28T18:27:00Z" w16du:dateUtc="2026-04-28T16:27:00Z">
        <w:r w:rsidR="002E5BE1" w:rsidRPr="00E81268" w:rsidDel="002B142C">
          <w:delText>. EMA treatment was used to remove free DNA and DNA from ethanol-damaged cells.</w:delText>
        </w:r>
      </w:del>
      <w:r w:rsidR="002E5BE1" w:rsidRPr="00E81268">
        <w:t xml:space="preserve"> </w:t>
      </w:r>
    </w:p>
    <w:p w14:paraId="2967BB06" w14:textId="04B6E1F9" w:rsidR="002B142C" w:rsidRPr="00E81268" w:rsidRDefault="00003DA5" w:rsidP="00A47635">
      <w:r w:rsidRPr="00E81268">
        <w:t>M</w:t>
      </w:r>
      <w:r w:rsidR="00A47635" w:rsidRPr="00E81268">
        <w:t xml:space="preserve">icrobial DNA was profiled using two sequencing approaches, amplicon sequencing targeting the V3-V4 region of the 16S rRNA gene and </w:t>
      </w:r>
      <w:ins w:id="258" w:author="Urša Miklavčič" w:date="2026-04-28T18:28:00Z" w16du:dateUtc="2026-04-28T16:28:00Z">
        <w:r w:rsidR="002B142C">
          <w:t xml:space="preserve">shotgun </w:t>
        </w:r>
      </w:ins>
      <w:r w:rsidR="00A47635" w:rsidRPr="00E81268">
        <w:t xml:space="preserve">metagenomic sequencing. Comparing ethanol treated and untreated samples enabled us to distinguish ethanol-resistant from ethanol non-resistant microbial communities based on taxon presence and abundance criteria. </w:t>
      </w:r>
      <w:del w:id="259" w:author="Urša Miklavčič" w:date="2026-04-28T18:28:00Z" w16du:dateUtc="2026-04-28T16:28:00Z">
        <w:r w:rsidR="00A47635" w:rsidRPr="00E81268" w:rsidDel="002B142C">
          <w:delText>Taxon was determined as part of the ethanol-resistant community if it met the following criteria: 1) the taxon was present in both the untreated sample and the paired ethanol treated sample of the same stool sample, and 2) was found at a higher relative abundance in the ethanol treated sample in at least 5% of samples where criterion 1) was met. S</w:delText>
        </w:r>
      </w:del>
      <w:ins w:id="260" w:author="Urša Miklavčič" w:date="2026-04-28T18:28:00Z" w16du:dateUtc="2026-04-28T16:28:00Z">
        <w:r w:rsidR="002B142C">
          <w:t>Additionally, s</w:t>
        </w:r>
      </w:ins>
      <w:r w:rsidR="00A47635" w:rsidRPr="00E81268">
        <w:t>pore-forming species were determined in metagenomic dataset based on presence of at least 33 out of 66 genes associated with sporulation, as described by</w:t>
      </w:r>
      <w:ins w:id="261" w:author="Urša Miklavčič" w:date="2026-04-28T18:29:00Z" w16du:dateUtc="2026-04-28T16:29:00Z">
        <w:r w:rsidR="002B142C">
          <w:t xml:space="preserve"> Browne et al., 2016</w:t>
        </w:r>
      </w:ins>
      <w:del w:id="262" w:author="Urša Miklavčič" w:date="2026-04-28T18:29:00Z" w16du:dateUtc="2026-04-28T16:29:00Z">
        <w:r w:rsidR="00A47635" w:rsidRPr="00E81268" w:rsidDel="002B142C">
          <w:fldChar w:fldCharType="begin"/>
        </w:r>
        <w:r w:rsidR="001C2A55" w:rsidDel="002B142C">
          <w:delInstrText xml:space="preserve"> ADDIN ZOTERO_ITEM CSL_CITATION {"citationID":"ntOXPEph","properties":{"formattedCitation":"(Browne et al., 2016b)","plainCitation":"(Browne et al., 2016b)","dontUpdate":true,"noteIndex":0},"citationItems":[{"id":29,"uris":["http://zotero.org/users/8873894/items/YDIPWJ3L"],"itemData":{"id":29,"type":"article-journal","abstract":"A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delInstrText>
        </w:r>
        <w:r w:rsidR="00A47635" w:rsidRPr="00E81268" w:rsidDel="002B142C">
          <w:fldChar w:fldCharType="separate"/>
        </w:r>
        <w:r w:rsidR="00A47635" w:rsidRPr="00E81268" w:rsidDel="002B142C">
          <w:delText xml:space="preserve"> Browne et al., 2016b</w:delText>
        </w:r>
        <w:r w:rsidR="00A47635" w:rsidRPr="00E81268" w:rsidDel="002B142C">
          <w:fldChar w:fldCharType="end"/>
        </w:r>
      </w:del>
      <w:r w:rsidR="00A47635" w:rsidRPr="00E81268">
        <w:t>.</w:t>
      </w:r>
    </w:p>
    <w:p w14:paraId="124270A0" w14:textId="3143A1E0" w:rsidR="00A47635" w:rsidRPr="00E81268" w:rsidRDefault="00A47635" w:rsidP="00A47635">
      <w:r w:rsidRPr="00E81268">
        <w:t xml:space="preserve">The </w:t>
      </w:r>
      <w:r w:rsidR="00003DA5" w:rsidRPr="00E81268">
        <w:t>third</w:t>
      </w:r>
      <w:r w:rsidRPr="00E81268">
        <w:t xml:space="preserve"> part focused on isolation of spore</w:t>
      </w:r>
      <w:r w:rsidRPr="00E81268">
        <w:noBreakHyphen/>
        <w:t xml:space="preserve">forming representatives from a single selected donor (participant H). </w:t>
      </w:r>
      <w:ins w:id="263" w:author="Urša Miklavčič" w:date="2026-04-28T18:29:00Z" w16du:dateUtc="2026-04-28T16:29:00Z">
        <w:r w:rsidR="002B142C">
          <w:t xml:space="preserve">We cultivated spore-forming bacteria </w:t>
        </w:r>
      </w:ins>
      <w:del w:id="264" w:author="Urša Miklavčič" w:date="2026-04-28T18:30:00Z" w16du:dateUtc="2026-04-28T16:30:00Z">
        <w:r w:rsidRPr="00E81268" w:rsidDel="002B142C">
          <w:delText>F</w:delText>
        </w:r>
      </w:del>
      <w:ins w:id="265" w:author="Urša Miklavčič" w:date="2026-04-28T18:30:00Z" w16du:dateUtc="2026-04-28T16:30:00Z">
        <w:r w:rsidR="002B142C">
          <w:t>f</w:t>
        </w:r>
      </w:ins>
      <w:r w:rsidRPr="00E81268">
        <w:t xml:space="preserve">rom three ethanol treated stool samples </w:t>
      </w:r>
      <w:del w:id="266" w:author="Urša Miklavčič" w:date="2026-04-28T18:30:00Z" w16du:dateUtc="2026-04-28T16:30:00Z">
        <w:r w:rsidRPr="00E81268" w:rsidDel="002B142C">
          <w:delText xml:space="preserve">we cultivated the spore-forming species </w:delText>
        </w:r>
      </w:del>
      <w:r w:rsidRPr="00E81268">
        <w:t>and selected </w:t>
      </w:r>
      <w:r w:rsidRPr="00E81268">
        <w:rPr>
          <w:i/>
          <w:iCs/>
        </w:rPr>
        <w:t>Clostridium saudiense</w:t>
      </w:r>
      <w:r w:rsidRPr="00E81268">
        <w:t> for further characterisation by whole</w:t>
      </w:r>
      <w:r w:rsidRPr="00E81268">
        <w:noBreakHyphen/>
        <w:t>genome sequencing</w:t>
      </w:r>
      <w:ins w:id="267" w:author="Urša Miklavčič" w:date="2026-04-28T18:30:00Z" w16du:dateUtc="2026-04-28T16:30:00Z">
        <w:r w:rsidR="002B142C">
          <w:t xml:space="preserve">, using both short- and long-read technologies. </w:t>
        </w:r>
      </w:ins>
      <w:del w:id="268" w:author="Urša Miklavčič" w:date="2026-04-28T18:30:00Z" w16du:dateUtc="2026-04-28T16:30:00Z">
        <w:r w:rsidRPr="00E81268" w:rsidDel="002B142C">
          <w:delText xml:space="preserve">.  </w:delText>
        </w:r>
      </w:del>
    </w:p>
    <w:p w14:paraId="5E8D5816" w14:textId="0FE4C380" w:rsidR="00A47635" w:rsidRPr="00E81268" w:rsidRDefault="00A47635" w:rsidP="00DA42F5">
      <w:r w:rsidRPr="00E81268">
        <w:t xml:space="preserve">The </w:t>
      </w:r>
      <w:r w:rsidR="00003DA5" w:rsidRPr="00E81268">
        <w:t>fourth</w:t>
      </w:r>
      <w:r w:rsidRPr="00E81268">
        <w:t xml:space="preserve"> part examined longitudinal changes in the human gut resistome using untreated stool samples from all participants using AMRfinder</w:t>
      </w:r>
      <w:r w:rsidR="00C15F0F" w:rsidRPr="00E81268">
        <w:t>+</w:t>
      </w:r>
      <w:r w:rsidRPr="00E81268">
        <w:t xml:space="preserve"> and CARD database.  </w:t>
      </w:r>
    </w:p>
    <w:p w14:paraId="6EC78E3C" w14:textId="4F36A25F" w:rsidR="00801198" w:rsidRPr="00D93D74" w:rsidRDefault="009D2B1C" w:rsidP="00801198">
      <w:pPr>
        <w:pStyle w:val="Napis"/>
      </w:pPr>
      <w:r w:rsidRPr="00D93D74">
        <w:rPr>
          <w:noProof/>
        </w:rPr>
        <w:lastRenderedPageBreak/>
        <w:drawing>
          <wp:inline distT="0" distB="0" distL="0" distR="0" wp14:anchorId="6AC131AA" wp14:editId="3776A8E1">
            <wp:extent cx="5814060" cy="5520906"/>
            <wp:effectExtent l="0" t="0" r="0" b="3810"/>
            <wp:docPr id="7883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32842"/>
                    <a:stretch>
                      <a:fillRect/>
                    </a:stretch>
                  </pic:blipFill>
                  <pic:spPr bwMode="auto">
                    <a:xfrm>
                      <a:off x="0" y="0"/>
                      <a:ext cx="5814060" cy="5520906"/>
                    </a:xfrm>
                    <a:prstGeom prst="rect">
                      <a:avLst/>
                    </a:prstGeom>
                    <a:noFill/>
                    <a:ln>
                      <a:noFill/>
                    </a:ln>
                    <a:extLst>
                      <a:ext uri="{53640926-AAD7-44D8-BBD7-CCE9431645EC}">
                        <a14:shadowObscured xmlns:a14="http://schemas.microsoft.com/office/drawing/2010/main"/>
                      </a:ext>
                    </a:extLst>
                  </pic:spPr>
                </pic:pic>
              </a:graphicData>
            </a:graphic>
          </wp:inline>
        </w:drawing>
      </w:r>
    </w:p>
    <w:p w14:paraId="5048B675" w14:textId="5A1E57CC" w:rsidR="0052596E" w:rsidRPr="00D93D74" w:rsidRDefault="00801198" w:rsidP="00801198">
      <w:pPr>
        <w:pStyle w:val="Napis"/>
        <w:rPr>
          <w:b w:val="0"/>
          <w:bCs/>
        </w:rPr>
      </w:pPr>
      <w:bookmarkStart w:id="269" w:name="_Toc216101615"/>
      <w:r w:rsidRPr="00D93D74">
        <w:t xml:space="preserve">Figure </w:t>
      </w:r>
      <w:r w:rsidRPr="00D93D74">
        <w:fldChar w:fldCharType="begin"/>
      </w:r>
      <w:r w:rsidRPr="00D93D74">
        <w:instrText xml:space="preserve"> SEQ Figure \* ARABIC </w:instrText>
      </w:r>
      <w:r w:rsidRPr="00D93D74">
        <w:fldChar w:fldCharType="separate"/>
      </w:r>
      <w:r w:rsidR="00610A40">
        <w:rPr>
          <w:noProof/>
        </w:rPr>
        <w:t>1</w:t>
      </w:r>
      <w:r w:rsidRPr="00D93D74">
        <w:fldChar w:fldCharType="end"/>
      </w:r>
      <w:r w:rsidRPr="00D93D74">
        <w:t>. Longitudinal study design for characterisation of gut microbiota and sporobiota in stool samples from healthy male individuals.</w:t>
      </w:r>
      <w:bookmarkEnd w:id="269"/>
      <w:r w:rsidR="00ED415C" w:rsidRPr="00D93D74">
        <w:t xml:space="preserve"> </w:t>
      </w:r>
      <w:r w:rsidR="00D660AD" w:rsidRPr="00D93D74">
        <w:rPr>
          <w:b w:val="0"/>
          <w:bCs/>
        </w:rPr>
        <w:t>Created in BioRender</w:t>
      </w:r>
      <w:r w:rsidR="00ED415C" w:rsidRPr="00D93D74">
        <w:rPr>
          <w:b w:val="0"/>
          <w:bCs/>
        </w:rPr>
        <w:t>.</w:t>
      </w:r>
      <w:r w:rsidRPr="00D93D74">
        <w:rPr>
          <w:b w:val="0"/>
          <w:bCs/>
        </w:rPr>
        <w:t xml:space="preserve"> </w:t>
      </w:r>
    </w:p>
    <w:p w14:paraId="79C4D21E" w14:textId="77777777" w:rsidR="00F53307" w:rsidRPr="00D93D74" w:rsidRDefault="00F53307" w:rsidP="00723A85">
      <w:pPr>
        <w:pStyle w:val="FigureTable"/>
        <w:rPr>
          <w:b/>
        </w:rPr>
      </w:pPr>
    </w:p>
    <w:p w14:paraId="5C007660" w14:textId="46C2E47E" w:rsidR="00335EC2" w:rsidRPr="00D93D74" w:rsidRDefault="00092E4B">
      <w:pPr>
        <w:pStyle w:val="Naslov2"/>
        <w:numPr>
          <w:ilvl w:val="1"/>
          <w:numId w:val="3"/>
        </w:numPr>
      </w:pPr>
      <w:bookmarkStart w:id="270" w:name="_Toc212712190"/>
      <w:bookmarkStart w:id="271" w:name="_Toc216099710"/>
      <w:bookmarkStart w:id="272" w:name="_Toc220932832"/>
      <w:bookmarkStart w:id="273" w:name="_Toc228252017"/>
      <w:r w:rsidRPr="00D93D74">
        <w:t>LONGITUDINAL STOOL</w:t>
      </w:r>
      <w:r w:rsidR="009B6064" w:rsidRPr="00D93D74">
        <w:t xml:space="preserve"> SAMPLE</w:t>
      </w:r>
      <w:r w:rsidRPr="00D93D74">
        <w:t xml:space="preserve"> COLLECTION</w:t>
      </w:r>
      <w:bookmarkEnd w:id="241"/>
      <w:bookmarkEnd w:id="270"/>
      <w:bookmarkEnd w:id="271"/>
      <w:bookmarkEnd w:id="272"/>
      <w:bookmarkEnd w:id="273"/>
      <w:r w:rsidRPr="00D93D74">
        <w:t xml:space="preserve"> </w:t>
      </w:r>
    </w:p>
    <w:p w14:paraId="2BFAC87E" w14:textId="1860F9CA" w:rsidR="001312F2" w:rsidRPr="00D93D74" w:rsidRDefault="00555E2B" w:rsidP="00CD77AB">
      <w:pPr>
        <w:rPr>
          <w:rFonts w:cs="Times New Roman"/>
          <w:szCs w:val="24"/>
        </w:rPr>
      </w:pPr>
      <w:bookmarkStart w:id="274" w:name="_Toc184220082"/>
      <w:r w:rsidRPr="00D93D74">
        <w:rPr>
          <w:rFonts w:cs="Times New Roman"/>
          <w:szCs w:val="24"/>
        </w:rPr>
        <w:t xml:space="preserve">Stool samples for this study were collected from nine healthy, unrelated, non-cohabiting male participants aged 25–43, with no gastrointestinal infections or surgeries in the three months preceding the study (Supplement </w:t>
      </w:r>
      <w:del w:id="275" w:author="Urša Miklavčič [2]" w:date="2026-04-21T13:13:00Z" w16du:dateUtc="2026-04-21T11:13:00Z">
        <w:r w:rsidR="001312F2" w:rsidRPr="00D93D74" w:rsidDel="006F1F1B">
          <w:rPr>
            <w:rFonts w:cs="Times New Roman"/>
            <w:szCs w:val="24"/>
          </w:rPr>
          <w:delText xml:space="preserve">A, </w:delText>
        </w:r>
      </w:del>
      <w:r w:rsidRPr="00D93D74">
        <w:rPr>
          <w:rFonts w:cs="Times New Roman"/>
          <w:szCs w:val="24"/>
        </w:rPr>
        <w:t>Table 1, 2).</w:t>
      </w:r>
      <w:r w:rsidR="001312F2" w:rsidRPr="00D93D74">
        <w:rPr>
          <w:rFonts w:cs="Times New Roman"/>
          <w:szCs w:val="24"/>
        </w:rPr>
        <w:t xml:space="preserve"> </w:t>
      </w:r>
      <w:ins w:id="276" w:author="Urša Miklavčič" w:date="2026-04-28T18:31:00Z" w16du:dateUtc="2026-04-28T16:31:00Z">
        <w:r w:rsidR="004F519F">
          <w:rPr>
            <w:rFonts w:cs="Times New Roman"/>
            <w:szCs w:val="24"/>
          </w:rPr>
          <w:t>Individuals A, C, D are co-workers, with A and D also sharing an office</w:t>
        </w:r>
      </w:ins>
      <w:ins w:id="277" w:author="Urša Miklavčič" w:date="2026-04-28T18:32:00Z" w16du:dateUtc="2026-04-28T16:32:00Z">
        <w:r w:rsidR="004F519F">
          <w:rPr>
            <w:rFonts w:cs="Times New Roman"/>
            <w:szCs w:val="24"/>
          </w:rPr>
          <w:t xml:space="preserve">. </w:t>
        </w:r>
      </w:ins>
      <w:ins w:id="278" w:author="Urša Miklavčič" w:date="2026-04-28T18:33:00Z" w16du:dateUtc="2026-04-28T16:33:00Z">
        <w:r w:rsidR="004F519F">
          <w:rPr>
            <w:rFonts w:cs="Times New Roman"/>
            <w:szCs w:val="24"/>
          </w:rPr>
          <w:t xml:space="preserve">Additionally, </w:t>
        </w:r>
      </w:ins>
      <w:ins w:id="279" w:author="Urša Miklavčič" w:date="2026-04-28T18:32:00Z" w16du:dateUtc="2026-04-28T16:32:00Z">
        <w:r w:rsidR="004F519F">
          <w:rPr>
            <w:rFonts w:cs="Times New Roman"/>
            <w:szCs w:val="24"/>
          </w:rPr>
          <w:t xml:space="preserve">individuals E and F also work in the same building. </w:t>
        </w:r>
      </w:ins>
    </w:p>
    <w:p w14:paraId="452D84BB" w14:textId="1592635E" w:rsidR="00DF556E" w:rsidRPr="00D93D74" w:rsidRDefault="00555E2B" w:rsidP="00CD77AB">
      <w:pPr>
        <w:rPr>
          <w:rFonts w:cs="Times New Roman"/>
          <w:szCs w:val="24"/>
        </w:rPr>
      </w:pPr>
      <w:r w:rsidRPr="00D93D74">
        <w:rPr>
          <w:rFonts w:cs="Times New Roman"/>
          <w:szCs w:val="24"/>
        </w:rPr>
        <w:t xml:space="preserve">Stool samples and corresponding questionnaires were collected at 14-day intervals for six months and additionally at pre-determined events: dental hygiene visits, vaccination, minor operative procedures, hospitalisation, single episodes of excessive alcohol consumption, diarrhoea, food </w:t>
      </w:r>
      <w:r w:rsidRPr="00D93D74">
        <w:rPr>
          <w:rFonts w:cs="Times New Roman"/>
          <w:szCs w:val="24"/>
        </w:rPr>
        <w:lastRenderedPageBreak/>
        <w:t>poisoning, antibiotic treatment, or travel.</w:t>
      </w:r>
      <w:r w:rsidR="00A06FFE" w:rsidRPr="00D93D74">
        <w:rPr>
          <w:rFonts w:cs="Times New Roman"/>
          <w:szCs w:val="24"/>
        </w:rPr>
        <w:t xml:space="preserve"> A questionnaire is presented in Supplement </w:t>
      </w:r>
      <w:r w:rsidR="00D660AD" w:rsidRPr="00D93D74">
        <w:rPr>
          <w:rFonts w:cs="Times New Roman"/>
          <w:szCs w:val="24"/>
        </w:rPr>
        <w:t>B</w:t>
      </w:r>
      <w:r w:rsidR="00981828" w:rsidRPr="00D93D74">
        <w:rPr>
          <w:rFonts w:cs="Times New Roman"/>
          <w:szCs w:val="24"/>
        </w:rPr>
        <w:t xml:space="preserve">, it </w:t>
      </w:r>
      <w:r w:rsidR="00A06FFE" w:rsidRPr="00D93D74">
        <w:rPr>
          <w:rFonts w:cs="Times New Roman"/>
          <w:szCs w:val="24"/>
        </w:rPr>
        <w:t>includ</w:t>
      </w:r>
      <w:r w:rsidR="00981828" w:rsidRPr="00D93D74">
        <w:rPr>
          <w:rFonts w:cs="Times New Roman"/>
          <w:szCs w:val="24"/>
        </w:rPr>
        <w:t>ed</w:t>
      </w:r>
      <w:r w:rsidR="00A06FFE" w:rsidRPr="00D93D74">
        <w:rPr>
          <w:rFonts w:cs="Times New Roman"/>
          <w:szCs w:val="24"/>
        </w:rPr>
        <w:t xml:space="preserve"> data on health status and history, diet, and living conditions and nature of </w:t>
      </w:r>
      <w:commentRangeStart w:id="280"/>
      <w:r w:rsidR="00A06FFE" w:rsidRPr="00D93D74">
        <w:rPr>
          <w:rFonts w:cs="Times New Roman"/>
          <w:szCs w:val="24"/>
        </w:rPr>
        <w:t>pre</w:t>
      </w:r>
      <w:r w:rsidR="00DA42F5" w:rsidRPr="00D93D74">
        <w:rPr>
          <w:rFonts w:cs="Times New Roman"/>
          <w:szCs w:val="24"/>
        </w:rPr>
        <w:t>-</w:t>
      </w:r>
      <w:r w:rsidR="00A06FFE" w:rsidRPr="00D93D74">
        <w:rPr>
          <w:rFonts w:cs="Times New Roman"/>
          <w:szCs w:val="24"/>
        </w:rPr>
        <w:t>defined</w:t>
      </w:r>
      <w:commentRangeEnd w:id="280"/>
      <w:r w:rsidR="00E95D46" w:rsidRPr="00D93D74">
        <w:rPr>
          <w:rStyle w:val="Pripombasklic"/>
          <w:rFonts w:cs="Times New Roman"/>
          <w:sz w:val="24"/>
          <w:szCs w:val="24"/>
        </w:rPr>
        <w:commentReference w:id="280"/>
      </w:r>
      <w:r w:rsidR="00E95D46" w:rsidRPr="00D93D74">
        <w:rPr>
          <w:rFonts w:cs="Times New Roman"/>
          <w:szCs w:val="24"/>
        </w:rPr>
        <w:t xml:space="preserve"> events</w:t>
      </w:r>
      <w:r w:rsidR="00A06FFE" w:rsidRPr="00D93D74">
        <w:rPr>
          <w:rFonts w:cs="Times New Roman"/>
          <w:szCs w:val="24"/>
        </w:rPr>
        <w:t>.</w:t>
      </w:r>
      <w:r w:rsidRPr="00D93D74">
        <w:rPr>
          <w:rFonts w:cs="Times New Roman"/>
          <w:szCs w:val="24"/>
        </w:rPr>
        <w:t xml:space="preserve"> Participants used sterile collection containers and delivered the samples to the laboratory within a few hours of collection. If immediate delivery was not possible, samples were stored at -20 °C until transport. Upon receipt, each sample was </w:t>
      </w:r>
      <w:r w:rsidR="00DA42F5" w:rsidRPr="00D93D74">
        <w:rPr>
          <w:rFonts w:cs="Times New Roman"/>
          <w:szCs w:val="24"/>
        </w:rPr>
        <w:t>homogenized</w:t>
      </w:r>
      <w:r w:rsidRPr="00D93D74">
        <w:rPr>
          <w:rFonts w:cs="Times New Roman"/>
          <w:szCs w:val="24"/>
        </w:rPr>
        <w:t xml:space="preserve">, divided into five aliquots (one 10 µl inoculation loop per aliquot), and stored at -80 °C. </w:t>
      </w:r>
    </w:p>
    <w:p w14:paraId="7AD69601" w14:textId="3C7DE7AC" w:rsidR="00281EC3" w:rsidRPr="00D93D74" w:rsidRDefault="00555E2B" w:rsidP="00CD77AB">
      <w:pPr>
        <w:rPr>
          <w:rFonts w:cs="Times New Roman"/>
          <w:szCs w:val="24"/>
        </w:rPr>
      </w:pPr>
      <w:r w:rsidRPr="00D93D74">
        <w:rPr>
          <w:rFonts w:cs="Times New Roman"/>
          <w:szCs w:val="24"/>
        </w:rPr>
        <w:t>Ethical approval was obtained from the National Medical Ethics Committee of the Republic of Slovenia (0120-280/2022/6).</w:t>
      </w:r>
    </w:p>
    <w:p w14:paraId="0FA2E2F8" w14:textId="490F9BC8" w:rsidR="00C6265A" w:rsidRPr="00D93D74" w:rsidRDefault="00C6265A" w:rsidP="00CD77AB">
      <w:pPr>
        <w:rPr>
          <w:rFonts w:cs="Times New Roman"/>
          <w:szCs w:val="24"/>
        </w:rPr>
      </w:pPr>
    </w:p>
    <w:p w14:paraId="3C6BADB7" w14:textId="7A6D7645" w:rsidR="00C6265A" w:rsidRPr="00D93D74" w:rsidRDefault="00C6265A">
      <w:pPr>
        <w:pStyle w:val="Naslov2"/>
        <w:numPr>
          <w:ilvl w:val="1"/>
          <w:numId w:val="3"/>
        </w:numPr>
      </w:pPr>
      <w:bookmarkStart w:id="281" w:name="_Toc216099711"/>
      <w:bookmarkStart w:id="282" w:name="_Toc220932833"/>
      <w:bookmarkStart w:id="283" w:name="_Toc212712191"/>
      <w:bookmarkStart w:id="284" w:name="_Toc228252018"/>
      <w:r w:rsidRPr="00D93D74">
        <w:t>COMPARISON AND OPTIMIZATION OF PROTOCOLS FOR DNA ISOLATION</w:t>
      </w:r>
      <w:bookmarkEnd w:id="281"/>
      <w:bookmarkEnd w:id="282"/>
      <w:bookmarkEnd w:id="284"/>
    </w:p>
    <w:p w14:paraId="25F0D3C2" w14:textId="4CFD7380" w:rsidR="00281EC3" w:rsidRPr="00D93D74" w:rsidRDefault="00C6265A">
      <w:pPr>
        <w:pStyle w:val="Naslov3"/>
        <w:numPr>
          <w:ilvl w:val="2"/>
          <w:numId w:val="3"/>
        </w:numPr>
      </w:pPr>
      <w:bookmarkStart w:id="285" w:name="_Toc216099712"/>
      <w:bookmarkStart w:id="286" w:name="_Toc220932834"/>
      <w:bookmarkStart w:id="287" w:name="_Toc228252019"/>
      <w:r w:rsidRPr="00D93D74">
        <w:t xml:space="preserve">Comparison of isolation protocols for bacterial </w:t>
      </w:r>
      <w:r w:rsidR="00F53307" w:rsidRPr="00D93D74">
        <w:t>DNA</w:t>
      </w:r>
      <w:r w:rsidRPr="00D93D74">
        <w:t xml:space="preserve"> from human stool samples</w:t>
      </w:r>
      <w:bookmarkEnd w:id="274"/>
      <w:bookmarkEnd w:id="283"/>
      <w:bookmarkEnd w:id="285"/>
      <w:bookmarkEnd w:id="286"/>
      <w:bookmarkEnd w:id="287"/>
    </w:p>
    <w:p w14:paraId="3128BDD9" w14:textId="42C80E35" w:rsidR="00281EC3" w:rsidRPr="00D93D74" w:rsidRDefault="00B23A3C" w:rsidP="00CD77AB">
      <w:pPr>
        <w:rPr>
          <w:rFonts w:cs="Times New Roman"/>
          <w:szCs w:val="24"/>
        </w:rPr>
      </w:pPr>
      <w:r w:rsidRPr="00D93D74">
        <w:rPr>
          <w:rFonts w:cs="Times New Roman"/>
          <w:szCs w:val="24"/>
        </w:rPr>
        <w:t>We compared four DNA isolation protocols: QIAamp PowerFecal Pro DNA Kit</w:t>
      </w:r>
      <w:r w:rsidR="007B5A5E" w:rsidRPr="00D93D74">
        <w:rPr>
          <w:rFonts w:cs="Times New Roman"/>
          <w:szCs w:val="24"/>
        </w:rPr>
        <w:t xml:space="preserve"> (Qiagen, Germany)</w:t>
      </w:r>
      <w:r w:rsidRPr="00D93D74">
        <w:rPr>
          <w:rFonts w:cs="Times New Roman"/>
          <w:szCs w:val="24"/>
        </w:rPr>
        <w:t xml:space="preserve">, QIAamp Fast DNA Stool Mini Kit (Qiagen, Germany), NucleoSpin Soil Mini Kit (Macherey-Nagel, Germany), and an in-house protocol based on the DNeasy Blood &amp; Tissue Kit (Qiagen, Germany) (Supplement Table 3). DNA was isolated in triplicate from three stool samples and a negative control containing 250 µl nuclease-free water. </w:t>
      </w:r>
      <w:r w:rsidR="00555E2B" w:rsidRPr="00D93D74">
        <w:rPr>
          <w:rFonts w:cs="Times New Roman"/>
          <w:szCs w:val="24"/>
        </w:rPr>
        <w:t>S</w:t>
      </w:r>
      <w:r w:rsidRPr="00D93D74">
        <w:rPr>
          <w:rFonts w:cs="Times New Roman"/>
          <w:szCs w:val="24"/>
        </w:rPr>
        <w:t xml:space="preserve">amples were </w:t>
      </w:r>
      <w:r w:rsidR="00555E2B" w:rsidRPr="00D93D74">
        <w:rPr>
          <w:rFonts w:cs="Times New Roman"/>
          <w:szCs w:val="24"/>
        </w:rPr>
        <w:t>processed</w:t>
      </w:r>
      <w:r w:rsidRPr="00D93D74">
        <w:rPr>
          <w:rFonts w:cs="Times New Roman"/>
          <w:szCs w:val="24"/>
        </w:rPr>
        <w:t xml:space="preserve"> according to the manufacturer’s instructions</w:t>
      </w:r>
      <w:r w:rsidR="00555E2B" w:rsidRPr="00D93D74">
        <w:rPr>
          <w:rFonts w:cs="Times New Roman"/>
          <w:szCs w:val="24"/>
        </w:rPr>
        <w:t>,</w:t>
      </w:r>
      <w:r w:rsidRPr="00D93D74">
        <w:rPr>
          <w:rFonts w:cs="Times New Roman"/>
          <w:szCs w:val="24"/>
        </w:rPr>
        <w:t xml:space="preserve"> with the following modification: for the FastDNA and DNeasy protocols, additional mechanical lysis </w:t>
      </w:r>
      <w:r w:rsidR="00555E2B" w:rsidRPr="00D93D74">
        <w:rPr>
          <w:rFonts w:cs="Times New Roman"/>
          <w:szCs w:val="24"/>
        </w:rPr>
        <w:t xml:space="preserve">was performed using </w:t>
      </w:r>
      <w:r w:rsidRPr="00D93D74">
        <w:rPr>
          <w:rFonts w:cs="Times New Roman"/>
          <w:szCs w:val="24"/>
        </w:rPr>
        <w:t>a mixture of 0.1 mm and 0.5 mm zirconia beads in equal parts</w:t>
      </w:r>
      <w:r w:rsidR="00555E2B" w:rsidRPr="00D93D74">
        <w:rPr>
          <w:rFonts w:cs="Times New Roman"/>
          <w:szCs w:val="24"/>
        </w:rPr>
        <w:t xml:space="preserve"> </w:t>
      </w:r>
      <w:r w:rsidRPr="00D93D74">
        <w:rPr>
          <w:rFonts w:cs="Times New Roman"/>
          <w:szCs w:val="24"/>
        </w:rPr>
        <w:t xml:space="preserve">on a MagnaLyser for 30 seconds at 7000 rpm. DNA was </w:t>
      </w:r>
      <w:r w:rsidR="00555E2B" w:rsidRPr="00D93D74">
        <w:rPr>
          <w:rFonts w:cs="Times New Roman"/>
          <w:szCs w:val="24"/>
        </w:rPr>
        <w:t xml:space="preserve">eluted </w:t>
      </w:r>
      <w:r w:rsidRPr="00D93D74">
        <w:rPr>
          <w:rFonts w:cs="Times New Roman"/>
          <w:szCs w:val="24"/>
        </w:rPr>
        <w:t>in 100 µl nuclease-free water. DNA concentration was measured using the Quant-iT™ PicoGreen™ dsDNA Assay and dsDNA Reagents (Invitrogen™, US</w:t>
      </w:r>
      <w:ins w:id="288" w:author="Urša Miklavčič" w:date="2026-04-28T18:33:00Z" w16du:dateUtc="2026-04-28T16:33:00Z">
        <w:r w:rsidR="0023210F">
          <w:rPr>
            <w:rFonts w:cs="Times New Roman"/>
            <w:szCs w:val="24"/>
          </w:rPr>
          <w:t>A</w:t>
        </w:r>
      </w:ins>
      <w:r w:rsidRPr="00D93D74">
        <w:rPr>
          <w:rFonts w:cs="Times New Roman"/>
          <w:szCs w:val="24"/>
        </w:rPr>
        <w:t>).</w:t>
      </w:r>
    </w:p>
    <w:p w14:paraId="6AFC1D32" w14:textId="77777777" w:rsidR="00092E4B" w:rsidRPr="00D93D74" w:rsidRDefault="00092E4B" w:rsidP="00CD77AB">
      <w:pPr>
        <w:rPr>
          <w:rFonts w:cs="Times New Roman"/>
          <w:szCs w:val="24"/>
        </w:rPr>
      </w:pPr>
    </w:p>
    <w:p w14:paraId="09D11544" w14:textId="2A8020E2" w:rsidR="004B1C68" w:rsidRPr="00D93D74" w:rsidRDefault="007B5A5E">
      <w:pPr>
        <w:pStyle w:val="Naslov3"/>
        <w:numPr>
          <w:ilvl w:val="2"/>
          <w:numId w:val="3"/>
        </w:numPr>
      </w:pPr>
      <w:bookmarkStart w:id="289" w:name="_Toc220932835"/>
      <w:bookmarkStart w:id="290" w:name="_Toc212712192"/>
      <w:bookmarkStart w:id="291" w:name="_Toc228252020"/>
      <w:r w:rsidRPr="00D93D74">
        <w:t>Optimization of removal of vegetative cells and their DNA from stool samples</w:t>
      </w:r>
      <w:bookmarkEnd w:id="289"/>
      <w:bookmarkEnd w:id="291"/>
      <w:r w:rsidRPr="00D93D74">
        <w:t xml:space="preserve"> </w:t>
      </w:r>
      <w:r w:rsidR="004E2BD3" w:rsidRPr="00D93D74">
        <w:t xml:space="preserve"> </w:t>
      </w:r>
      <w:bookmarkEnd w:id="290"/>
    </w:p>
    <w:p w14:paraId="4CBE953B" w14:textId="25457AF6" w:rsidR="004F2442" w:rsidRPr="00D93D74" w:rsidRDefault="00333FFC" w:rsidP="00CD77AB">
      <w:bookmarkStart w:id="292" w:name="_Hlk184885436"/>
      <w:r w:rsidRPr="00D93D74">
        <w:t xml:space="preserve">To obtain DNA from spores and other resistant cell forms we </w:t>
      </w:r>
      <w:r w:rsidR="00555E2B" w:rsidRPr="00D93D74">
        <w:t xml:space="preserve">compared heat and ethanol shock treatments </w:t>
      </w:r>
      <w:r w:rsidRPr="00D93D74">
        <w:t>o</w:t>
      </w:r>
      <w:r w:rsidR="005610BB" w:rsidRPr="00D93D74">
        <w:t>n</w:t>
      </w:r>
      <w:r w:rsidR="00555E2B" w:rsidRPr="00D93D74">
        <w:t xml:space="preserve"> stool samples</w:t>
      </w:r>
      <w:r w:rsidR="005610BB" w:rsidRPr="00D93D74">
        <w:t>, to damage vegetative cells</w:t>
      </w:r>
      <w:r w:rsidR="00555E2B" w:rsidRPr="00D93D74">
        <w:t xml:space="preserve">. Additionally, we used ethidium bromide monoazide (EMA) to remove free DNA and DNA from damaged </w:t>
      </w:r>
      <w:r w:rsidRPr="00D93D74">
        <w:t xml:space="preserve">(vegetative) </w:t>
      </w:r>
      <w:r w:rsidR="00555E2B" w:rsidRPr="00D93D74">
        <w:t>cells. EMA binds to free DNA and can enter damaged cells, where, under light exposure, it cleaves double-stranded DNA, rendering it unsuitable for PCR or sequencing. To minimise DNA fragmentation during extraction, we also optimised the bead-beating procedure.</w:t>
      </w:r>
    </w:p>
    <w:bookmarkEnd w:id="292"/>
    <w:p w14:paraId="453B49EB" w14:textId="304B4890" w:rsidR="004E2BD3" w:rsidRPr="00D93D74" w:rsidRDefault="00032A34" w:rsidP="004E2BD3">
      <w:pPr>
        <w:rPr>
          <w:rFonts w:cs="Times New Roman"/>
          <w:szCs w:val="24"/>
        </w:rPr>
      </w:pPr>
      <w:commentRangeStart w:id="293"/>
      <w:commentRangeStart w:id="294"/>
      <w:r w:rsidRPr="00D93D74">
        <w:rPr>
          <w:rFonts w:cs="Times New Roman"/>
          <w:szCs w:val="24"/>
        </w:rPr>
        <w:t>Two s</w:t>
      </w:r>
      <w:r w:rsidR="00555E2B" w:rsidRPr="00D93D74">
        <w:rPr>
          <w:rFonts w:cs="Times New Roman"/>
          <w:szCs w:val="24"/>
        </w:rPr>
        <w:t xml:space="preserve">tool aliquots </w:t>
      </w:r>
      <w:ins w:id="295" w:author="Urša Miklavčič" w:date="2026-04-28T18:36:00Z" w16du:dateUtc="2026-04-28T16:36:00Z">
        <w:r w:rsidR="0023210F">
          <w:rPr>
            <w:rFonts w:cs="Times New Roman"/>
            <w:szCs w:val="24"/>
          </w:rPr>
          <w:t xml:space="preserve">in duplicates </w:t>
        </w:r>
      </w:ins>
      <w:r w:rsidR="00555E2B" w:rsidRPr="00D93D74">
        <w:rPr>
          <w:rFonts w:cs="Times New Roman"/>
          <w:szCs w:val="24"/>
        </w:rPr>
        <w:t xml:space="preserve">were </w:t>
      </w:r>
      <w:r w:rsidR="00DA42F5" w:rsidRPr="00D93D74">
        <w:rPr>
          <w:rFonts w:cs="Times New Roman"/>
          <w:szCs w:val="24"/>
        </w:rPr>
        <w:t xml:space="preserve">each </w:t>
      </w:r>
      <w:r w:rsidR="00555E2B" w:rsidRPr="00D93D74">
        <w:rPr>
          <w:rFonts w:cs="Times New Roman"/>
          <w:szCs w:val="24"/>
        </w:rPr>
        <w:t xml:space="preserve">resuspended in </w:t>
      </w:r>
      <w:del w:id="296" w:author="Urša Miklavčič" w:date="2026-04-28T18:38:00Z" w16du:dateUtc="2026-04-28T16:38:00Z">
        <w:r w:rsidRPr="00D93D74" w:rsidDel="0023210F">
          <w:rPr>
            <w:rFonts w:cs="Times New Roman"/>
            <w:szCs w:val="24"/>
          </w:rPr>
          <w:delText xml:space="preserve">duplicates </w:delText>
        </w:r>
        <w:commentRangeEnd w:id="293"/>
        <w:r w:rsidR="0023210F" w:rsidRPr="00D93D74" w:rsidDel="0023210F">
          <w:rPr>
            <w:rStyle w:val="Pripombasklic"/>
            <w:rFonts w:cs="Times New Roman"/>
            <w:sz w:val="24"/>
            <w:szCs w:val="24"/>
          </w:rPr>
          <w:commentReference w:id="293"/>
        </w:r>
        <w:commentRangeEnd w:id="294"/>
        <w:r w:rsidR="00702F47" w:rsidRPr="00D93D74" w:rsidDel="0023210F">
          <w:rPr>
            <w:rStyle w:val="Pripombasklic"/>
            <w:rFonts w:cs="Times New Roman"/>
            <w:sz w:val="24"/>
            <w:szCs w:val="24"/>
          </w:rPr>
          <w:commentReference w:id="294"/>
        </w:r>
      </w:del>
      <w:r w:rsidR="00555E2B" w:rsidRPr="00D93D74">
        <w:rPr>
          <w:rFonts w:cs="Times New Roman"/>
          <w:szCs w:val="24"/>
        </w:rPr>
        <w:t>1.5 ml of 70% ethanol for 24 hours or subjected to heat shock at 80 °C for 30 minutes</w:t>
      </w:r>
      <w:r w:rsidR="007B5A5E" w:rsidRPr="00D93D74">
        <w:rPr>
          <w:rFonts w:cs="Times New Roman"/>
          <w:szCs w:val="24"/>
        </w:rPr>
        <w:t>, based on previous cultivation experiments with spore-forming bacteria</w:t>
      </w:r>
      <w:r w:rsidRPr="00D93D74">
        <w:rPr>
          <w:rFonts w:cs="Times New Roman"/>
          <w:szCs w:val="24"/>
        </w:rPr>
        <w:t xml:space="preserve"> (Supplement </w:t>
      </w:r>
      <w:r w:rsidR="005610BB" w:rsidRPr="00D93D74">
        <w:rPr>
          <w:rFonts w:cs="Times New Roman"/>
          <w:szCs w:val="24"/>
        </w:rPr>
        <w:t>T</w:t>
      </w:r>
      <w:r w:rsidRPr="00D93D74">
        <w:rPr>
          <w:rFonts w:cs="Times New Roman"/>
          <w:szCs w:val="24"/>
        </w:rPr>
        <w:t>ext 1)</w:t>
      </w:r>
      <w:r w:rsidR="00555E2B" w:rsidRPr="00D93D74">
        <w:rPr>
          <w:rFonts w:cs="Times New Roman"/>
          <w:szCs w:val="24"/>
        </w:rPr>
        <w:t xml:space="preserve">. After treatment, samples were washed three times with nuclease-free water. For EMA treatment, samples were incubated with 2.5 ng/µl EMA in the dark for 5 minutes, then illuminated on ice for 5, 10, or 15 minutes using an 8000-lumen light source. Controls included untreated stool samples and heat- or ethanol-shocked samples washed only with water but without EMA treatment, as EMA-efficiency controls. DNA was isolated using </w:t>
      </w:r>
      <w:r w:rsidR="00555E2B" w:rsidRPr="00D93D74">
        <w:rPr>
          <w:rFonts w:cs="Times New Roman"/>
          <w:szCs w:val="24"/>
        </w:rPr>
        <w:lastRenderedPageBreak/>
        <w:t>the MasterPure™ Complete DNA and RNA Purification Kit (Lucigen, USA). Prior to isolation, samples underwent bead-beating in Cell Lysis Solution with 0.5 g of 0.5 mm silica beads using a MagNA Lyser (Roche Diagnostics, Germany) at 7000 rpm. Bead-beating was performed for 70 seconds for the initial comparison and subsequently optimised to two cycles of 30 seconds at 7000 rpm to reduce DNA shearing. DNA quality was assessed by gel electrophoresis for fragmentation and by the absorbance ratio at 260/280 to estimate protein contamination.</w:t>
      </w:r>
      <w:r w:rsidR="005610BB" w:rsidRPr="00D93D74">
        <w:rPr>
          <w:rFonts w:cs="Times New Roman"/>
          <w:szCs w:val="24"/>
        </w:rPr>
        <w:t xml:space="preserve"> DNA concentration was measured using the Quant-iT™ PicoGreen™ dsDNA Assay (Thermo Fisher Scientific, USA).</w:t>
      </w:r>
    </w:p>
    <w:p w14:paraId="4F88564C" w14:textId="42DECB0E" w:rsidR="004E2BD3" w:rsidRPr="00D93D74" w:rsidRDefault="00032A34" w:rsidP="004E2BD3">
      <w:pPr>
        <w:rPr>
          <w:rFonts w:cs="Times New Roman"/>
          <w:szCs w:val="24"/>
        </w:rPr>
      </w:pPr>
      <w:r w:rsidRPr="00D93D74">
        <w:rPr>
          <w:rFonts w:cs="Times New Roman"/>
          <w:szCs w:val="24"/>
        </w:rPr>
        <w:t>E</w:t>
      </w:r>
      <w:r w:rsidR="00555E2B" w:rsidRPr="00D93D74">
        <w:rPr>
          <w:rFonts w:cs="Times New Roman"/>
          <w:szCs w:val="24"/>
        </w:rPr>
        <w:t xml:space="preserve">thanol shock combined with EMA treatment (10-minute illumination) and the optimised bead-beating protocol </w:t>
      </w:r>
      <w:r w:rsidR="005610BB" w:rsidRPr="00D93D74">
        <w:rPr>
          <w:rFonts w:cs="Times New Roman"/>
          <w:szCs w:val="24"/>
        </w:rPr>
        <w:t xml:space="preserve">(2 x 30 s at 7000 rpm) </w:t>
      </w:r>
      <w:r w:rsidR="00555E2B" w:rsidRPr="00D93D74">
        <w:rPr>
          <w:rFonts w:cs="Times New Roman"/>
          <w:szCs w:val="24"/>
        </w:rPr>
        <w:t xml:space="preserve">was </w:t>
      </w:r>
      <w:r w:rsidRPr="00D93D74">
        <w:rPr>
          <w:rFonts w:cs="Times New Roman"/>
          <w:szCs w:val="24"/>
        </w:rPr>
        <w:t xml:space="preserve">selected for isolation of </w:t>
      </w:r>
      <w:r w:rsidR="005610BB" w:rsidRPr="00D93D74">
        <w:rPr>
          <w:rFonts w:cs="Times New Roman"/>
          <w:szCs w:val="24"/>
        </w:rPr>
        <w:t xml:space="preserve">ethanol treated </w:t>
      </w:r>
      <w:r w:rsidRPr="00D93D74">
        <w:rPr>
          <w:rFonts w:cs="Times New Roman"/>
          <w:szCs w:val="24"/>
        </w:rPr>
        <w:t>samples</w:t>
      </w:r>
      <w:r w:rsidR="005610BB" w:rsidRPr="00D93D74">
        <w:rPr>
          <w:rFonts w:cs="Times New Roman"/>
          <w:szCs w:val="24"/>
        </w:rPr>
        <w:t xml:space="preserve"> from the longitudinal cohort</w:t>
      </w:r>
      <w:r w:rsidR="00555E2B" w:rsidRPr="00D93D74">
        <w:rPr>
          <w:rFonts w:cs="Times New Roman"/>
          <w:szCs w:val="24"/>
        </w:rPr>
        <w:t>. Isolated DNA was stored at -80 °C until further use.</w:t>
      </w:r>
    </w:p>
    <w:p w14:paraId="7BF15B89" w14:textId="77777777" w:rsidR="00B11A96" w:rsidRPr="00D93D74" w:rsidRDefault="00B11A96" w:rsidP="00CD77AB">
      <w:pPr>
        <w:rPr>
          <w:rFonts w:cs="Times New Roman"/>
          <w:szCs w:val="24"/>
        </w:rPr>
      </w:pPr>
    </w:p>
    <w:p w14:paraId="2B3BA2B7" w14:textId="668ED1CD" w:rsidR="00173621" w:rsidRPr="00D93D74" w:rsidRDefault="00173621">
      <w:pPr>
        <w:pStyle w:val="Naslov2"/>
        <w:numPr>
          <w:ilvl w:val="1"/>
          <w:numId w:val="3"/>
        </w:numPr>
      </w:pPr>
      <w:bookmarkStart w:id="297" w:name="_Toc212712195"/>
      <w:bookmarkStart w:id="298" w:name="_Toc216099714"/>
      <w:bookmarkStart w:id="299" w:name="_Toc220932836"/>
      <w:bookmarkStart w:id="300" w:name="_Toc228252021"/>
      <w:r w:rsidRPr="00D93D74">
        <w:t>DNA ISOLATION</w:t>
      </w:r>
      <w:bookmarkEnd w:id="297"/>
      <w:bookmarkEnd w:id="298"/>
      <w:bookmarkEnd w:id="299"/>
      <w:bookmarkEnd w:id="300"/>
    </w:p>
    <w:p w14:paraId="734125BB" w14:textId="261FA633" w:rsidR="008A0D22" w:rsidRPr="00D93D74" w:rsidRDefault="008A0D22">
      <w:pPr>
        <w:pStyle w:val="Naslov3"/>
        <w:numPr>
          <w:ilvl w:val="2"/>
          <w:numId w:val="3"/>
        </w:numPr>
      </w:pPr>
      <w:bookmarkStart w:id="301" w:name="_Toc212712196"/>
      <w:bookmarkStart w:id="302" w:name="_Toc216099715"/>
      <w:bookmarkStart w:id="303" w:name="_Toc220932837"/>
      <w:bookmarkStart w:id="304" w:name="_Toc228252022"/>
      <w:commentRangeStart w:id="305"/>
      <w:r w:rsidRPr="00D93D74">
        <w:t xml:space="preserve">DNA isolation </w:t>
      </w:r>
      <w:r w:rsidR="00702F47" w:rsidRPr="00D93D74">
        <w:t>from</w:t>
      </w:r>
      <w:r w:rsidR="000D1D0F" w:rsidRPr="00D93D74">
        <w:t xml:space="preserve"> stool sample</w:t>
      </w:r>
      <w:bookmarkEnd w:id="301"/>
      <w:r w:rsidR="00555E2B" w:rsidRPr="00D93D74">
        <w:t>s</w:t>
      </w:r>
      <w:bookmarkEnd w:id="302"/>
      <w:bookmarkEnd w:id="303"/>
      <w:bookmarkEnd w:id="304"/>
      <w:commentRangeEnd w:id="305"/>
      <w:r w:rsidR="00702F47" w:rsidRPr="00D93D74">
        <w:rPr>
          <w:rStyle w:val="Pripombasklic"/>
          <w:sz w:val="24"/>
          <w:szCs w:val="22"/>
        </w:rPr>
        <w:commentReference w:id="305"/>
      </w:r>
    </w:p>
    <w:p w14:paraId="4E086711" w14:textId="61F1235B" w:rsidR="00FA776C" w:rsidRPr="00D93D74" w:rsidRDefault="00790079" w:rsidP="00CD77AB">
      <w:pPr>
        <w:rPr>
          <w:rFonts w:cs="Times New Roman"/>
          <w:szCs w:val="24"/>
        </w:rPr>
      </w:pPr>
      <w:r w:rsidRPr="00D93D74">
        <w:rPr>
          <w:rFonts w:cs="Times New Roman"/>
          <w:szCs w:val="24"/>
        </w:rPr>
        <w:t xml:space="preserve">DNA </w:t>
      </w:r>
      <w:r w:rsidR="00B41263" w:rsidRPr="00D93D74">
        <w:rPr>
          <w:rFonts w:cs="Times New Roman"/>
          <w:szCs w:val="24"/>
        </w:rPr>
        <w:t xml:space="preserve">from untreated stool samples </w:t>
      </w:r>
      <w:r w:rsidRPr="00D93D74">
        <w:rPr>
          <w:rFonts w:cs="Times New Roman"/>
          <w:szCs w:val="24"/>
        </w:rPr>
        <w:t xml:space="preserve">was isolated </w:t>
      </w:r>
      <w:r w:rsidR="00DA42F5" w:rsidRPr="00D93D74">
        <w:rPr>
          <w:rFonts w:cs="Times New Roman"/>
          <w:szCs w:val="24"/>
        </w:rPr>
        <w:t xml:space="preserve">from an entire aliquot (one full 10 µl inoculation loop of stool) </w:t>
      </w:r>
      <w:r w:rsidRPr="00D93D74">
        <w:rPr>
          <w:rFonts w:cs="Times New Roman"/>
          <w:szCs w:val="24"/>
        </w:rPr>
        <w:t>using the PowerFecal Kit (Qiagen, Germany) according to the manufacturer’s instructions, eluted in 100 µl nuclease-free water, and stored at -80 °C. DNA concentration was measured using the Quant-iT™ PicoGreen™ dsDNA Assay (Thermo Fisher Scientific, USA).</w:t>
      </w:r>
    </w:p>
    <w:p w14:paraId="29D64C74" w14:textId="77777777" w:rsidR="00173621" w:rsidRPr="00D93D74" w:rsidRDefault="00173621" w:rsidP="00CD77AB">
      <w:pPr>
        <w:rPr>
          <w:rFonts w:cs="Times New Roman"/>
          <w:szCs w:val="24"/>
        </w:rPr>
      </w:pPr>
    </w:p>
    <w:p w14:paraId="1FA21D63" w14:textId="5BB07856" w:rsidR="0055077B" w:rsidRPr="00D93D74" w:rsidRDefault="00790079">
      <w:pPr>
        <w:pStyle w:val="Naslov3"/>
        <w:numPr>
          <w:ilvl w:val="2"/>
          <w:numId w:val="3"/>
        </w:numPr>
      </w:pPr>
      <w:bookmarkStart w:id="306" w:name="_Toc216099716"/>
      <w:bookmarkStart w:id="307" w:name="_Toc220932838"/>
      <w:bookmarkStart w:id="308" w:name="_Toc228252023"/>
      <w:r w:rsidRPr="00D93D74">
        <w:t>DNA isolation from pure bacterial cultures</w:t>
      </w:r>
      <w:bookmarkEnd w:id="306"/>
      <w:bookmarkEnd w:id="307"/>
      <w:bookmarkEnd w:id="308"/>
    </w:p>
    <w:p w14:paraId="5695D7D7" w14:textId="7FF4290D" w:rsidR="000E6005" w:rsidRPr="00D93D74" w:rsidRDefault="00790079" w:rsidP="00CD77AB">
      <w:pPr>
        <w:rPr>
          <w:rFonts w:cs="Times New Roman"/>
          <w:szCs w:val="24"/>
        </w:rPr>
      </w:pPr>
      <w:r w:rsidRPr="00D93D74">
        <w:rPr>
          <w:rFonts w:cs="Times New Roman"/>
          <w:szCs w:val="24"/>
        </w:rPr>
        <w:t>Genomic DNA from pure bacterial cultures was isolated using a QIAamp DNA Mini Kit (</w:t>
      </w:r>
      <w:r w:rsidR="00555E2B" w:rsidRPr="00D93D74">
        <w:rPr>
          <w:rFonts w:cs="Times New Roman"/>
          <w:szCs w:val="24"/>
        </w:rPr>
        <w:t>Qiagen</w:t>
      </w:r>
      <w:r w:rsidRPr="00D93D74">
        <w:rPr>
          <w:rFonts w:cs="Times New Roman"/>
          <w:szCs w:val="24"/>
        </w:rPr>
        <w:t xml:space="preserve">, Germany) </w:t>
      </w:r>
      <w:r w:rsidR="00555E2B" w:rsidRPr="00D93D74">
        <w:rPr>
          <w:rFonts w:cs="Times New Roman"/>
          <w:szCs w:val="24"/>
        </w:rPr>
        <w:t>with</w:t>
      </w:r>
      <w:r w:rsidRPr="00D93D74">
        <w:rPr>
          <w:rFonts w:cs="Times New Roman"/>
          <w:szCs w:val="24"/>
        </w:rPr>
        <w:t xml:space="preserve"> one </w:t>
      </w:r>
      <w:r w:rsidR="00702F47" w:rsidRPr="00D93D74">
        <w:rPr>
          <w:rFonts w:cs="Times New Roman"/>
          <w:szCs w:val="24"/>
        </w:rPr>
        <w:t xml:space="preserve">full </w:t>
      </w:r>
      <w:r w:rsidRPr="00D93D74">
        <w:rPr>
          <w:rFonts w:cs="Times New Roman"/>
          <w:szCs w:val="24"/>
        </w:rPr>
        <w:t>10 µl inoculation loop of overnight culture. DNA was eluted in 50 µl nuclease-free water</w:t>
      </w:r>
      <w:r w:rsidR="00032A34" w:rsidRPr="00D93D74">
        <w:rPr>
          <w:rFonts w:cs="Times New Roman"/>
          <w:szCs w:val="24"/>
        </w:rPr>
        <w:t xml:space="preserve"> and stored at -20 °C</w:t>
      </w:r>
      <w:r w:rsidRPr="00D93D74">
        <w:rPr>
          <w:rFonts w:cs="Times New Roman"/>
          <w:szCs w:val="24"/>
        </w:rPr>
        <w:t xml:space="preserve">. DNA concentration was measured with the Quant-iT™ PicoGreen™ dsDNA Assay (Thermo Fisher Scientific, USA). </w:t>
      </w:r>
    </w:p>
    <w:p w14:paraId="57967FB2" w14:textId="77777777" w:rsidR="00173621" w:rsidRPr="00D93D74" w:rsidRDefault="00173621" w:rsidP="00CD77AB">
      <w:pPr>
        <w:rPr>
          <w:rFonts w:cs="Times New Roman"/>
          <w:szCs w:val="24"/>
        </w:rPr>
      </w:pPr>
    </w:p>
    <w:p w14:paraId="10053271" w14:textId="5E456636" w:rsidR="0055077B" w:rsidRPr="00D93D74" w:rsidRDefault="00173621">
      <w:pPr>
        <w:pStyle w:val="Naslov2"/>
        <w:numPr>
          <w:ilvl w:val="1"/>
          <w:numId w:val="3"/>
        </w:numPr>
      </w:pPr>
      <w:bookmarkStart w:id="309" w:name="_Toc212712200"/>
      <w:bookmarkStart w:id="310" w:name="_Toc216099717"/>
      <w:bookmarkStart w:id="311" w:name="_Toc220932839"/>
      <w:bookmarkStart w:id="312" w:name="_Toc228252024"/>
      <w:r w:rsidRPr="00D93D74">
        <w:t xml:space="preserve">ABSOLUTE QUANTIFICATION OF THE 16S </w:t>
      </w:r>
      <w:r w:rsidR="00AB497D" w:rsidRPr="00D93D74">
        <w:t>r</w:t>
      </w:r>
      <w:r w:rsidRPr="00D93D74">
        <w:t xml:space="preserve">RNA GENE IN </w:t>
      </w:r>
      <w:r w:rsidR="00B41263" w:rsidRPr="00D93D74">
        <w:t>UNTREATED</w:t>
      </w:r>
      <w:r w:rsidRPr="00D93D74">
        <w:t xml:space="preserve"> AND ETHANOL TREATED SAMPLES USING DROPLET DIGITAL PCR</w:t>
      </w:r>
      <w:bookmarkEnd w:id="309"/>
      <w:bookmarkEnd w:id="310"/>
      <w:bookmarkEnd w:id="311"/>
      <w:bookmarkEnd w:id="312"/>
    </w:p>
    <w:p w14:paraId="0521658F" w14:textId="5784CE11" w:rsidR="00DA42F5" w:rsidRPr="00D93D74" w:rsidRDefault="009D4C3B" w:rsidP="00EF00DB">
      <w:pPr>
        <w:rPr>
          <w:rFonts w:cs="Times New Roman"/>
          <w:szCs w:val="24"/>
        </w:rPr>
      </w:pPr>
      <w:r w:rsidRPr="00D93D74">
        <w:rPr>
          <w:rFonts w:cs="Times New Roman"/>
          <w:szCs w:val="24"/>
        </w:rPr>
        <w:t xml:space="preserve">Droplet digital PCR </w:t>
      </w:r>
      <w:r w:rsidR="00032A34" w:rsidRPr="00D93D74">
        <w:rPr>
          <w:rFonts w:cs="Times New Roman"/>
          <w:szCs w:val="24"/>
        </w:rPr>
        <w:t xml:space="preserve">(ddPCR) </w:t>
      </w:r>
      <w:r w:rsidRPr="00D93D74">
        <w:rPr>
          <w:rFonts w:cs="Times New Roman"/>
          <w:szCs w:val="24"/>
        </w:rPr>
        <w:t>was performed using EvaGreen QX200 technology (Bio-Rad, USA) to quantify the total bacterial load</w:t>
      </w:r>
      <w:r w:rsidR="00032A34" w:rsidRPr="00D93D74">
        <w:rPr>
          <w:rFonts w:cs="Times New Roman"/>
          <w:szCs w:val="24"/>
        </w:rPr>
        <w:t xml:space="preserve">. </w:t>
      </w:r>
      <w:r w:rsidRPr="00D93D74">
        <w:rPr>
          <w:rFonts w:cs="Times New Roman"/>
          <w:szCs w:val="24"/>
        </w:rPr>
        <w:t xml:space="preserve">ddPCR was conducted on all samples included in the longitudinal study, using universal primers targeting the V3-V4 regions of the 16S rRNA gene: 341F (5'-CCTACGGGNGGCWGCAG-3') and 806R (5'-GACTACHVGGGTATCTAATCC-3') </w:t>
      </w:r>
      <w:r w:rsidR="0043153B" w:rsidRPr="00D93D74">
        <w:rPr>
          <w:rFonts w:cs="Times New Roman"/>
          <w:szCs w:val="24"/>
        </w:rPr>
        <w:fldChar w:fldCharType="begin"/>
      </w:r>
      <w:r w:rsidR="001C2A55">
        <w:rPr>
          <w:rFonts w:cs="Times New Roman"/>
          <w:szCs w:val="24"/>
        </w:rPr>
        <w:instrText xml:space="preserve"> ADDIN ZOTERO_ITEM CSL_CITATION {"citationID":"OvRQMKz7","properties":{"formattedCitation":"(Klindworth et al., 2013)","plainCitation":"(Klindworth et al., 2013)","noteIndex":0},"citationItems":[{"id":392,"uris":["http://zotero.org/users/8873894/items/P74F92BM"],"itemData":{"id":392,"type":"article-journal","abstract":"16S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The reaction volume was 25 µl, comprising 2.5 µl of diluted DNA, 12.5 µl of 2</w:t>
      </w:r>
      <w:r w:rsidR="00555E2B" w:rsidRPr="00D93D74">
        <w:rPr>
          <w:rFonts w:cs="Times New Roman"/>
          <w:szCs w:val="24"/>
        </w:rPr>
        <w:t xml:space="preserve"> ×</w:t>
      </w:r>
      <w:r w:rsidRPr="00D93D74">
        <w:rPr>
          <w:rFonts w:cs="Times New Roman"/>
          <w:szCs w:val="24"/>
        </w:rPr>
        <w:t xml:space="preserve"> EvaGreen Supermix, 0.5 µl of each 10 µM primer, and 9 µl of nuclease-free water. Droplets were generated using the QX200 Droplet Generator, following the manufacturer’s instructions. </w:t>
      </w:r>
    </w:p>
    <w:p w14:paraId="7B06F2F9" w14:textId="2D99ECE2" w:rsidR="00EF00DB" w:rsidRPr="00D93D74" w:rsidRDefault="009D4C3B" w:rsidP="00EF00DB">
      <w:pPr>
        <w:rPr>
          <w:rFonts w:cs="Times New Roman"/>
          <w:szCs w:val="24"/>
        </w:rPr>
      </w:pPr>
      <w:r w:rsidRPr="00D93D74">
        <w:rPr>
          <w:rFonts w:cs="Times New Roman"/>
          <w:szCs w:val="24"/>
        </w:rPr>
        <w:lastRenderedPageBreak/>
        <w:t>The thermal cycling conditions were enzyme activation at 95 °C for 3 minutes, 40 cycles of denaturation at 95 °C for 30 seconds, annealing at 55 °C for 30 seconds, and elongation at 60 °C for 30 seconds, followed by a final elongation at 60 °C for 5 minutes and signal stabili</w:t>
      </w:r>
      <w:r w:rsidR="00555E2B" w:rsidRPr="00D93D74">
        <w:rPr>
          <w:rFonts w:cs="Times New Roman"/>
          <w:szCs w:val="24"/>
        </w:rPr>
        <w:t>s</w:t>
      </w:r>
      <w:r w:rsidRPr="00D93D74">
        <w:rPr>
          <w:rFonts w:cs="Times New Roman"/>
          <w:szCs w:val="24"/>
        </w:rPr>
        <w:t xml:space="preserve">ation at 4 °C for 5 minutes and 90 °C for 5 minutes. Absolute quantification was performed using QuantaSoft software v7.4.1, with a minimum threshold of 10,000 droplets per sample. The copy number of the target amplicon in each sample was calculated using Equation 1. </w:t>
      </w:r>
    </w:p>
    <w:p w14:paraId="54A424A1" w14:textId="77777777" w:rsidR="00EF00DB" w:rsidRPr="00D93D74"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D93D74">
        <w:rPr>
          <w:rFonts w:cs="Times New Roman"/>
          <w:szCs w:val="24"/>
        </w:rPr>
        <w:t xml:space="preserve">                              </w:t>
      </w:r>
      <w:commentRangeStart w:id="313"/>
      <w:commentRangeStart w:id="314"/>
      <w:r w:rsidRPr="00D93D74">
        <w:rPr>
          <w:rFonts w:cs="Times New Roman"/>
          <w:szCs w:val="24"/>
        </w:rPr>
        <w:t>… (1)</w:t>
      </w:r>
      <w:commentRangeEnd w:id="313"/>
      <w:r w:rsidR="00306439" w:rsidRPr="00D93D74">
        <w:rPr>
          <w:rStyle w:val="Pripombasklic"/>
          <w:rFonts w:cs="Times New Roman"/>
          <w:sz w:val="24"/>
          <w:szCs w:val="24"/>
        </w:rPr>
        <w:commentReference w:id="313"/>
      </w:r>
      <w:commentRangeEnd w:id="314"/>
      <w:r w:rsidR="00DA42F5" w:rsidRPr="00D93D74">
        <w:rPr>
          <w:rStyle w:val="Pripombasklic"/>
          <w:rFonts w:cs="Times New Roman"/>
          <w:sz w:val="24"/>
          <w:szCs w:val="24"/>
        </w:rPr>
        <w:commentReference w:id="314"/>
      </w:r>
    </w:p>
    <w:p w14:paraId="602471B1" w14:textId="33D51C68" w:rsidR="00540583" w:rsidRPr="00D93D74" w:rsidRDefault="009D4C3B" w:rsidP="00CD77AB">
      <w:pPr>
        <w:rPr>
          <w:rFonts w:cs="Times New Roman"/>
          <w:szCs w:val="24"/>
        </w:rPr>
      </w:pPr>
      <w:r w:rsidRPr="00D93D74">
        <w:rPr>
          <w:rFonts w:cs="Times New Roman"/>
          <w:szCs w:val="24"/>
        </w:rPr>
        <w:t xml:space="preserve">Where c is concentration and V is volume. The copy number of the 16S rRNA gene was multiplied by the relative abundance of each OTU to determine their normalised abundance. </w:t>
      </w:r>
    </w:p>
    <w:p w14:paraId="1E407A54" w14:textId="77777777" w:rsidR="008A0D22" w:rsidRPr="00D93D74" w:rsidRDefault="008A0D22" w:rsidP="00CD77AB">
      <w:pPr>
        <w:rPr>
          <w:rFonts w:cs="Times New Roman"/>
          <w:szCs w:val="24"/>
        </w:rPr>
      </w:pPr>
    </w:p>
    <w:p w14:paraId="4D28D16F" w14:textId="51E35425" w:rsidR="00173621" w:rsidRPr="00D93D74" w:rsidRDefault="00173621">
      <w:pPr>
        <w:pStyle w:val="Naslov2"/>
        <w:numPr>
          <w:ilvl w:val="1"/>
          <w:numId w:val="3"/>
        </w:numPr>
      </w:pPr>
      <w:bookmarkStart w:id="315" w:name="_Toc212712201"/>
      <w:bookmarkStart w:id="316" w:name="_Toc216099718"/>
      <w:bookmarkStart w:id="317" w:name="_Toc220932840"/>
      <w:bookmarkStart w:id="318" w:name="_Toc228252025"/>
      <w:r w:rsidRPr="00D93D74">
        <w:t>SEQUENCING</w:t>
      </w:r>
      <w:bookmarkStart w:id="319" w:name="_Toc184220088"/>
      <w:bookmarkEnd w:id="315"/>
      <w:r w:rsidR="000B4DCB" w:rsidRPr="00D93D74">
        <w:t xml:space="preserve"> OF</w:t>
      </w:r>
      <w:r w:rsidR="005610BB" w:rsidRPr="00D93D74">
        <w:t xml:space="preserve"> DNA FROM</w:t>
      </w:r>
      <w:r w:rsidR="005610BB" w:rsidRPr="00D93D74">
        <w:tab/>
        <w:t xml:space="preserve"> ETHANOL TREATED AND UNTREATED STOOL SAMPLES</w:t>
      </w:r>
      <w:r w:rsidR="000B4DCB" w:rsidRPr="00D93D74">
        <w:t>, AND BACTERIAL ISOLATES</w:t>
      </w:r>
      <w:bookmarkEnd w:id="316"/>
      <w:bookmarkEnd w:id="317"/>
      <w:bookmarkEnd w:id="318"/>
    </w:p>
    <w:p w14:paraId="15A6E1E8" w14:textId="77548977" w:rsidR="00E65962" w:rsidRPr="00D93D74" w:rsidRDefault="00CD717C">
      <w:pPr>
        <w:pStyle w:val="Naslov3"/>
        <w:numPr>
          <w:ilvl w:val="2"/>
          <w:numId w:val="3"/>
        </w:numPr>
      </w:pPr>
      <w:bookmarkStart w:id="320" w:name="_Toc212712202"/>
      <w:bookmarkStart w:id="321" w:name="_Toc216099719"/>
      <w:bookmarkStart w:id="322" w:name="_Toc220932841"/>
      <w:bookmarkStart w:id="323" w:name="_Toc228252026"/>
      <w:r w:rsidRPr="00D93D74">
        <w:t>Amplicon</w:t>
      </w:r>
      <w:r w:rsidR="00E65962" w:rsidRPr="00D93D74">
        <w:t xml:space="preserve"> sequencing of the 16S rRNA gene</w:t>
      </w:r>
      <w:bookmarkEnd w:id="319"/>
      <w:bookmarkEnd w:id="320"/>
      <w:r w:rsidR="000B4DCB" w:rsidRPr="00D93D74">
        <w:t xml:space="preserve"> of </w:t>
      </w:r>
      <w:bookmarkEnd w:id="321"/>
      <w:bookmarkEnd w:id="322"/>
      <w:r w:rsidR="005610BB" w:rsidRPr="00D93D74">
        <w:t>ethanol treated and untreated stool samples</w:t>
      </w:r>
      <w:bookmarkEnd w:id="323"/>
    </w:p>
    <w:p w14:paraId="0BD95A93" w14:textId="45D93A4F" w:rsidR="0055077B" w:rsidRPr="00D93D74" w:rsidRDefault="009D4C3B" w:rsidP="00CD77AB">
      <w:pPr>
        <w:rPr>
          <w:rFonts w:cs="Times New Roman"/>
          <w:szCs w:val="24"/>
        </w:rPr>
      </w:pPr>
      <w:bookmarkStart w:id="324" w:name="_Toc184220089"/>
      <w:r w:rsidRPr="00D93D74">
        <w:rPr>
          <w:rFonts w:cs="Times New Roman"/>
          <w:szCs w:val="24"/>
        </w:rPr>
        <w:t xml:space="preserve">Bacterial community structure was determined by sequencing the V3-V4 region of the 16S rRNA gene using the same primers as for the ddPCR, 341F and 806R </w:t>
      </w:r>
      <w:r w:rsidR="0043153B" w:rsidRPr="00D93D74">
        <w:rPr>
          <w:rFonts w:cs="Times New Roman"/>
          <w:szCs w:val="24"/>
        </w:rPr>
        <w:fldChar w:fldCharType="begin"/>
      </w:r>
      <w:r w:rsidR="001C2A55">
        <w:rPr>
          <w:rFonts w:cs="Times New Roman"/>
          <w:szCs w:val="24"/>
        </w:rPr>
        <w:instrText xml:space="preserve"> ADDIN ZOTERO_ITEM CSL_CITATION {"citationID":"z8hs29Oz","properties":{"formattedCitation":"(Klindworth et al., 2013)","plainCitation":"(Klindworth et al., 2013)","noteIndex":0},"citationItems":[{"id":392,"uris":["http://zotero.org/users/8873894/items/P74F92BM"],"itemData":{"id":392,"type":"article-journal","abstract":"16S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43153B" w:rsidRPr="00D93D74">
        <w:rPr>
          <w:rFonts w:cs="Times New Roman"/>
        </w:rPr>
        <w:t>(Klindworth et al., 2013)</w:t>
      </w:r>
      <w:r w:rsidR="0043153B" w:rsidRPr="00D93D74">
        <w:rPr>
          <w:rFonts w:cs="Times New Roman"/>
          <w:szCs w:val="24"/>
        </w:rPr>
        <w:fldChar w:fldCharType="end"/>
      </w:r>
      <w:r w:rsidRPr="00D93D74">
        <w:rPr>
          <w:rFonts w:cs="Times New Roman"/>
          <w:szCs w:val="24"/>
        </w:rPr>
        <w:t>. Library preparation followed the 16S Metagenomic Sequencing Library Preparation protocol (Illumina, USA) with Q5® High-Fidelity DNA Polymerase (New England Biolabs, USA) or KAPA HiFi HotStart ReadyMix (Kapa Biosystems, Massachusetts, USA), as specified</w:t>
      </w:r>
      <w:r w:rsidR="00032A34" w:rsidRPr="00D93D74">
        <w:rPr>
          <w:rFonts w:cs="Times New Roman"/>
          <w:szCs w:val="24"/>
        </w:rPr>
        <w:t xml:space="preserve"> in </w:t>
      </w:r>
      <w:r w:rsidRPr="00D93D74">
        <w:rPr>
          <w:rFonts w:cs="Times New Roman"/>
          <w:szCs w:val="24"/>
        </w:rPr>
        <w:t xml:space="preserve">Supplement Table 4. Sequencing was performed on Illumina’s NextSeq platform (2 × 300 </w:t>
      </w:r>
      <w:del w:id="325" w:author="Urša Miklavčič" w:date="2026-04-28T09:37:00Z" w16du:dateUtc="2026-04-28T07:37:00Z">
        <w:r w:rsidRPr="00D93D74" w:rsidDel="00606048">
          <w:rPr>
            <w:rFonts w:cs="Times New Roman"/>
            <w:szCs w:val="24"/>
          </w:rPr>
          <w:delText>cycles</w:delText>
        </w:r>
      </w:del>
      <w:ins w:id="326" w:author="Urša Miklavčič" w:date="2026-04-28T09:37:00Z" w16du:dateUtc="2026-04-28T07:37:00Z">
        <w:r w:rsidR="00606048">
          <w:rPr>
            <w:rFonts w:cs="Times New Roman"/>
            <w:szCs w:val="24"/>
          </w:rPr>
          <w:t>bp</w:t>
        </w:r>
      </w:ins>
      <w:r w:rsidRPr="00D93D74">
        <w:rPr>
          <w:rFonts w:cs="Times New Roman"/>
          <w:szCs w:val="24"/>
        </w:rPr>
        <w:t xml:space="preserve">) or, where specified, on the Illumina MiSeq platform with the MiSeq Reagent Kit V3 (2 × 300 </w:t>
      </w:r>
      <w:del w:id="327" w:author="Urša Miklavčič" w:date="2026-04-28T09:37:00Z" w16du:dateUtc="2026-04-28T07:37:00Z">
        <w:r w:rsidRPr="00D93D74" w:rsidDel="00606048">
          <w:rPr>
            <w:rFonts w:cs="Times New Roman"/>
            <w:szCs w:val="24"/>
          </w:rPr>
          <w:delText>cycles</w:delText>
        </w:r>
      </w:del>
      <w:ins w:id="328" w:author="Urša Miklavčič" w:date="2026-04-28T09:37:00Z" w16du:dateUtc="2026-04-28T07:37:00Z">
        <w:r w:rsidR="00606048">
          <w:rPr>
            <w:rFonts w:cs="Times New Roman"/>
            <w:szCs w:val="24"/>
          </w:rPr>
          <w:t>bp</w:t>
        </w:r>
      </w:ins>
      <w:r w:rsidRPr="00D93D74">
        <w:rPr>
          <w:rFonts w:cs="Times New Roman"/>
          <w:szCs w:val="24"/>
        </w:rPr>
        <w:t>).</w:t>
      </w:r>
    </w:p>
    <w:p w14:paraId="4D1F806D" w14:textId="77777777" w:rsidR="00B11A96" w:rsidRPr="00D93D74" w:rsidRDefault="00B11A96" w:rsidP="00CD77AB">
      <w:pPr>
        <w:rPr>
          <w:rFonts w:cs="Times New Roman"/>
          <w:szCs w:val="24"/>
        </w:rPr>
      </w:pPr>
    </w:p>
    <w:p w14:paraId="5981851E" w14:textId="384CA2D5" w:rsidR="00573083" w:rsidRPr="00D93D74" w:rsidRDefault="00573083">
      <w:pPr>
        <w:pStyle w:val="Naslov3"/>
        <w:numPr>
          <w:ilvl w:val="2"/>
          <w:numId w:val="3"/>
        </w:numPr>
      </w:pPr>
      <w:bookmarkStart w:id="329" w:name="_Toc212712203"/>
      <w:bookmarkStart w:id="330" w:name="_Toc216099720"/>
      <w:bookmarkStart w:id="331" w:name="_Toc220932842"/>
      <w:bookmarkStart w:id="332" w:name="_Toc228252027"/>
      <w:r w:rsidRPr="00D93D74">
        <w:t>Shotgun metagenomic sequencing</w:t>
      </w:r>
      <w:bookmarkEnd w:id="324"/>
      <w:bookmarkEnd w:id="329"/>
      <w:r w:rsidRPr="00D93D74">
        <w:t xml:space="preserve"> </w:t>
      </w:r>
      <w:r w:rsidR="000B4DCB" w:rsidRPr="00D93D74">
        <w:t xml:space="preserve">of </w:t>
      </w:r>
      <w:bookmarkEnd w:id="330"/>
      <w:bookmarkEnd w:id="331"/>
      <w:r w:rsidR="005610BB" w:rsidRPr="00D93D74">
        <w:t>ethanol treated and untreated stool samples</w:t>
      </w:r>
      <w:bookmarkEnd w:id="332"/>
    </w:p>
    <w:p w14:paraId="5A74E891" w14:textId="19C09B0F" w:rsidR="009114E3" w:rsidRPr="00D93D74" w:rsidRDefault="009D4C3B" w:rsidP="00CD77AB">
      <w:pPr>
        <w:rPr>
          <w:rFonts w:cs="Times New Roman"/>
          <w:szCs w:val="24"/>
        </w:rPr>
      </w:pPr>
      <w:r w:rsidRPr="00D93D74">
        <w:rPr>
          <w:rFonts w:cs="Times New Roman"/>
          <w:szCs w:val="24"/>
        </w:rPr>
        <w:t xml:space="preserve">Shotgun metagenomic sequencing was </w:t>
      </w:r>
      <w:r w:rsidR="00306439" w:rsidRPr="00D93D74">
        <w:rPr>
          <w:rFonts w:cs="Times New Roman"/>
          <w:szCs w:val="24"/>
        </w:rPr>
        <w:t xml:space="preserve">outsourced and </w:t>
      </w:r>
      <w:r w:rsidRPr="00D93D74">
        <w:rPr>
          <w:rFonts w:cs="Times New Roman"/>
          <w:szCs w:val="24"/>
        </w:rPr>
        <w:t xml:space="preserve">performed on the BGI DNBSeq sequencing platform (BGI, Hong Kong). The initial steps involved enzymatic </w:t>
      </w:r>
      <w:r w:rsidR="00D1418C" w:rsidRPr="00D93D74">
        <w:rPr>
          <w:rFonts w:cs="Times New Roman"/>
          <w:szCs w:val="24"/>
        </w:rPr>
        <w:t>fragmentation</w:t>
      </w:r>
      <w:r w:rsidRPr="00D93D74">
        <w:rPr>
          <w:rFonts w:cs="Times New Roman"/>
          <w:szCs w:val="24"/>
        </w:rPr>
        <w:t xml:space="preserve"> </w:t>
      </w:r>
      <w:r w:rsidR="00D1418C" w:rsidRPr="00D93D74">
        <w:rPr>
          <w:rFonts w:cs="Times New Roman"/>
          <w:szCs w:val="24"/>
        </w:rPr>
        <w:t>of</w:t>
      </w:r>
      <w:r w:rsidRPr="00D93D74">
        <w:rPr>
          <w:rFonts w:cs="Times New Roman"/>
          <w:szCs w:val="24"/>
        </w:rPr>
        <w:t xml:space="preserve"> DNA f</w:t>
      </w:r>
      <w:r w:rsidR="00D1418C" w:rsidRPr="00D93D74">
        <w:rPr>
          <w:rFonts w:cs="Times New Roman"/>
          <w:szCs w:val="24"/>
        </w:rPr>
        <w:t>rom the</w:t>
      </w:r>
      <w:r w:rsidRPr="00D93D74">
        <w:rPr>
          <w:rFonts w:cs="Times New Roman"/>
          <w:szCs w:val="24"/>
        </w:rPr>
        <w:t xml:space="preserve"> </w:t>
      </w:r>
      <w:r w:rsidR="00D1418C" w:rsidRPr="00D93D74">
        <w:rPr>
          <w:rFonts w:cs="Times New Roman"/>
          <w:szCs w:val="24"/>
        </w:rPr>
        <w:t>untreated</w:t>
      </w:r>
      <w:r w:rsidRPr="00D93D74">
        <w:rPr>
          <w:rFonts w:cs="Times New Roman"/>
          <w:szCs w:val="24"/>
        </w:rPr>
        <w:t xml:space="preserve"> samples, while for </w:t>
      </w:r>
      <w:r w:rsidR="00D1418C" w:rsidRPr="00D93D74">
        <w:rPr>
          <w:rFonts w:cs="Times New Roman"/>
          <w:szCs w:val="24"/>
        </w:rPr>
        <w:t>ethanol treated</w:t>
      </w:r>
      <w:r w:rsidRPr="00D93D74">
        <w:rPr>
          <w:rFonts w:cs="Times New Roman"/>
          <w:szCs w:val="24"/>
        </w:rPr>
        <w:t xml:space="preserve"> samples, fragmentation was unnecessary as the DNA was already fragmented. Fragments between 200 and 400 base pairs were selected using MGIEasy DNA Clean Beads (MGI, Hong Kong). The 3’ ends were then repaired by adenylation, and adapters were ligated to the DNA fragments. DNA fragments were amplified by PCR and purified using MGIEasy DNA Clean Beads (MGI, Hong Kong). The purified PCR products were denatured and circularised using a splint oligo sequence. The resulting single-stranded circular DNA (ssCir DNA) constituted the final</w:t>
      </w:r>
      <w:r w:rsidR="00D1418C" w:rsidRPr="00D93D74">
        <w:rPr>
          <w:rFonts w:cs="Times New Roman"/>
          <w:szCs w:val="24"/>
        </w:rPr>
        <w:t xml:space="preserve"> </w:t>
      </w:r>
      <w:r w:rsidRPr="00D93D74">
        <w:rPr>
          <w:rFonts w:cs="Times New Roman"/>
          <w:szCs w:val="24"/>
        </w:rPr>
        <w:t>library. Any</w:t>
      </w:r>
      <w:r w:rsidR="00D1418C" w:rsidRPr="00D93D74">
        <w:rPr>
          <w:rFonts w:cs="Times New Roman"/>
          <w:szCs w:val="24"/>
        </w:rPr>
        <w:t xml:space="preserve"> </w:t>
      </w:r>
      <w:r w:rsidRPr="00D93D74">
        <w:rPr>
          <w:rFonts w:cs="Times New Roman"/>
          <w:szCs w:val="24"/>
        </w:rPr>
        <w:t xml:space="preserve">non-circularised DNA was digested, and library concentration was measured, libraries with concentrations above 1 ng/µl were selected for sequencing. Each library was further amplified using Phi29 DNA polymerase to generate DNA nanoballs (DNBs), each containing over 300 copies of a single molecular entity. These DNBs were loaded onto a patterned </w:t>
      </w:r>
      <w:r w:rsidR="00DA42F5" w:rsidRPr="00D93D74">
        <w:rPr>
          <w:rFonts w:cs="Times New Roman"/>
          <w:szCs w:val="24"/>
        </w:rPr>
        <w:t>nanoarray</w:t>
      </w:r>
      <w:r w:rsidR="00717053" w:rsidRPr="00D93D74">
        <w:rPr>
          <w:rFonts w:cs="Times New Roman"/>
          <w:szCs w:val="24"/>
        </w:rPr>
        <w:t xml:space="preserve"> </w:t>
      </w:r>
      <w:r w:rsidR="009A34DE" w:rsidRPr="00D93D74">
        <w:rPr>
          <w:rFonts w:cs="Times New Roman"/>
          <w:szCs w:val="24"/>
        </w:rPr>
        <w:t>where</w:t>
      </w:r>
      <w:r w:rsidRPr="00D93D74">
        <w:rPr>
          <w:rFonts w:cs="Times New Roman"/>
          <w:szCs w:val="24"/>
        </w:rPr>
        <w:t xml:space="preserve"> paired-end reads of 150 bases were generated. </w:t>
      </w:r>
    </w:p>
    <w:p w14:paraId="3C1534BD" w14:textId="77777777" w:rsidR="00173621" w:rsidRPr="00D93D74" w:rsidRDefault="00173621" w:rsidP="00CD77AB">
      <w:pPr>
        <w:rPr>
          <w:rFonts w:cs="Times New Roman"/>
          <w:szCs w:val="24"/>
        </w:rPr>
      </w:pPr>
      <w:bookmarkStart w:id="333" w:name="_Toc184220092"/>
    </w:p>
    <w:p w14:paraId="1A0031EB" w14:textId="5AE5EB0F" w:rsidR="00D025AD" w:rsidRPr="00D93D74" w:rsidRDefault="009540A4">
      <w:pPr>
        <w:pStyle w:val="Naslov3"/>
        <w:numPr>
          <w:ilvl w:val="2"/>
          <w:numId w:val="3"/>
        </w:numPr>
      </w:pPr>
      <w:bookmarkStart w:id="334" w:name="_Toc212712204"/>
      <w:bookmarkStart w:id="335" w:name="_Toc216099721"/>
      <w:bookmarkStart w:id="336" w:name="_Toc220932843"/>
      <w:bookmarkStart w:id="337" w:name="_Toc228252028"/>
      <w:r w:rsidRPr="00D93D74">
        <w:t>Whole-genome sequencing using Illumina short</w:t>
      </w:r>
      <w:r w:rsidR="00D025AD" w:rsidRPr="00D93D74">
        <w:t>-</w:t>
      </w:r>
      <w:r w:rsidRPr="00D93D74">
        <w:t>read technology</w:t>
      </w:r>
      <w:bookmarkEnd w:id="334"/>
      <w:bookmarkEnd w:id="335"/>
      <w:bookmarkEnd w:id="336"/>
      <w:bookmarkEnd w:id="337"/>
    </w:p>
    <w:p w14:paraId="51DA4C5E" w14:textId="10B09F40" w:rsidR="00945370" w:rsidRPr="00D93D74" w:rsidRDefault="00227E0D" w:rsidP="00CD77AB">
      <w:pPr>
        <w:rPr>
          <w:rFonts w:cs="Times New Roman"/>
          <w:szCs w:val="24"/>
        </w:rPr>
      </w:pPr>
      <w:commentRangeStart w:id="338"/>
      <w:r w:rsidRPr="00D93D74">
        <w:rPr>
          <w:rFonts w:cs="Times New Roman"/>
          <w:szCs w:val="24"/>
        </w:rPr>
        <w:t xml:space="preserve">Libraries </w:t>
      </w:r>
      <w:r w:rsidR="0002799D" w:rsidRPr="00D93D74">
        <w:rPr>
          <w:rFonts w:cs="Times New Roman"/>
          <w:szCs w:val="24"/>
        </w:rPr>
        <w:t xml:space="preserve">for </w:t>
      </w:r>
      <w:r w:rsidR="009D4C3B" w:rsidRPr="00D93D74">
        <w:rPr>
          <w:rFonts w:cs="Times New Roman"/>
          <w:szCs w:val="24"/>
        </w:rPr>
        <w:t xml:space="preserve">whole-genome </w:t>
      </w:r>
      <w:r w:rsidRPr="00D93D74">
        <w:rPr>
          <w:rFonts w:cs="Times New Roman"/>
          <w:szCs w:val="24"/>
        </w:rPr>
        <w:t>sequencing of individual strains were</w:t>
      </w:r>
      <w:r w:rsidR="009D4C3B" w:rsidRPr="00D93D74">
        <w:rPr>
          <w:rFonts w:cs="Times New Roman"/>
          <w:szCs w:val="24"/>
        </w:rPr>
        <w:t xml:space="preserve"> prepared </w:t>
      </w:r>
      <w:commentRangeEnd w:id="338"/>
      <w:r w:rsidRPr="00D93D74">
        <w:rPr>
          <w:rStyle w:val="Pripombasklic"/>
          <w:rFonts w:cs="Times New Roman"/>
          <w:sz w:val="24"/>
          <w:szCs w:val="24"/>
        </w:rPr>
        <w:commentReference w:id="338"/>
      </w:r>
      <w:r w:rsidR="009D4C3B" w:rsidRPr="00D93D74">
        <w:rPr>
          <w:rFonts w:cs="Times New Roman"/>
          <w:szCs w:val="24"/>
        </w:rPr>
        <w:t>using the NEBNext Ultra II FS DNA Library Prep Kit for Illumina (New England Biolabs, UK) according to the manufacturer’s instructions (Supplement Table 4</w:t>
      </w:r>
      <w:r w:rsidR="00032A34" w:rsidRPr="00D93D74">
        <w:rPr>
          <w:rFonts w:cs="Times New Roman"/>
          <w:szCs w:val="24"/>
        </w:rPr>
        <w:t>, 5</w:t>
      </w:r>
      <w:r w:rsidR="009D4C3B" w:rsidRPr="00D93D74">
        <w:rPr>
          <w:rFonts w:cs="Times New Roman"/>
          <w:szCs w:val="24"/>
        </w:rPr>
        <w:t>). Libraries were sequenced using 2 × 150 bp paired-end reads on the NextSeq2000 platform (Illumina, USA).</w:t>
      </w:r>
    </w:p>
    <w:p w14:paraId="523CB162" w14:textId="77777777" w:rsidR="0002799D" w:rsidRPr="00D93D74" w:rsidRDefault="0002799D" w:rsidP="00CD77AB">
      <w:pPr>
        <w:rPr>
          <w:rFonts w:cs="Times New Roman"/>
          <w:szCs w:val="24"/>
        </w:rPr>
      </w:pPr>
    </w:p>
    <w:p w14:paraId="5E299D5C" w14:textId="5A86A386" w:rsidR="0002799D" w:rsidRPr="00D93D74" w:rsidRDefault="0002799D" w:rsidP="0002799D">
      <w:pPr>
        <w:pStyle w:val="Naslov3"/>
        <w:numPr>
          <w:ilvl w:val="0"/>
          <w:numId w:val="0"/>
        </w:numPr>
        <w:ind w:left="720" w:hanging="720"/>
      </w:pPr>
      <w:bookmarkStart w:id="339" w:name="_Toc216099722"/>
      <w:bookmarkStart w:id="340" w:name="_Toc220932844"/>
      <w:bookmarkStart w:id="341" w:name="_Toc228252029"/>
      <w:r w:rsidRPr="00D93D74">
        <w:t>3.5.4 Whole-genome sequencing using Oxford Nanopore Technologies long-read technology</w:t>
      </w:r>
      <w:bookmarkEnd w:id="339"/>
      <w:bookmarkEnd w:id="340"/>
      <w:bookmarkEnd w:id="341"/>
    </w:p>
    <w:bookmarkEnd w:id="333"/>
    <w:p w14:paraId="53A92E9E" w14:textId="7FF204F6" w:rsidR="00D025AD" w:rsidRPr="00D93D74" w:rsidRDefault="00227E0D" w:rsidP="00CD77AB">
      <w:pPr>
        <w:rPr>
          <w:rFonts w:cs="Times New Roman"/>
          <w:szCs w:val="24"/>
        </w:rPr>
      </w:pPr>
      <w:r w:rsidRPr="00D93D74">
        <w:rPr>
          <w:rFonts w:cs="Times New Roman"/>
          <w:szCs w:val="24"/>
        </w:rPr>
        <w:t xml:space="preserve">Within </w:t>
      </w:r>
      <w:r w:rsidRPr="00D93D74">
        <w:rPr>
          <w:rFonts w:cs="Times New Roman"/>
          <w:i/>
          <w:iCs/>
          <w:szCs w:val="24"/>
        </w:rPr>
        <w:t>Clostridium saudiense</w:t>
      </w:r>
      <w:r w:rsidRPr="00D93D74">
        <w:rPr>
          <w:rFonts w:cs="Times New Roman"/>
          <w:szCs w:val="24"/>
        </w:rPr>
        <w:t xml:space="preserve"> analysis f</w:t>
      </w:r>
      <w:r w:rsidR="009D4C3B" w:rsidRPr="00D93D74">
        <w:rPr>
          <w:rFonts w:cs="Times New Roman"/>
          <w:szCs w:val="24"/>
        </w:rPr>
        <w:t>ive selected isolate</w:t>
      </w:r>
      <w:r w:rsidR="00032A34" w:rsidRPr="00D93D74">
        <w:rPr>
          <w:rFonts w:cs="Times New Roman"/>
          <w:szCs w:val="24"/>
        </w:rPr>
        <w:t xml:space="preserve">s, </w:t>
      </w:r>
      <w:r w:rsidR="009D4C3B" w:rsidRPr="00D93D74">
        <w:rPr>
          <w:rFonts w:cs="Times New Roman"/>
          <w:szCs w:val="24"/>
        </w:rPr>
        <w:t xml:space="preserve">representing each strain group based on ANI </w:t>
      </w:r>
      <w:r w:rsidR="00032A34" w:rsidRPr="00D93D74">
        <w:rPr>
          <w:rFonts w:cs="Times New Roman"/>
          <w:szCs w:val="24"/>
        </w:rPr>
        <w:t>score, were chosen based on containing the</w:t>
      </w:r>
      <w:r w:rsidR="009D4C3B" w:rsidRPr="00D93D74">
        <w:rPr>
          <w:rFonts w:cs="Times New Roman"/>
          <w:szCs w:val="24"/>
        </w:rPr>
        <w:t xml:space="preserve"> highest number of reads and lowest number of contigs. </w:t>
      </w:r>
      <w:r w:rsidR="00133BF6" w:rsidRPr="00D93D74">
        <w:rPr>
          <w:rFonts w:cs="Times New Roman"/>
          <w:szCs w:val="24"/>
        </w:rPr>
        <w:t>L</w:t>
      </w:r>
      <w:r w:rsidR="009D4C3B" w:rsidRPr="00D93D74">
        <w:rPr>
          <w:rFonts w:cs="Times New Roman"/>
          <w:szCs w:val="24"/>
        </w:rPr>
        <w:t xml:space="preserve">ibraries were prepared using the Rapid Barcoding Kit 24 SQK-RBK114.24 </w:t>
      </w:r>
      <w:r w:rsidR="00032A34" w:rsidRPr="00D93D74">
        <w:rPr>
          <w:rFonts w:cs="Times New Roman"/>
          <w:szCs w:val="24"/>
        </w:rPr>
        <w:t xml:space="preserve">(Oxford Nanopore Technologies – ONT, UK) </w:t>
      </w:r>
      <w:r w:rsidR="009D4C3B" w:rsidRPr="00D93D74">
        <w:rPr>
          <w:rFonts w:cs="Times New Roman"/>
          <w:szCs w:val="24"/>
        </w:rPr>
        <w:t>and sequenced on R10.4.1 flow cells for 48 hours (Supplement Table 4</w:t>
      </w:r>
      <w:r w:rsidR="00032A34" w:rsidRPr="00D93D74">
        <w:rPr>
          <w:rFonts w:cs="Times New Roman"/>
          <w:szCs w:val="24"/>
        </w:rPr>
        <w:t>, 5</w:t>
      </w:r>
      <w:r w:rsidR="009D4C3B" w:rsidRPr="00D93D74">
        <w:rPr>
          <w:rFonts w:cs="Times New Roman"/>
          <w:szCs w:val="24"/>
        </w:rPr>
        <w:t>)</w:t>
      </w:r>
      <w:r w:rsidR="00032A34" w:rsidRPr="00D93D74">
        <w:rPr>
          <w:rFonts w:cs="Times New Roman"/>
          <w:szCs w:val="24"/>
        </w:rPr>
        <w:t xml:space="preserve"> on MinION platform (ONT, UK)</w:t>
      </w:r>
      <w:r w:rsidR="009D4C3B" w:rsidRPr="00D93D74">
        <w:rPr>
          <w:rFonts w:cs="Times New Roman"/>
          <w:szCs w:val="24"/>
        </w:rPr>
        <w:t xml:space="preserve">. </w:t>
      </w:r>
    </w:p>
    <w:p w14:paraId="26D9D98C" w14:textId="77777777" w:rsidR="00DA42F5" w:rsidRPr="00D93D74" w:rsidRDefault="00DA42F5" w:rsidP="00CD77AB">
      <w:pPr>
        <w:rPr>
          <w:rFonts w:cs="Times New Roman"/>
          <w:szCs w:val="24"/>
        </w:rPr>
      </w:pPr>
    </w:p>
    <w:p w14:paraId="57C6B3AA" w14:textId="105398DF" w:rsidR="007B36A5" w:rsidRPr="00D93D74" w:rsidRDefault="00173621">
      <w:pPr>
        <w:pStyle w:val="Naslov2"/>
        <w:numPr>
          <w:ilvl w:val="1"/>
          <w:numId w:val="3"/>
        </w:numPr>
      </w:pPr>
      <w:bookmarkStart w:id="342" w:name="_Toc212712205"/>
      <w:bookmarkStart w:id="343" w:name="_Toc216099723"/>
      <w:bookmarkStart w:id="344" w:name="_Toc220932845"/>
      <w:bookmarkStart w:id="345" w:name="_Toc228252030"/>
      <w:r w:rsidRPr="00D93D74">
        <w:t>DATA ANALYSIS</w:t>
      </w:r>
      <w:bookmarkEnd w:id="342"/>
      <w:bookmarkEnd w:id="343"/>
      <w:bookmarkEnd w:id="344"/>
      <w:bookmarkEnd w:id="345"/>
      <w:r w:rsidRPr="00D93D74">
        <w:t xml:space="preserve"> </w:t>
      </w:r>
    </w:p>
    <w:p w14:paraId="53380AC3" w14:textId="76AE16F7" w:rsidR="00D025AD" w:rsidRPr="00D93D74" w:rsidRDefault="00A95361" w:rsidP="00CD77AB">
      <w:pPr>
        <w:rPr>
          <w:rFonts w:cs="Times New Roman"/>
          <w:szCs w:val="24"/>
        </w:rPr>
      </w:pPr>
      <w:r w:rsidRPr="00D93D74">
        <w:rPr>
          <w:rFonts w:cs="Times New Roman"/>
          <w:szCs w:val="24"/>
        </w:rPr>
        <w:t>All code</w:t>
      </w:r>
      <w:r w:rsidR="00D1418C" w:rsidRPr="00D93D74">
        <w:rPr>
          <w:rFonts w:cs="Times New Roman"/>
          <w:szCs w:val="24"/>
        </w:rPr>
        <w:t xml:space="preserve"> and tables obtained after preprocessing steps to </w:t>
      </w:r>
      <w:r w:rsidRPr="00D93D74">
        <w:rPr>
          <w:rFonts w:cs="Times New Roman"/>
          <w:szCs w:val="24"/>
        </w:rPr>
        <w:t xml:space="preserve">carry out the analysis presented along with notes showing command runs is available at: </w:t>
      </w:r>
      <w:hyperlink r:id="rId13" w:history="1">
        <w:r w:rsidR="005834B8" w:rsidRPr="00D93D74">
          <w:rPr>
            <w:rStyle w:val="Hiperpovezava"/>
            <w:rFonts w:cs="Times New Roman"/>
            <w:szCs w:val="24"/>
          </w:rPr>
          <w:t>https://github.com/ursamiklavcic/PhD</w:t>
        </w:r>
      </w:hyperlink>
      <w:r w:rsidRPr="00D93D74">
        <w:rPr>
          <w:rFonts w:cs="Times New Roman"/>
          <w:szCs w:val="24"/>
        </w:rPr>
        <w:t xml:space="preserve">, with sub-folders for </w:t>
      </w:r>
      <w:r w:rsidR="005834B8" w:rsidRPr="00D93D74">
        <w:rPr>
          <w:rFonts w:cs="Times New Roman"/>
          <w:szCs w:val="24"/>
        </w:rPr>
        <w:t xml:space="preserve">each </w:t>
      </w:r>
      <w:r w:rsidR="00032A34" w:rsidRPr="00D93D74">
        <w:rPr>
          <w:rFonts w:cs="Times New Roman"/>
          <w:szCs w:val="24"/>
        </w:rPr>
        <w:t>type of analysis</w:t>
      </w:r>
      <w:r w:rsidRPr="00D93D74">
        <w:rPr>
          <w:rFonts w:cs="Times New Roman"/>
          <w:szCs w:val="24"/>
        </w:rPr>
        <w:t>.</w:t>
      </w:r>
      <w:bookmarkStart w:id="346" w:name="_Toc184220091"/>
    </w:p>
    <w:p w14:paraId="0FBAEDAB" w14:textId="77777777" w:rsidR="00173621" w:rsidRPr="00D93D74" w:rsidRDefault="00173621" w:rsidP="00CD77AB">
      <w:pPr>
        <w:rPr>
          <w:rFonts w:cs="Times New Roman"/>
          <w:szCs w:val="24"/>
        </w:rPr>
      </w:pPr>
    </w:p>
    <w:p w14:paraId="4AE9DF28" w14:textId="11709806" w:rsidR="00D025AD" w:rsidRPr="00D93D74" w:rsidRDefault="00D93D74">
      <w:pPr>
        <w:pStyle w:val="Naslov3"/>
        <w:numPr>
          <w:ilvl w:val="2"/>
          <w:numId w:val="3"/>
        </w:numPr>
      </w:pPr>
      <w:bookmarkStart w:id="347" w:name="_Toc212712206"/>
      <w:bookmarkStart w:id="348" w:name="_Toc216099724"/>
      <w:bookmarkStart w:id="349" w:name="_Toc220932846"/>
      <w:bookmarkStart w:id="350" w:name="_Toc228252031"/>
      <w:r w:rsidRPr="00D93D74">
        <w:t>16S a</w:t>
      </w:r>
      <w:r w:rsidR="0024637F" w:rsidRPr="00D93D74">
        <w:t xml:space="preserve">mplicon </w:t>
      </w:r>
      <w:r w:rsidRPr="00D93D74">
        <w:t xml:space="preserve">(16S AS) </w:t>
      </w:r>
      <w:r w:rsidR="00032A34" w:rsidRPr="00D93D74">
        <w:t>data</w:t>
      </w:r>
      <w:r w:rsidR="0024637F" w:rsidRPr="00D93D74">
        <w:t xml:space="preserve"> </w:t>
      </w:r>
      <w:bookmarkEnd w:id="346"/>
      <w:r w:rsidR="0024637F" w:rsidRPr="00D93D74">
        <w:t>analysis</w:t>
      </w:r>
      <w:bookmarkEnd w:id="347"/>
      <w:bookmarkEnd w:id="348"/>
      <w:bookmarkEnd w:id="349"/>
      <w:bookmarkEnd w:id="350"/>
    </w:p>
    <w:p w14:paraId="7E532E45" w14:textId="28D13306" w:rsidR="004C54E4" w:rsidRPr="00D93D74" w:rsidRDefault="004C54E4">
      <w:pPr>
        <w:pStyle w:val="Naslov4"/>
        <w:numPr>
          <w:ilvl w:val="3"/>
          <w:numId w:val="3"/>
        </w:numPr>
      </w:pPr>
      <w:bookmarkStart w:id="351" w:name="_Toc216099725"/>
      <w:bookmarkStart w:id="352" w:name="_Toc220932847"/>
      <w:r w:rsidRPr="00D93D74">
        <w:t>Preprocessing</w:t>
      </w:r>
      <w:bookmarkEnd w:id="351"/>
      <w:bookmarkEnd w:id="352"/>
      <w:r w:rsidRPr="00D93D74">
        <w:t xml:space="preserve"> </w:t>
      </w:r>
    </w:p>
    <w:p w14:paraId="27B5E539" w14:textId="3987A7F3" w:rsidR="00173621" w:rsidRDefault="004C54E4" w:rsidP="00CD77AB">
      <w:pPr>
        <w:rPr>
          <w:rFonts w:cs="Times New Roman"/>
          <w:szCs w:val="24"/>
        </w:rPr>
      </w:pPr>
      <w:r w:rsidRPr="00D93D74">
        <w:rPr>
          <w:rFonts w:cs="Times New Roman"/>
          <w:szCs w:val="24"/>
        </w:rPr>
        <w:t>Sequenced reads were processed and binned in mothur v.1.48.0</w:t>
      </w:r>
      <w:r w:rsidR="00D025AD" w:rsidRPr="00D93D74">
        <w:rPr>
          <w:rFonts w:cs="Times New Roman"/>
          <w:szCs w:val="24"/>
        </w:rPr>
        <w:t>,</w:t>
      </w:r>
      <w:r w:rsidRPr="00D93D74">
        <w:rPr>
          <w:rFonts w:cs="Times New Roman"/>
          <w:szCs w:val="24"/>
        </w:rPr>
        <w:t xml:space="preserve"> </w:t>
      </w:r>
      <w:r w:rsidR="0043153B" w:rsidRPr="00D93D74">
        <w:rPr>
          <w:rFonts w:cs="Times New Roman"/>
          <w:szCs w:val="24"/>
        </w:rPr>
        <w:t>following</w:t>
      </w:r>
      <w:r w:rsidRPr="00D93D74">
        <w:rPr>
          <w:rFonts w:cs="Times New Roman"/>
          <w:szCs w:val="24"/>
        </w:rPr>
        <w:t xml:space="preserve"> the MiSeq standard operating procedure for Illumina paired-end reads</w:t>
      </w:r>
      <w:r w:rsidR="0043153B" w:rsidRPr="00D93D74">
        <w:rPr>
          <w:rFonts w:cs="Times New Roman"/>
          <w:szCs w:val="24"/>
        </w:rPr>
        <w:t xml:space="preserve"> </w:t>
      </w:r>
      <w:r w:rsidR="0043153B" w:rsidRPr="00D93D74">
        <w:rPr>
          <w:rFonts w:cs="Times New Roman"/>
          <w:szCs w:val="24"/>
        </w:rPr>
        <w:fldChar w:fldCharType="begin"/>
      </w:r>
      <w:r w:rsidR="001C2A55">
        <w:rPr>
          <w:rFonts w:cs="Times New Roman"/>
          <w:szCs w:val="24"/>
        </w:rPr>
        <w:instrText xml:space="preserve"> ADDIN ZOTERO_ITEM CSL_CITATION {"citationID":"zVTkRGip","properties":{"formattedCitation":"(Schloss et al., 2009)","plainCitation":"(Schloss et al., 2009)","noteIndex":0},"citationItems":[{"id":343,"uris":["http://zotero.org/users/8873894/items/R88TB3SK"],"itemData":{"id":343,"type":"article-journal","abstract":"mothur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Microbiol","language":"eng","page":"7537-7541","PMID":"19801464","PMCID":"PMC2786419","source":"PubMed","title":"Introducing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sidRPr="00D93D74">
        <w:rPr>
          <w:rFonts w:cs="Times New Roman"/>
          <w:szCs w:val="24"/>
        </w:rPr>
        <w:fldChar w:fldCharType="separate"/>
      </w:r>
      <w:r w:rsidR="0043153B" w:rsidRPr="00D93D74">
        <w:rPr>
          <w:rFonts w:cs="Times New Roman"/>
        </w:rPr>
        <w:t>(Schloss et al., 2009)</w:t>
      </w:r>
      <w:r w:rsidR="0043153B" w:rsidRPr="00D93D74">
        <w:rPr>
          <w:rFonts w:cs="Times New Roman"/>
          <w:szCs w:val="24"/>
        </w:rPr>
        <w:fldChar w:fldCharType="end"/>
      </w:r>
      <w:r w:rsidRPr="00D93D74">
        <w:rPr>
          <w:rFonts w:cs="Times New Roman"/>
          <w:szCs w:val="24"/>
        </w:rPr>
        <w:t xml:space="preserve">. Reads were processed using the following criteria: </w:t>
      </w:r>
      <w:r w:rsidR="0043153B" w:rsidRPr="00D93D74">
        <w:rPr>
          <w:rFonts w:cs="Times New Roman"/>
          <w:szCs w:val="24"/>
        </w:rPr>
        <w:t>no</w:t>
      </w:r>
      <w:r w:rsidRPr="00D93D74">
        <w:rPr>
          <w:rFonts w:cs="Times New Roman"/>
          <w:szCs w:val="24"/>
        </w:rPr>
        <w:t xml:space="preserve"> ambiguous bases </w:t>
      </w:r>
      <w:r w:rsidR="0043153B" w:rsidRPr="00D93D74">
        <w:rPr>
          <w:rFonts w:cs="Times New Roman"/>
          <w:szCs w:val="24"/>
        </w:rPr>
        <w:t>were allowed</w:t>
      </w:r>
      <w:r w:rsidR="00FB3B5F" w:rsidRPr="00D93D74">
        <w:rPr>
          <w:rFonts w:cs="Times New Roman"/>
          <w:szCs w:val="24"/>
        </w:rPr>
        <w:t xml:space="preserve"> and </w:t>
      </w:r>
      <w:r w:rsidRPr="00D93D74">
        <w:rPr>
          <w:rFonts w:cs="Times New Roman"/>
          <w:szCs w:val="24"/>
        </w:rPr>
        <w:t>the maximum homopolymer length was set to 8 base pairs</w:t>
      </w:r>
      <w:del w:id="353" w:author="Urša Miklavčič" w:date="2026-04-28T18:40:00Z" w16du:dateUtc="2026-04-28T16:40:00Z">
        <w:r w:rsidRPr="00D93D74" w:rsidDel="0023210F">
          <w:rPr>
            <w:rFonts w:cs="Times New Roman"/>
            <w:szCs w:val="24"/>
          </w:rPr>
          <w:delText xml:space="preserve"> (bp)</w:delText>
        </w:r>
      </w:del>
      <w:r w:rsidR="00032A34" w:rsidRPr="00D93D74">
        <w:rPr>
          <w:rFonts w:cs="Times New Roman"/>
          <w:szCs w:val="24"/>
        </w:rPr>
        <w:t>, r</w:t>
      </w:r>
      <w:r w:rsidRPr="00D93D74">
        <w:rPr>
          <w:rFonts w:cs="Times New Roman"/>
          <w:szCs w:val="24"/>
        </w:rPr>
        <w:t xml:space="preserve">eads were </w:t>
      </w:r>
      <w:r w:rsidR="00FB3B5F" w:rsidRPr="00D93D74">
        <w:rPr>
          <w:rFonts w:cs="Times New Roman"/>
          <w:szCs w:val="24"/>
        </w:rPr>
        <w:t xml:space="preserve">then </w:t>
      </w:r>
      <w:r w:rsidRPr="00D93D74">
        <w:rPr>
          <w:rFonts w:cs="Times New Roman"/>
          <w:szCs w:val="24"/>
        </w:rPr>
        <w:t>aligned against the Silva reference alignment (Release 1</w:t>
      </w:r>
      <w:r w:rsidR="00D93D74" w:rsidRPr="00D93D74">
        <w:rPr>
          <w:rFonts w:cs="Times New Roman"/>
          <w:szCs w:val="24"/>
        </w:rPr>
        <w:t>3</w:t>
      </w:r>
      <w:r w:rsidRPr="00D93D74">
        <w:rPr>
          <w:rFonts w:cs="Times New Roman"/>
          <w:szCs w:val="24"/>
        </w:rPr>
        <w:t>8)</w:t>
      </w:r>
      <w:r w:rsidR="00FB3B5F" w:rsidRPr="00D93D74">
        <w:rPr>
          <w:rFonts w:cs="Times New Roman"/>
          <w:szCs w:val="24"/>
        </w:rPr>
        <w:t>,</w:t>
      </w:r>
      <w:r w:rsidRPr="00D93D74">
        <w:rPr>
          <w:rFonts w:cs="Times New Roman"/>
          <w:szCs w:val="24"/>
        </w:rPr>
        <w:t xml:space="preserve"> chimeras were identified using the UCHIME algorithm</w:t>
      </w:r>
      <w:r w:rsidR="0043153B" w:rsidRPr="00D93D74">
        <w:rPr>
          <w:rFonts w:cs="Times New Roman"/>
          <w:szCs w:val="24"/>
        </w:rPr>
        <w:t xml:space="preserve">, </w:t>
      </w:r>
      <w:r w:rsidRPr="00D93D74">
        <w:rPr>
          <w:rFonts w:cs="Times New Roman"/>
          <w:szCs w:val="24"/>
        </w:rPr>
        <w:t xml:space="preserve">reads </w:t>
      </w:r>
      <w:r w:rsidR="00FB3B5F" w:rsidRPr="00D93D74">
        <w:rPr>
          <w:rFonts w:cs="Times New Roman"/>
          <w:szCs w:val="24"/>
        </w:rPr>
        <w:t xml:space="preserve">were classified </w:t>
      </w:r>
      <w:r w:rsidRPr="00D93D74">
        <w:rPr>
          <w:rFonts w:cs="Times New Roman"/>
          <w:szCs w:val="24"/>
        </w:rPr>
        <w:t xml:space="preserve">using the RDP training set v.9 with </w:t>
      </w:r>
      <w:r w:rsidR="00FB3B5F" w:rsidRPr="00D93D74">
        <w:rPr>
          <w:rFonts w:cs="Times New Roman"/>
          <w:szCs w:val="24"/>
        </w:rPr>
        <w:t>a</w:t>
      </w:r>
      <w:r w:rsidRPr="00D93D74">
        <w:rPr>
          <w:rFonts w:cs="Times New Roman"/>
          <w:szCs w:val="24"/>
        </w:rPr>
        <w:t xml:space="preserve"> bootstrap threshold value</w:t>
      </w:r>
      <w:r w:rsidR="00FB3B5F" w:rsidRPr="00D93D74">
        <w:rPr>
          <w:rFonts w:cs="Times New Roman"/>
          <w:szCs w:val="24"/>
        </w:rPr>
        <w:t xml:space="preserve"> of 0.80. S</w:t>
      </w:r>
      <w:r w:rsidRPr="00D93D74">
        <w:rPr>
          <w:rFonts w:cs="Times New Roman"/>
          <w:szCs w:val="24"/>
        </w:rPr>
        <w:t xml:space="preserve">equences were clustered into operational taxonomic units (OTUs) at </w:t>
      </w:r>
      <w:r w:rsidR="00FB3B5F" w:rsidRPr="00D93D74">
        <w:rPr>
          <w:rFonts w:cs="Times New Roman"/>
          <w:szCs w:val="24"/>
        </w:rPr>
        <w:t>a</w:t>
      </w:r>
      <w:r w:rsidRPr="00D93D74">
        <w:rPr>
          <w:rFonts w:cs="Times New Roman"/>
          <w:szCs w:val="24"/>
        </w:rPr>
        <w:t xml:space="preserve"> 97% similarity cut-off</w:t>
      </w:r>
      <w:r w:rsidR="00AA6976" w:rsidRPr="00D93D74">
        <w:rPr>
          <w:rFonts w:cs="Times New Roman"/>
          <w:szCs w:val="24"/>
        </w:rPr>
        <w:t xml:space="preserve"> </w:t>
      </w:r>
      <w:r w:rsidR="00AA6976" w:rsidRPr="00D93D74">
        <w:rPr>
          <w:rFonts w:cs="Times New Roman"/>
          <w:szCs w:val="24"/>
        </w:rPr>
        <w:fldChar w:fldCharType="begin"/>
      </w:r>
      <w:r w:rsidR="001C2A55">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2007)","noteIndex":0},"citationItems":[{"id":3230,"uris":["http://zotero.org/users/8873894/items/4M9EIUFJ"],"itemData":{"id":3230,"type":"article-journal","abstract":"Ribosomal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Res","page":"D633-D642","PMID":"24288368","PMCID":"PMC3965039","source":"PubMed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M."}],"issued":{"date-parts":[["2014",1,1]]}}},{"id":2200,"uris":["http://zotero.org/users/8873894/items/76B7GXAJ"],"itemData":{"id":2200,"type":"article","abstract":"Amplicon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C."}],"accessed":{"date-parts":[["2023",5,15]]},"issued":{"date-parts":[["2016",9,12]]}}},{"id":2109,"uris":["http://zotero.org/users/8873894/items/2DLFU9G8"],"itemData":{"id":2109,"type":"article-journal","abstract":"Motivation: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online.","container-title":"Bioinformatics","DOI":"10.1093/bioinformatics/btr381","ISSN":"1367-4803","issue":"16","journalAbbreviation":"Bioinformatics","page":"2194-2200","PMID":"21700674","PMCID":"PMC3150044","source":"PubMed Central","title":"UCHIME improves sensitivity and speed of chimera detection","volume":"27","author":[{"family":"Edgar","given":"Robert C."},{"family":"Haas","given":"Brian J."},{"family":"Clemente","given":"Jose C."},{"family":"Quince","given":"Christopher"},{"family":"Knight","given":"Rob"}],"issued":{"date-parts":[["2011",8,15]]}}},{"id":2931,"uris":["http://zotero.org/users/8873894/items/CQ9DMHD6"],"itemData":{"id":2931,"type":"article-journal","abstract":"Sequencing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1C2A55" w:rsidRPr="001C2A55">
        <w:rPr>
          <w:rFonts w:cs="Times New Roman"/>
          <w:szCs w:val="24"/>
          <w:lang w:val="es-ES"/>
          <w:rPrChange w:id="354" w:author="Urša Miklavčič" w:date="2026-04-28T11:15:00Z" w16du:dateUtc="2026-04-28T09:15:00Z">
            <w:rPr>
              <w:rFonts w:cs="Times New Roman"/>
              <w:szCs w:val="24"/>
            </w:rPr>
          </w:rPrChange>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D93D74">
        <w:rPr>
          <w:rFonts w:cs="Times New Roman"/>
          <w:szCs w:val="24"/>
        </w:rPr>
        <w:fldChar w:fldCharType="separate"/>
      </w:r>
      <w:r w:rsidR="00AA6976" w:rsidRPr="00236DBE">
        <w:rPr>
          <w:rFonts w:cs="Times New Roman"/>
          <w:szCs w:val="24"/>
          <w:lang w:val="es-ES"/>
        </w:rPr>
        <w:t>(Cole et al., 2014; Edgar, 2016; Edgar et al., 2011; Pruesse et al., 2007)</w:t>
      </w:r>
      <w:r w:rsidR="00AA6976" w:rsidRPr="00D93D74">
        <w:rPr>
          <w:rFonts w:cs="Times New Roman"/>
          <w:szCs w:val="24"/>
        </w:rPr>
        <w:fldChar w:fldCharType="end"/>
      </w:r>
      <w:r w:rsidRPr="00236DBE">
        <w:rPr>
          <w:rFonts w:cs="Times New Roman"/>
          <w:szCs w:val="24"/>
          <w:lang w:val="es-ES"/>
        </w:rPr>
        <w:t xml:space="preserve">. </w:t>
      </w:r>
      <w:r w:rsidR="00D93D74" w:rsidRPr="00D93D74">
        <w:rPr>
          <w:rFonts w:cs="Times New Roman"/>
          <w:szCs w:val="24"/>
        </w:rPr>
        <w:t xml:space="preserve">OTUs were used as binned quality scores </w:t>
      </w:r>
      <w:r w:rsidR="00D93D74">
        <w:rPr>
          <w:rFonts w:cs="Times New Roman"/>
          <w:szCs w:val="24"/>
        </w:rPr>
        <w:t>outputted from</w:t>
      </w:r>
      <w:r w:rsidR="00D93D74" w:rsidRPr="00D93D74">
        <w:rPr>
          <w:rFonts w:cs="Times New Roman"/>
          <w:szCs w:val="24"/>
        </w:rPr>
        <w:t xml:space="preserve"> NextSeq2500 are not yet compatible with </w:t>
      </w:r>
      <w:r w:rsidR="00D93D74">
        <w:rPr>
          <w:rFonts w:cs="Times New Roman"/>
          <w:szCs w:val="24"/>
        </w:rPr>
        <w:t>‘</w:t>
      </w:r>
      <w:r w:rsidR="00D93D74" w:rsidRPr="00D93D74">
        <w:rPr>
          <w:rFonts w:cs="Times New Roman"/>
          <w:szCs w:val="24"/>
        </w:rPr>
        <w:t>dada2</w:t>
      </w:r>
      <w:r w:rsidR="00D93D74">
        <w:rPr>
          <w:rFonts w:cs="Times New Roman"/>
          <w:szCs w:val="24"/>
        </w:rPr>
        <w:t>’</w:t>
      </w:r>
      <w:r w:rsidR="00D93D74" w:rsidRPr="00D93D74">
        <w:rPr>
          <w:rFonts w:cs="Times New Roman"/>
          <w:szCs w:val="24"/>
        </w:rPr>
        <w:t xml:space="preserve"> pipeline. </w:t>
      </w:r>
      <w:r w:rsidRPr="00D93D74">
        <w:rPr>
          <w:rFonts w:cs="Times New Roman"/>
          <w:szCs w:val="24"/>
        </w:rPr>
        <w:t xml:space="preserve">After quality filtering, depending on the depth of coverage OTUs with </w:t>
      </w:r>
      <w:r w:rsidR="00FB3B5F" w:rsidRPr="00D93D74">
        <w:rPr>
          <w:rFonts w:cs="Times New Roman"/>
          <w:szCs w:val="24"/>
        </w:rPr>
        <w:t>fewer</w:t>
      </w:r>
      <w:r w:rsidRPr="00D93D74">
        <w:rPr>
          <w:rFonts w:cs="Times New Roman"/>
          <w:szCs w:val="24"/>
        </w:rPr>
        <w:t xml:space="preserve"> than </w:t>
      </w:r>
      <w:r w:rsidR="007A3384" w:rsidRPr="00D93D74">
        <w:rPr>
          <w:rFonts w:cs="Times New Roman"/>
          <w:szCs w:val="24"/>
        </w:rPr>
        <w:t xml:space="preserve">a </w:t>
      </w:r>
      <w:r w:rsidR="00FB3B5F" w:rsidRPr="00D93D74">
        <w:rPr>
          <w:rFonts w:cs="Times New Roman"/>
          <w:szCs w:val="24"/>
        </w:rPr>
        <w:t xml:space="preserve">specified </w:t>
      </w:r>
      <w:r w:rsidRPr="00D93D74">
        <w:rPr>
          <w:rFonts w:cs="Times New Roman"/>
          <w:szCs w:val="24"/>
        </w:rPr>
        <w:t>number of reads were removed</w:t>
      </w:r>
      <w:r w:rsidR="00032A34" w:rsidRPr="00D93D74">
        <w:rPr>
          <w:rFonts w:cs="Times New Roman"/>
          <w:szCs w:val="24"/>
        </w:rPr>
        <w:t xml:space="preserve">. Each sample was rarefied </w:t>
      </w:r>
      <w:r w:rsidRPr="00D93D74">
        <w:rPr>
          <w:rFonts w:cs="Times New Roman"/>
          <w:szCs w:val="24"/>
        </w:rPr>
        <w:t xml:space="preserve">to </w:t>
      </w:r>
      <w:r w:rsidR="00FB3B5F" w:rsidRPr="00D93D74">
        <w:rPr>
          <w:rFonts w:cs="Times New Roman"/>
          <w:szCs w:val="24"/>
        </w:rPr>
        <w:t xml:space="preserve">the </w:t>
      </w:r>
      <w:r w:rsidRPr="00D93D74">
        <w:rPr>
          <w:rFonts w:cs="Times New Roman"/>
          <w:szCs w:val="24"/>
        </w:rPr>
        <w:t xml:space="preserve">minimum number of reads after filtering, rounded down to </w:t>
      </w:r>
      <w:r w:rsidR="00555E2B" w:rsidRPr="00D93D74">
        <w:rPr>
          <w:rFonts w:cs="Times New Roman"/>
          <w:szCs w:val="24"/>
        </w:rPr>
        <w:t xml:space="preserve">the </w:t>
      </w:r>
      <w:r w:rsidR="00FB3B5F" w:rsidRPr="00D93D74">
        <w:rPr>
          <w:rFonts w:cs="Times New Roman"/>
          <w:szCs w:val="24"/>
        </w:rPr>
        <w:t>nearest</w:t>
      </w:r>
      <w:r w:rsidRPr="00D93D74">
        <w:rPr>
          <w:rFonts w:cs="Times New Roman"/>
          <w:szCs w:val="24"/>
        </w:rPr>
        <w:t xml:space="preserve"> 1000 </w:t>
      </w:r>
      <w:r w:rsidR="00032A34" w:rsidRPr="00D93D74">
        <w:rPr>
          <w:rFonts w:cs="Times New Roman"/>
          <w:szCs w:val="24"/>
        </w:rPr>
        <w:t xml:space="preserve">based on sequencing experiment </w:t>
      </w:r>
      <w:r w:rsidRPr="00D93D74">
        <w:rPr>
          <w:rFonts w:cs="Times New Roman"/>
          <w:szCs w:val="24"/>
        </w:rPr>
        <w:t>(</w:t>
      </w:r>
      <w:r w:rsidR="00D025AD" w:rsidRPr="00D93D74">
        <w:rPr>
          <w:rFonts w:cs="Times New Roman"/>
          <w:szCs w:val="24"/>
        </w:rPr>
        <w:t xml:space="preserve">Supplement Table </w:t>
      </w:r>
      <w:r w:rsidR="007A3384" w:rsidRPr="00D93D74">
        <w:rPr>
          <w:rFonts w:cs="Times New Roman"/>
          <w:szCs w:val="24"/>
        </w:rPr>
        <w:t>4</w:t>
      </w:r>
      <w:r w:rsidRPr="00D93D74">
        <w:rPr>
          <w:rFonts w:cs="Times New Roman"/>
          <w:szCs w:val="24"/>
        </w:rPr>
        <w:t xml:space="preserve">). Samples with </w:t>
      </w:r>
      <w:r w:rsidR="00FB3B5F" w:rsidRPr="00D93D74">
        <w:rPr>
          <w:rFonts w:cs="Times New Roman"/>
          <w:szCs w:val="24"/>
        </w:rPr>
        <w:t>fewer</w:t>
      </w:r>
      <w:r w:rsidRPr="00D93D74">
        <w:rPr>
          <w:rFonts w:cs="Times New Roman"/>
          <w:szCs w:val="24"/>
        </w:rPr>
        <w:t xml:space="preserve"> reads than the </w:t>
      </w:r>
      <w:r w:rsidR="00FB3B5F" w:rsidRPr="00D93D74">
        <w:rPr>
          <w:rFonts w:cs="Times New Roman"/>
          <w:szCs w:val="24"/>
        </w:rPr>
        <w:t xml:space="preserve">chosen </w:t>
      </w:r>
      <w:r w:rsidRPr="00D93D74">
        <w:rPr>
          <w:rFonts w:cs="Times New Roman"/>
          <w:szCs w:val="24"/>
        </w:rPr>
        <w:t xml:space="preserve">minimum were removed from the analysis. </w:t>
      </w:r>
      <w:r w:rsidR="007A3384" w:rsidRPr="00D93D74">
        <w:rPr>
          <w:rFonts w:cs="Times New Roman"/>
          <w:szCs w:val="24"/>
        </w:rPr>
        <w:t>Analysis and graphical representations of t</w:t>
      </w:r>
      <w:r w:rsidR="00A95361" w:rsidRPr="00D93D74">
        <w:rPr>
          <w:rFonts w:cs="Times New Roman"/>
          <w:szCs w:val="24"/>
        </w:rPr>
        <w:t xml:space="preserve">he </w:t>
      </w:r>
      <w:r w:rsidR="007A3384" w:rsidRPr="00D93D74">
        <w:rPr>
          <w:rFonts w:cs="Times New Roman"/>
          <w:szCs w:val="24"/>
        </w:rPr>
        <w:t>experiments</w:t>
      </w:r>
      <w:r w:rsidR="00032A34" w:rsidRPr="00D93D74">
        <w:rPr>
          <w:rFonts w:cs="Times New Roman"/>
          <w:szCs w:val="24"/>
        </w:rPr>
        <w:t xml:space="preserve"> </w:t>
      </w:r>
      <w:r w:rsidR="00A95361" w:rsidRPr="00D93D74">
        <w:rPr>
          <w:rFonts w:cs="Times New Roman"/>
          <w:szCs w:val="24"/>
        </w:rPr>
        <w:t xml:space="preserve">were </w:t>
      </w:r>
      <w:r w:rsidR="00A840B0" w:rsidRPr="00D93D74">
        <w:rPr>
          <w:rFonts w:cs="Times New Roman"/>
          <w:szCs w:val="24"/>
        </w:rPr>
        <w:t>performed</w:t>
      </w:r>
      <w:r w:rsidR="00A95361" w:rsidRPr="00D93D74">
        <w:rPr>
          <w:rFonts w:cs="Times New Roman"/>
          <w:szCs w:val="24"/>
        </w:rPr>
        <w:t xml:space="preserve"> in R v4.</w:t>
      </w:r>
      <w:r w:rsidR="00D93D74">
        <w:rPr>
          <w:rFonts w:cs="Times New Roman"/>
          <w:szCs w:val="24"/>
        </w:rPr>
        <w:t>4</w:t>
      </w:r>
      <w:r w:rsidR="00A95361" w:rsidRPr="00D93D74">
        <w:rPr>
          <w:rFonts w:cs="Times New Roman"/>
          <w:szCs w:val="24"/>
        </w:rPr>
        <w:t xml:space="preserve">.1 using </w:t>
      </w:r>
      <w:r w:rsidR="00A840B0" w:rsidRPr="00D93D74">
        <w:rPr>
          <w:rFonts w:cs="Times New Roman"/>
          <w:szCs w:val="24"/>
        </w:rPr>
        <w:t xml:space="preserve">the following </w:t>
      </w:r>
      <w:r w:rsidR="00A95361" w:rsidRPr="00D93D74">
        <w:rPr>
          <w:rFonts w:cs="Times New Roman"/>
          <w:szCs w:val="24"/>
        </w:rPr>
        <w:t xml:space="preserve">packages: </w:t>
      </w:r>
      <w:r w:rsidR="00202238" w:rsidRPr="00D93D74">
        <w:rPr>
          <w:rFonts w:cs="Times New Roman"/>
          <w:szCs w:val="24"/>
        </w:rPr>
        <w:t>‘</w:t>
      </w:r>
      <w:r w:rsidR="007A3384" w:rsidRPr="00D93D74">
        <w:rPr>
          <w:rFonts w:cs="Times New Roman"/>
          <w:szCs w:val="24"/>
        </w:rPr>
        <w:t>dplyr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tidyr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tibble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lastRenderedPageBreak/>
        <w:t>‘</w:t>
      </w:r>
      <w:r w:rsidR="007A3384" w:rsidRPr="00D93D74">
        <w:rPr>
          <w:rFonts w:cs="Times New Roman"/>
          <w:szCs w:val="24"/>
        </w:rPr>
        <w:t>stringr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readr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scales</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ggplot2</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ggpubr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vegan</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glue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lubridate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pur</w:t>
      </w:r>
      <w:r w:rsidR="00A840B0" w:rsidRPr="00D93D74">
        <w:rPr>
          <w:rFonts w:cs="Times New Roman"/>
          <w:szCs w:val="24"/>
        </w:rPr>
        <w:t>r</w:t>
      </w:r>
      <w:r w:rsidR="007A3384" w:rsidRPr="00D93D74">
        <w:rPr>
          <w:rFonts w:cs="Times New Roman"/>
          <w:szCs w:val="24"/>
        </w:rPr>
        <w:t>r</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readxl</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forcats</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ggnewscale</w:t>
      </w:r>
      <w:r w:rsidR="00202238" w:rsidRPr="00D93D74">
        <w:rPr>
          <w:rFonts w:cs="Times New Roman"/>
          <w:szCs w:val="24"/>
        </w:rPr>
        <w:t xml:space="preserve">’, </w:t>
      </w:r>
      <w:r w:rsidR="00A840B0" w:rsidRPr="00D93D74">
        <w:rPr>
          <w:rFonts w:cs="Times New Roman"/>
          <w:szCs w:val="24"/>
        </w:rPr>
        <w:t xml:space="preserve">and </w:t>
      </w:r>
      <w:r w:rsidR="00202238" w:rsidRPr="00D93D74">
        <w:rPr>
          <w:rFonts w:cs="Times New Roman"/>
          <w:szCs w:val="24"/>
        </w:rPr>
        <w:t xml:space="preserve">‘renv’, </w:t>
      </w:r>
      <w:r w:rsidR="00A840B0" w:rsidRPr="00D93D74">
        <w:rPr>
          <w:rFonts w:cs="Times New Roman"/>
          <w:szCs w:val="24"/>
        </w:rPr>
        <w:t xml:space="preserve">with </w:t>
      </w:r>
      <w:r w:rsidR="00202238" w:rsidRPr="00D93D74">
        <w:rPr>
          <w:rFonts w:cs="Times New Roman"/>
          <w:szCs w:val="24"/>
        </w:rPr>
        <w:t xml:space="preserve">versions available in the thesis.renv </w:t>
      </w:r>
      <w:r w:rsidR="00A840B0" w:rsidRPr="00D93D74">
        <w:rPr>
          <w:rFonts w:cs="Times New Roman"/>
          <w:szCs w:val="24"/>
        </w:rPr>
        <w:t xml:space="preserve">environment </w:t>
      </w:r>
      <w:r w:rsidR="00202238" w:rsidRPr="00D93D74">
        <w:rPr>
          <w:rFonts w:cs="Times New Roman"/>
          <w:szCs w:val="24"/>
        </w:rPr>
        <w:fldChar w:fldCharType="begin"/>
      </w:r>
      <w:r w:rsidR="001C2A55">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tidyverse, 2016/2025; Oksanen, n.d.-a, n.d.-b; Oksanen et al., 2022; Wickham et al., 2019)","plainCitation":"(Ggplot2 Based Publication Ready Plots, n.d.; Project Environments, n.d.; R: The R Project for Statistical Computing, n.d.; Read Excel Files, n.d.; Scale Functions for Visualization, n.d.; tidyverse, 2016/2025; Oksanen, n.d.-a, n.d.-b; Oksanen et al., 2022; Wickham et al., 2019)","noteIndex":0},"citationItems":[{"id":3212,"uris":["http://zotero.org/users/8873894/items/R6CZVA3K"],"itemData":{"id":3212,"type":"webpage","abstract":"The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Plots","URL":"https://rpkgs.datanovia.com/ggpubr/","accessed":{"date-parts":[["2025",11,7]]}}},{"id":3209,"uris":["http://zotero.org/users/8873894/items/YUQT254R"],"itemData":{"id":3209,"type":"webpage","abstract":"A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Environments","URL":"https://rstudio.github.io/renv/","accessed":{"date-parts":[["2025",11,7]]}}},{"id":3232,"uris":["http://zotero.org/users/8873894/items/EC46UBHE"],"itemData":{"id":3232,"type":"webpage","title":"R: The R Project for Statistical Computing","URL":"https://www.r-project.org/","accessed":{"date-parts":[["2025",10,21]]}}},{"id":3210,"uris":["http://zotero.org/users/8873894/items/8SBVVBIC"],"itemData":{"id":3210,"type":"webpage","abstract":"Import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Files","URL":"https://readxl.tidyverse.org/","accessed":{"date-parts":[["2025",11,7]]}}},{"id":3213,"uris":["http://zotero.org/users/8873894/items/HBZEQW6Q"],"itemData":{"id":3213,"type":"webpage","abstract":"Graphical scales map data to aesthetics, and provide methods for automatically determining breaks and labels for axes and legends.","language":"en","title":"Scale Functions for Visualization","URL":"https://scales.r-lib.org/","accessed":{"date-parts":[["2025",11,7]]}}},{"id":3211,"uris":["http://zotero.org/users/8873894/items/ZGSV4MT4"],"itemData":{"id":3211,"type":"software","abstract":"Glue strings to data in R. Small, fast, dependency free interpreted string literals.","genre":"R","note":"original-date: 2016-12-23T21:07:25Z","publisher":"tidyverse","source":"GitHub","title":"tidyverse/glue","URL":"https://github.com/tidyverse/glue","accessed":{"date-parts":[["2025",11,7]]},"issued":{"date-parts":[["2025",10,20]]}}},{"id":1601,"uris":["http://zotero.org/users/8873894/items/ALATME27"],"itemData":{"id":1601,"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tutorial","author":[{"family":"Oksanen","given":"Jari"}]}},{"id":451,"uris":["http://zotero.org/users/8873894/items/2YYN6HYX"],"itemData":{"id":451,"type":"article-journal","abstract":"The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ordination","author":[{"family":"Oksanen","given":"Jari"}]}},{"id":832,"uris":["http://zotero.org/users/8873894/items/RDRITC3V"],"itemData":{"id":832,"type":"document","source":"Google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L."},{"family":"Solymos","given":"P."}],"issued":{"date-parts":[["2022"]]}}},{"id":101,"uris":["http://zotero.org/users/8873894/items/T2ZAXF2T"],"itemData":{"id":101,"type":"article-journal","container-title":"Journal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sidRPr="00D93D74">
        <w:rPr>
          <w:rFonts w:cs="Times New Roman"/>
          <w:szCs w:val="24"/>
        </w:rPr>
        <w:fldChar w:fldCharType="separate"/>
      </w:r>
      <w:r w:rsidR="00D9297E" w:rsidRPr="00D93D74">
        <w:rPr>
          <w:rFonts w:cs="Times New Roman"/>
        </w:rPr>
        <w:t>(</w:t>
      </w:r>
      <w:r w:rsidR="00D9297E" w:rsidRPr="00D93D74">
        <w:rPr>
          <w:rFonts w:cs="Times New Roman"/>
          <w:i/>
          <w:iCs/>
        </w:rPr>
        <w:t>Ggplot2 Based Publication Ready Plots</w:t>
      </w:r>
      <w:r w:rsidR="00D9297E" w:rsidRPr="00D93D74">
        <w:rPr>
          <w:rFonts w:cs="Times New Roman"/>
        </w:rPr>
        <w:t xml:space="preserve">, n.d.; </w:t>
      </w:r>
      <w:r w:rsidR="00D9297E" w:rsidRPr="00D93D74">
        <w:rPr>
          <w:rFonts w:cs="Times New Roman"/>
          <w:i/>
          <w:iCs/>
        </w:rPr>
        <w:t>Project Environments</w:t>
      </w:r>
      <w:r w:rsidR="00D9297E" w:rsidRPr="00D93D74">
        <w:rPr>
          <w:rFonts w:cs="Times New Roman"/>
        </w:rPr>
        <w:t xml:space="preserve">, n.d.; </w:t>
      </w:r>
      <w:r w:rsidR="00D9297E" w:rsidRPr="00D93D74">
        <w:rPr>
          <w:rFonts w:cs="Times New Roman"/>
          <w:i/>
          <w:iCs/>
        </w:rPr>
        <w:t>R: The R Project for Statistical Computing</w:t>
      </w:r>
      <w:r w:rsidR="00D9297E" w:rsidRPr="00D93D74">
        <w:rPr>
          <w:rFonts w:cs="Times New Roman"/>
        </w:rPr>
        <w:t xml:space="preserve">, n.d.; </w:t>
      </w:r>
      <w:r w:rsidR="00D9297E" w:rsidRPr="00D93D74">
        <w:rPr>
          <w:rFonts w:cs="Times New Roman"/>
          <w:i/>
          <w:iCs/>
        </w:rPr>
        <w:t>Read Excel Files</w:t>
      </w:r>
      <w:r w:rsidR="00D9297E" w:rsidRPr="00D93D74">
        <w:rPr>
          <w:rFonts w:cs="Times New Roman"/>
        </w:rPr>
        <w:t xml:space="preserve">, n.d.; </w:t>
      </w:r>
      <w:r w:rsidR="00D9297E" w:rsidRPr="00D93D74">
        <w:rPr>
          <w:rFonts w:cs="Times New Roman"/>
          <w:i/>
          <w:iCs/>
        </w:rPr>
        <w:t>Scale Functions for Visualization</w:t>
      </w:r>
      <w:r w:rsidR="00D9297E" w:rsidRPr="00D93D74">
        <w:rPr>
          <w:rFonts w:cs="Times New Roman"/>
        </w:rPr>
        <w:t>, n.d.; tidyverse, 2016/2025; Oksanen, n.d.-a, n.d.-b; Oksanen et al., 2022; Wickham et al., 2019)</w:t>
      </w:r>
      <w:r w:rsidR="00202238" w:rsidRPr="00D93D74">
        <w:rPr>
          <w:rFonts w:cs="Times New Roman"/>
          <w:szCs w:val="24"/>
        </w:rPr>
        <w:fldChar w:fldCharType="end"/>
      </w:r>
      <w:r w:rsidR="0043153B" w:rsidRPr="00D93D74">
        <w:rPr>
          <w:rFonts w:cs="Times New Roman"/>
          <w:szCs w:val="24"/>
        </w:rPr>
        <w:t xml:space="preserve">. </w:t>
      </w:r>
    </w:p>
    <w:p w14:paraId="35B3DF21" w14:textId="77777777" w:rsidR="004B61A2" w:rsidRPr="00D93D74" w:rsidRDefault="004B61A2" w:rsidP="00CD77AB">
      <w:pPr>
        <w:rPr>
          <w:rFonts w:cs="Times New Roman"/>
          <w:szCs w:val="24"/>
        </w:rPr>
      </w:pPr>
    </w:p>
    <w:p w14:paraId="7B0346CC" w14:textId="5266028E" w:rsidR="00E32385" w:rsidRPr="00D93D74" w:rsidRDefault="00133BF6">
      <w:pPr>
        <w:pStyle w:val="Naslov4"/>
        <w:numPr>
          <w:ilvl w:val="3"/>
          <w:numId w:val="3"/>
        </w:numPr>
      </w:pPr>
      <w:bookmarkStart w:id="355" w:name="_Toc216099726"/>
      <w:bookmarkStart w:id="356" w:name="_Toc220932848"/>
      <w:r w:rsidRPr="00D93D74">
        <w:t>Criteria for d</w:t>
      </w:r>
      <w:r w:rsidR="00D07995" w:rsidRPr="00D93D74">
        <w:t>etermination of e</w:t>
      </w:r>
      <w:r w:rsidR="00546F35" w:rsidRPr="00D93D74">
        <w:t>thanol</w:t>
      </w:r>
      <w:ins w:id="357" w:author="Urša Miklavčič" w:date="2026-04-28T18:41:00Z" w16du:dateUtc="2026-04-28T16:41:00Z">
        <w:r w:rsidR="0023210F">
          <w:t>-</w:t>
        </w:r>
      </w:ins>
      <w:del w:id="358" w:author="Urša Miklavčič" w:date="2026-04-28T18:41:00Z" w16du:dateUtc="2026-04-28T16:41:00Z">
        <w:r w:rsidR="00546F35" w:rsidRPr="00D93D74" w:rsidDel="0023210F">
          <w:delText xml:space="preserve"> </w:delText>
        </w:r>
      </w:del>
      <w:r w:rsidR="00546F35" w:rsidRPr="00D93D74">
        <w:t>resistant and</w:t>
      </w:r>
      <w:del w:id="359" w:author="Urša Miklavčič" w:date="2026-04-28T18:42:00Z" w16du:dateUtc="2026-04-28T16:42:00Z">
        <w:r w:rsidR="00546F35" w:rsidRPr="00D93D74" w:rsidDel="0023210F">
          <w:delText xml:space="preserve"> </w:delText>
        </w:r>
      </w:del>
      <w:ins w:id="360" w:author="Urša Miklavčič" w:date="2026-04-28T18:41:00Z" w16du:dateUtc="2026-04-28T16:41:00Z">
        <w:r w:rsidR="0023210F">
          <w:t xml:space="preserve"> </w:t>
        </w:r>
      </w:ins>
      <w:r w:rsidR="00546F35" w:rsidRPr="00D93D74">
        <w:t>ethanol</w:t>
      </w:r>
      <w:ins w:id="361" w:author="Urša Miklavčič" w:date="2026-04-28T18:42:00Z" w16du:dateUtc="2026-04-28T16:42:00Z">
        <w:r w:rsidR="0023210F">
          <w:t xml:space="preserve"> non-</w:t>
        </w:r>
      </w:ins>
      <w:del w:id="362" w:author="Urša Miklavčič" w:date="2026-04-28T18:41:00Z" w16du:dateUtc="2026-04-28T16:41:00Z">
        <w:r w:rsidR="00546F35" w:rsidRPr="00D93D74" w:rsidDel="0023210F">
          <w:delText xml:space="preserve"> non-</w:delText>
        </w:r>
      </w:del>
      <w:r w:rsidR="00546F35" w:rsidRPr="00D93D74">
        <w:t xml:space="preserve">resistant </w:t>
      </w:r>
      <w:r w:rsidRPr="00D93D74">
        <w:t xml:space="preserve">OTUs </w:t>
      </w:r>
      <w:r w:rsidR="00D07995" w:rsidRPr="00D93D74">
        <w:t>in the longitudinal study</w:t>
      </w:r>
      <w:bookmarkEnd w:id="355"/>
      <w:bookmarkEnd w:id="356"/>
    </w:p>
    <w:p w14:paraId="1B5AC43F" w14:textId="481F6515" w:rsidR="00227E0D" w:rsidRPr="00D93D74" w:rsidRDefault="00A840B0" w:rsidP="00CD77AB">
      <w:pPr>
        <w:rPr>
          <w:rFonts w:cs="Times New Roman"/>
          <w:szCs w:val="24"/>
        </w:rPr>
      </w:pPr>
      <w:r w:rsidRPr="00D93D74">
        <w:rPr>
          <w:rFonts w:cs="Times New Roman"/>
          <w:szCs w:val="24"/>
        </w:rPr>
        <w:t xml:space="preserve">An individual OTU was determined as a member of the ethanol-resistant community if </w:t>
      </w:r>
      <w:r w:rsidR="00555E2B" w:rsidRPr="00D93D74">
        <w:rPr>
          <w:rFonts w:cs="Times New Roman"/>
          <w:szCs w:val="24"/>
        </w:rPr>
        <w:t xml:space="preserve">it met </w:t>
      </w:r>
      <w:r w:rsidRPr="00D93D74">
        <w:rPr>
          <w:rFonts w:cs="Times New Roman"/>
          <w:szCs w:val="24"/>
        </w:rPr>
        <w:t xml:space="preserve">the following criteria: 1) the OTU was present in both the </w:t>
      </w:r>
      <w:r w:rsidR="00B41263" w:rsidRPr="00D93D74">
        <w:rPr>
          <w:rFonts w:cs="Times New Roman"/>
          <w:szCs w:val="24"/>
        </w:rPr>
        <w:t>untreated</w:t>
      </w:r>
      <w:r w:rsidRPr="00D93D74">
        <w:rPr>
          <w:rFonts w:cs="Times New Roman"/>
          <w:szCs w:val="24"/>
        </w:rPr>
        <w:t xml:space="preserve"> and ethanol</w:t>
      </w:r>
      <w:r w:rsidR="00B41263" w:rsidRPr="00D93D74">
        <w:rPr>
          <w:rFonts w:cs="Times New Roman"/>
          <w:szCs w:val="24"/>
        </w:rPr>
        <w:t xml:space="preserve"> </w:t>
      </w:r>
      <w:r w:rsidRPr="00D93D74">
        <w:rPr>
          <w:rFonts w:cs="Times New Roman"/>
          <w:szCs w:val="24"/>
        </w:rPr>
        <w:t xml:space="preserve">treated sample from the same stool sample, </w:t>
      </w:r>
      <w:commentRangeStart w:id="363"/>
      <w:commentRangeStart w:id="364"/>
      <w:r w:rsidRPr="00D93D74">
        <w:rPr>
          <w:rFonts w:cs="Times New Roman"/>
          <w:szCs w:val="24"/>
        </w:rPr>
        <w:t>and</w:t>
      </w:r>
      <w:commentRangeEnd w:id="363"/>
      <w:r w:rsidR="00227E0D" w:rsidRPr="00D93D74">
        <w:rPr>
          <w:rStyle w:val="Pripombasklic"/>
          <w:rFonts w:cs="Times New Roman"/>
          <w:sz w:val="24"/>
          <w:szCs w:val="24"/>
        </w:rPr>
        <w:commentReference w:id="363"/>
      </w:r>
      <w:commentRangeEnd w:id="364"/>
      <w:r w:rsidR="00DA42F5" w:rsidRPr="00D93D74">
        <w:rPr>
          <w:rStyle w:val="Pripombasklic"/>
          <w:rFonts w:cs="Times New Roman"/>
          <w:sz w:val="24"/>
          <w:szCs w:val="24"/>
        </w:rPr>
        <w:commentReference w:id="364"/>
      </w:r>
      <w:r w:rsidRPr="00D93D74">
        <w:rPr>
          <w:rFonts w:cs="Times New Roman"/>
          <w:szCs w:val="24"/>
        </w:rPr>
        <w:t xml:space="preserve"> 2) it was found at a higher relative abundance in the ethanol</w:t>
      </w:r>
      <w:r w:rsidR="00D93D74">
        <w:rPr>
          <w:rFonts w:cs="Times New Roman"/>
          <w:szCs w:val="24"/>
        </w:rPr>
        <w:t xml:space="preserve"> </w:t>
      </w:r>
      <w:r w:rsidRPr="00D93D74">
        <w:rPr>
          <w:rFonts w:cs="Times New Roman"/>
          <w:szCs w:val="24"/>
        </w:rPr>
        <w:t>treated sample in at least 5% of samples where criterion 1</w:t>
      </w:r>
      <w:r w:rsidR="00032A34" w:rsidRPr="00D93D74">
        <w:rPr>
          <w:rFonts w:cs="Times New Roman"/>
          <w:szCs w:val="24"/>
        </w:rPr>
        <w:t>)</w:t>
      </w:r>
      <w:r w:rsidRPr="00D93D74">
        <w:rPr>
          <w:rFonts w:cs="Times New Roman"/>
          <w:szCs w:val="24"/>
        </w:rPr>
        <w:t xml:space="preserve"> was met. OTUs absent from all ethanol</w:t>
      </w:r>
      <w:r w:rsidR="00D93D74">
        <w:rPr>
          <w:rFonts w:cs="Times New Roman"/>
          <w:szCs w:val="24"/>
        </w:rPr>
        <w:t xml:space="preserve"> </w:t>
      </w:r>
      <w:r w:rsidRPr="00D93D74">
        <w:rPr>
          <w:rFonts w:cs="Times New Roman"/>
          <w:szCs w:val="24"/>
        </w:rPr>
        <w:t>treated samples were considered ethanol non-resistant.</w:t>
      </w:r>
      <w:r w:rsidR="003E4B71" w:rsidRPr="00D93D74">
        <w:rPr>
          <w:rFonts w:cs="Times New Roman"/>
          <w:szCs w:val="24"/>
        </w:rPr>
        <w:t xml:space="preserve"> </w:t>
      </w:r>
    </w:p>
    <w:p w14:paraId="3BA97412" w14:textId="0E4EACE4" w:rsidR="00B11A96" w:rsidRDefault="00A840B0" w:rsidP="00DA42F5">
      <w:pPr>
        <w:rPr>
          <w:rFonts w:cs="Times New Roman"/>
          <w:szCs w:val="24"/>
        </w:rPr>
      </w:pPr>
      <w:r w:rsidRPr="00D93D74">
        <w:rPr>
          <w:rFonts w:cs="Times New Roman"/>
          <w:szCs w:val="24"/>
        </w:rPr>
        <w:t>OTUs detected in the ethanol-resistant community in less than 5% of the samples (determined uncertain</w:t>
      </w:r>
      <w:r w:rsidR="00032A34" w:rsidRPr="00D93D74">
        <w:rPr>
          <w:rFonts w:cs="Times New Roman"/>
          <w:szCs w:val="24"/>
        </w:rPr>
        <w:t>, n = 83</w:t>
      </w:r>
      <w:r w:rsidRPr="00D93D74">
        <w:rPr>
          <w:rFonts w:cs="Times New Roman"/>
          <w:szCs w:val="24"/>
        </w:rPr>
        <w:t xml:space="preserve">), and OTUs detected only in ethanol-treated samples (n = 141), were excluded from </w:t>
      </w:r>
      <w:r w:rsidR="00B304AC" w:rsidRPr="00D93D74">
        <w:rPr>
          <w:rFonts w:cs="Times New Roman"/>
          <w:szCs w:val="24"/>
        </w:rPr>
        <w:t xml:space="preserve">further </w:t>
      </w:r>
      <w:r w:rsidRPr="00D93D74">
        <w:rPr>
          <w:rFonts w:cs="Times New Roman"/>
          <w:szCs w:val="24"/>
        </w:rPr>
        <w:t>analysis</w:t>
      </w:r>
      <w:r w:rsidR="006B297F" w:rsidRPr="00D93D74">
        <w:rPr>
          <w:rFonts w:cs="Times New Roman"/>
          <w:szCs w:val="24"/>
        </w:rPr>
        <w:t xml:space="preserve"> (Supplement Text </w:t>
      </w:r>
      <w:ins w:id="365" w:author="Urša Miklavčič [2]" w:date="2026-04-21T13:18:00Z" w16du:dateUtc="2026-04-21T11:18:00Z">
        <w:r w:rsidR="00554FAF">
          <w:rPr>
            <w:rFonts w:cs="Times New Roman"/>
            <w:szCs w:val="24"/>
          </w:rPr>
          <w:t>2</w:t>
        </w:r>
      </w:ins>
      <w:del w:id="366" w:author="Urša Miklavčič [2]" w:date="2026-04-21T13:18:00Z" w16du:dateUtc="2026-04-21T11:18:00Z">
        <w:r w:rsidR="006B297F" w:rsidRPr="00D93D74" w:rsidDel="00554FAF">
          <w:rPr>
            <w:rFonts w:cs="Times New Roman"/>
            <w:szCs w:val="24"/>
          </w:rPr>
          <w:delText>3</w:delText>
        </w:r>
      </w:del>
      <w:r w:rsidR="006B297F" w:rsidRPr="00D93D74">
        <w:rPr>
          <w:rFonts w:cs="Times New Roman"/>
          <w:szCs w:val="24"/>
        </w:rPr>
        <w:t>)</w:t>
      </w:r>
      <w:r w:rsidRPr="00D93D74">
        <w:rPr>
          <w:rFonts w:cs="Times New Roman"/>
          <w:szCs w:val="24"/>
        </w:rPr>
        <w:t xml:space="preserve">. </w:t>
      </w:r>
    </w:p>
    <w:p w14:paraId="7D3677C1" w14:textId="77777777" w:rsidR="004B61A2" w:rsidRPr="004B61A2" w:rsidRDefault="004B61A2" w:rsidP="00DA42F5">
      <w:pPr>
        <w:rPr>
          <w:rFonts w:cs="Times New Roman"/>
          <w:szCs w:val="24"/>
        </w:rPr>
      </w:pPr>
    </w:p>
    <w:p w14:paraId="1E7FF09C" w14:textId="6AB99189" w:rsidR="004C54E4" w:rsidRPr="00D93D74" w:rsidRDefault="00575DD2">
      <w:pPr>
        <w:pStyle w:val="Naslov4"/>
        <w:numPr>
          <w:ilvl w:val="3"/>
          <w:numId w:val="3"/>
        </w:numPr>
        <w:rPr>
          <w:b/>
        </w:rPr>
      </w:pPr>
      <w:bookmarkStart w:id="367" w:name="_Toc216099727"/>
      <w:bookmarkStart w:id="368" w:name="_Toc220932849"/>
      <w:r w:rsidRPr="00D93D74">
        <w:t>Bacterial diversity and community composition analysis</w:t>
      </w:r>
      <w:bookmarkEnd w:id="367"/>
      <w:bookmarkEnd w:id="368"/>
    </w:p>
    <w:p w14:paraId="0E580989" w14:textId="77777777" w:rsidR="00617D6F" w:rsidRDefault="00A840B0" w:rsidP="00CD77AB">
      <w:pPr>
        <w:rPr>
          <w:rFonts w:cs="Times New Roman"/>
          <w:szCs w:val="24"/>
        </w:rPr>
      </w:pPr>
      <w:r w:rsidRPr="00D93D74">
        <w:rPr>
          <w:rFonts w:cs="Times New Roman"/>
          <w:szCs w:val="24"/>
        </w:rPr>
        <w:t xml:space="preserve">Community diversity of the ethanol-resistant and ethanol non-resistant communities was calculated using functions from the R package ‘vegan’. </w:t>
      </w:r>
    </w:p>
    <w:p w14:paraId="5BA3C0B8" w14:textId="1271A006" w:rsidR="00617D6F" w:rsidRDefault="00A840B0" w:rsidP="00CD77AB">
      <w:pPr>
        <w:rPr>
          <w:rFonts w:cs="Times New Roman"/>
          <w:szCs w:val="24"/>
        </w:rPr>
      </w:pPr>
      <w:r w:rsidRPr="00D93D74">
        <w:rPr>
          <w:rFonts w:cs="Times New Roman"/>
          <w:szCs w:val="24"/>
        </w:rPr>
        <w:t>For alpha diversity, we used the Shannon</w:t>
      </w:r>
      <w:r w:rsidR="00D93D74">
        <w:rPr>
          <w:rFonts w:cs="Times New Roman"/>
          <w:szCs w:val="24"/>
        </w:rPr>
        <w:t xml:space="preserve"> diversity</w:t>
      </w:r>
      <w:r w:rsidRPr="00D93D74">
        <w:rPr>
          <w:rFonts w:cs="Times New Roman"/>
          <w:szCs w:val="24"/>
        </w:rPr>
        <w:t xml:space="preserve"> index, which measures both the richness and evenness of a sample</w:t>
      </w:r>
      <w:ins w:id="369" w:author="Urša Miklavčič" w:date="2026-04-28T18:42:00Z" w16du:dateUtc="2026-04-28T16:42:00Z">
        <w:r w:rsidR="0023210F">
          <w:rPr>
            <w:rFonts w:cs="Times New Roman"/>
            <w:szCs w:val="24"/>
          </w:rPr>
          <w:t xml:space="preserve"> and separately richness and evenness</w:t>
        </w:r>
      </w:ins>
      <w:r w:rsidRPr="00D93D74">
        <w:rPr>
          <w:rFonts w:cs="Times New Roman"/>
          <w:szCs w:val="24"/>
        </w:rPr>
        <w:t xml:space="preserve">. </w:t>
      </w:r>
      <w:r w:rsidR="00617D6F" w:rsidRPr="00617D6F">
        <w:rPr>
          <w:rFonts w:cs="Times New Roman"/>
          <w:szCs w:val="24"/>
        </w:rPr>
        <w:t xml:space="preserve">Temporal changes in alpha diversity for each participant were compared between 16S amplicon and metagenomic data for untreated and ethanol-treated samples using repeated-measures correlation analysis implemented in the ‘rmcorr’ R package </w:t>
      </w:r>
      <w:r w:rsidR="00617D6F">
        <w:rPr>
          <w:rFonts w:cs="Times New Roman"/>
          <w:szCs w:val="24"/>
        </w:rPr>
        <w:fldChar w:fldCharType="begin"/>
      </w:r>
      <w:r w:rsidR="001C2A55">
        <w:rPr>
          <w:rFonts w:cs="Times New Roman"/>
          <w:szCs w:val="24"/>
        </w:rPr>
        <w:instrText xml:space="preserve"> ADDIN ZOTERO_ITEM CSL_CITATION {"citationID":"nTefjh8G","properties":{"formattedCitation":"(Bakdash &amp; Marusich, 2017)","plainCitation":"(Bakdash &amp; Marusich, 2017)","noteIndex":0},"citationItems":[{"id":3394,"uris":["http://zotero.org/users/8873894/items/P9S8B4FK"],"itemData":{"id":3394,"type":"article-journal","abstract":"Repeated measures correlation (rmcorr) is a statistical technique for determining the common within-individual association for paired measures assessed on two or more occasions for multiple individuals. Simple regression/correlation is often applied to non-independent observations or aggregated data; this may produce biased, specious results due to violation of independence and/or differing patterns between-participants versus within-participants. Unlike simple regression/correlation, rmcorr does not violate the assumption of independence of observations. Also, rmcorr tends to have much greater statistical power because neither averaging nor aggregation is necessary for an intra-individual research question. Rmcorr estimates the common regression slope, the association shared among individuals. To make rmcorr accessible, we provide background information for its assumptions and equations, visualization, power, and tradeoffs with rmcorr compared to multilevel modeling. We introduce the R package (rmcorr) and demonstrate its use for inferential statistics and visualization with two example datasets. The examples are used to illustrate research questions at different levels of analysis, intra-individual and inter-individual. Rmcorr is well-suited for research questions regarding the common linear association in paired repeated measures data. All results are fully reproducible.","container-title":"Frontiers in Psychology","DOI":"10.3389/fpsyg.2017.00456","ISSN":"1664-1078","journalAbbreviation":"Front. Psychol.","language":"English","publisher":"Frontiers","source":"Frontiers","title":"Repeated Measures Correlation","URL":"https://www.frontiersin.org/journals/psychology/articles/10.3389/fpsyg.2017.00456/full","volume":"8","author":[{"family":"Bakdash","given":"Jonathan Z."},{"family":"Marusich","given":"Laura R."}],"accessed":{"date-parts":[["2026",3,26]]},"issued":{"date-parts":[["2017",4,7]]}}}],"schema":"https://github.com/citation-style-language/schema/raw/master/csl-citation.json"} </w:instrText>
      </w:r>
      <w:r w:rsidR="00617D6F">
        <w:rPr>
          <w:rFonts w:cs="Times New Roman"/>
          <w:szCs w:val="24"/>
        </w:rPr>
        <w:fldChar w:fldCharType="separate"/>
      </w:r>
      <w:r w:rsidR="00617D6F" w:rsidRPr="00617D6F">
        <w:rPr>
          <w:rFonts w:cs="Times New Roman"/>
        </w:rPr>
        <w:t>(Bakdash &amp; Marusich, 2017)</w:t>
      </w:r>
      <w:r w:rsidR="00617D6F">
        <w:rPr>
          <w:rFonts w:cs="Times New Roman"/>
          <w:szCs w:val="24"/>
        </w:rPr>
        <w:fldChar w:fldCharType="end"/>
      </w:r>
      <w:r w:rsidR="00617D6F" w:rsidRPr="00617D6F">
        <w:rPr>
          <w:rFonts w:cs="Times New Roman"/>
          <w:szCs w:val="24"/>
        </w:rPr>
        <w:t>.</w:t>
      </w:r>
    </w:p>
    <w:p w14:paraId="08523A40" w14:textId="4153B0B2" w:rsidR="00617D6F" w:rsidRDefault="00A840B0" w:rsidP="00CD77AB">
      <w:pPr>
        <w:rPr>
          <w:rFonts w:cs="Times New Roman"/>
          <w:szCs w:val="24"/>
        </w:rPr>
      </w:pPr>
      <w:r w:rsidRPr="00D93D74">
        <w:rPr>
          <w:rFonts w:cs="Times New Roman"/>
          <w:szCs w:val="24"/>
        </w:rPr>
        <w:t xml:space="preserve">Between-sample diversity was assessed using Bray-Curtis dissimilarity and Jaccard distance, considering the number of OTUs and their relative abundance or presence and absence, respectively. </w:t>
      </w:r>
      <w:r w:rsidR="00617D6F" w:rsidRPr="00617D6F">
        <w:rPr>
          <w:rFonts w:cs="Times New Roman"/>
          <w:szCs w:val="24"/>
        </w:rPr>
        <w:t xml:space="preserve">Unequal group sizes in the beta diversity analysis were addressed using bootstrapping (subsample size = 104, 99 permutations). Procrustes analysis was used to assess concordance between NMDS ordinations based on Bray–Curtis dissimilarity calculated from OTU- and species-level data </w:t>
      </w:r>
      <w:r w:rsidR="00617D6F">
        <w:rPr>
          <w:rFonts w:cs="Times New Roman"/>
          <w:szCs w:val="24"/>
        </w:rPr>
        <w:fldChar w:fldCharType="begin"/>
      </w:r>
      <w:r w:rsidR="001C2A55">
        <w:rPr>
          <w:rFonts w:cs="Times New Roman"/>
          <w:szCs w:val="24"/>
        </w:rPr>
        <w:instrText xml:space="preserve"> ADDIN ZOTERO_ITEM CSL_CITATION {"citationID":"8WB3ZXWg","properties":{"formattedCitation":"(Peres-Neto &amp; Jackson, 2001)","plainCitation":"(Peres-Neto &amp; Jackson, 2001)","noteIndex":0},"citationItems":[{"id":3328,"uris":["http://zotero.org/users/8873894/items/2H7MEMVZ"],"itemData":{"id":3328,"type":"article-journal","abstract":"The Mantel test provides a means to test the association between distance matrices and has been widely used in ecological and evolutionary studies. Recently, another permutation test based on a Procrustes statistic (PROTEST) was developed to compare multivariate data sets. Our study contrasts the effectiveness, in terms of power and type I error rates, of the Mantel test and PROTEST. We illustrate the application of Procrustes superimposition to visually examine the concordance of observations for each dimension separately and how to conduct hypothesis testing in which the association between two data sets is tested while controlling for the variation related to other sources of data. Our simulation results show that PROTEST is as powerful or more powerful than the Mantel test for detecting matrix association under a variety of possible scenarios. As a result of the increased power of PROTEST and the ability to assess the match for individual observations (not available with the Mantel test), biologists now have an additional and powerful analytical tool to study ecological and evolutionary relationships.","container-title":"Oecologia","DOI":"10.1007/s004420100720","ISSN":"1432-1939","issue":"2","journalAbbreviation":"Oecologia","language":"en","page":"169-178","source":"Springer Link","title":"How well do multivariate data sets match? The advantages of a Procrustean superimposition approach over the Mantel test","title-short":"How well do multivariate data sets match?","volume":"129","author":[{"family":"Peres-Neto","given":"Pedro R."},{"family":"Jackson","given":"Donald A."}],"issued":{"date-parts":[["2001",10,1]]}}}],"schema":"https://github.com/citation-style-language/schema/raw/master/csl-citation.json"} </w:instrText>
      </w:r>
      <w:r w:rsidR="00617D6F">
        <w:rPr>
          <w:rFonts w:cs="Times New Roman"/>
          <w:szCs w:val="24"/>
        </w:rPr>
        <w:fldChar w:fldCharType="separate"/>
      </w:r>
      <w:r w:rsidR="00617D6F" w:rsidRPr="00617D6F">
        <w:rPr>
          <w:rFonts w:cs="Times New Roman"/>
        </w:rPr>
        <w:t>(Peres-Neto &amp; Jackson, 2001)</w:t>
      </w:r>
      <w:r w:rsidR="00617D6F">
        <w:rPr>
          <w:rFonts w:cs="Times New Roman"/>
          <w:szCs w:val="24"/>
        </w:rPr>
        <w:fldChar w:fldCharType="end"/>
      </w:r>
      <w:r w:rsidR="00617D6F" w:rsidRPr="00617D6F">
        <w:rPr>
          <w:rFonts w:cs="Times New Roman"/>
          <w:szCs w:val="24"/>
        </w:rPr>
        <w:t xml:space="preserve">. Jaccard distance was compared between individuals and within individuals, accounting for participant-specific clustering using </w:t>
      </w:r>
      <w:r w:rsidR="00617D6F">
        <w:rPr>
          <w:rFonts w:cs="Times New Roman"/>
          <w:szCs w:val="24"/>
        </w:rPr>
        <w:t>PERMANOVA from R package ‘vegan’.</w:t>
      </w:r>
    </w:p>
    <w:p w14:paraId="68BCBE60" w14:textId="17F5A2C6" w:rsidR="00173621" w:rsidRDefault="00A840B0" w:rsidP="00CD77AB">
      <w:pPr>
        <w:rPr>
          <w:rFonts w:cs="Times New Roman"/>
          <w:szCs w:val="24"/>
        </w:rPr>
      </w:pPr>
      <w:r w:rsidRPr="00D93D74">
        <w:rPr>
          <w:rFonts w:cs="Times New Roman"/>
          <w:szCs w:val="24"/>
        </w:rPr>
        <w:t>The composition of ethanol-resistant and ethanol non-resistant communities was analysed by comparing differences in relative abundance, persistence</w:t>
      </w:r>
      <w:r w:rsidR="00617D6F">
        <w:rPr>
          <w:rFonts w:cs="Times New Roman"/>
          <w:szCs w:val="24"/>
        </w:rPr>
        <w:t xml:space="preserve"> </w:t>
      </w:r>
      <w:r w:rsidR="007918CE" w:rsidRPr="00D93D74">
        <w:rPr>
          <w:rFonts w:cs="Times New Roman"/>
          <w:szCs w:val="24"/>
        </w:rPr>
        <w:t>(number of samples</w:t>
      </w:r>
      <w:r w:rsidR="003E4B71" w:rsidRPr="00D93D74">
        <w:rPr>
          <w:rFonts w:cs="Times New Roman"/>
          <w:szCs w:val="24"/>
        </w:rPr>
        <w:t xml:space="preserve"> per person</w:t>
      </w:r>
      <w:r w:rsidR="007918CE" w:rsidRPr="00D93D74">
        <w:rPr>
          <w:rFonts w:cs="Times New Roman"/>
          <w:szCs w:val="24"/>
        </w:rPr>
        <w:t xml:space="preserve"> in which </w:t>
      </w:r>
      <w:r w:rsidR="00BD2E54" w:rsidRPr="00D93D74">
        <w:rPr>
          <w:rFonts w:cs="Times New Roman"/>
          <w:szCs w:val="24"/>
        </w:rPr>
        <w:lastRenderedPageBreak/>
        <w:t xml:space="preserve">an </w:t>
      </w:r>
      <w:r w:rsidR="007918CE" w:rsidRPr="00D93D74">
        <w:rPr>
          <w:rFonts w:cs="Times New Roman"/>
          <w:szCs w:val="24"/>
        </w:rPr>
        <w:t>OTU was detected)</w:t>
      </w:r>
      <w:r w:rsidRPr="00D93D74">
        <w:rPr>
          <w:rFonts w:cs="Times New Roman"/>
          <w:szCs w:val="24"/>
        </w:rPr>
        <w:t>, and the number of OTUs belonging to each community</w:t>
      </w:r>
      <w:ins w:id="370" w:author="Urša Miklavčič" w:date="2026-04-28T18:43:00Z" w16du:dateUtc="2026-04-28T16:43:00Z">
        <w:r w:rsidR="0023210F">
          <w:rPr>
            <w:rFonts w:cs="Times New Roman"/>
            <w:szCs w:val="24"/>
          </w:rPr>
          <w:t>, using Wilcox rank-sum test</w:t>
        </w:r>
      </w:ins>
      <w:r w:rsidRPr="00D93D74">
        <w:rPr>
          <w:rFonts w:cs="Times New Roman"/>
          <w:szCs w:val="24"/>
        </w:rPr>
        <w:t xml:space="preserve">. </w:t>
      </w:r>
    </w:p>
    <w:p w14:paraId="71AC9B25" w14:textId="77777777" w:rsidR="004B61A2" w:rsidRPr="00D93D74" w:rsidRDefault="004B61A2" w:rsidP="00CD77AB">
      <w:pPr>
        <w:rPr>
          <w:rFonts w:cs="Times New Roman"/>
          <w:szCs w:val="24"/>
        </w:rPr>
      </w:pPr>
    </w:p>
    <w:p w14:paraId="0E8282E6" w14:textId="1F14446F" w:rsidR="00DA35C9" w:rsidRPr="00D93D74" w:rsidRDefault="00DA35C9">
      <w:pPr>
        <w:pStyle w:val="Naslov4"/>
        <w:numPr>
          <w:ilvl w:val="3"/>
          <w:numId w:val="3"/>
        </w:numPr>
        <w:rPr>
          <w:b/>
        </w:rPr>
      </w:pPr>
      <w:bookmarkStart w:id="371" w:name="_Toc216099728"/>
      <w:bookmarkStart w:id="372" w:name="_Toc220932850"/>
      <w:r w:rsidRPr="00D93D74">
        <w:t>Sporulation frequency calculation and analysis of host, time, and OTU-specific influences</w:t>
      </w:r>
      <w:bookmarkEnd w:id="371"/>
      <w:bookmarkEnd w:id="372"/>
    </w:p>
    <w:p w14:paraId="4958EDE7" w14:textId="0B5171EF" w:rsidR="00617D6F" w:rsidRPr="00055836" w:rsidRDefault="00617D6F" w:rsidP="00617D6F">
      <w:bookmarkStart w:id="373" w:name="_Toc184220097"/>
      <w:r w:rsidRPr="00055836">
        <w:t xml:space="preserve">Sporulation frequency analysis was performed on a subset of OTUs that met two criteria: 1) classification within ethanol-resistant </w:t>
      </w:r>
      <w:r w:rsidRPr="00055836">
        <w:rPr>
          <w:i/>
          <w:iCs/>
        </w:rPr>
        <w:t>Bacillota</w:t>
      </w:r>
      <w:r w:rsidRPr="00055836">
        <w:t>, and 2) detection in at least 80% of both untreated and ethanol treated samples (to ensure robust temporal coverage). For each eligible OTU (i), sporulation frequency was defined as the ratio of the normalised abundance of the OTU in the ethanol treated sample (e</w:t>
      </w:r>
      <w:r w:rsidRPr="00055836">
        <w:rPr>
          <w:vertAlign w:val="subscript"/>
        </w:rPr>
        <w:t>i</w:t>
      </w:r>
      <w:r w:rsidRPr="00055836">
        <w:t>) to its normalised abundance in the untreated sample (m</w:t>
      </w:r>
      <w:r w:rsidRPr="00055836">
        <w:rPr>
          <w:vertAlign w:val="subscript"/>
        </w:rPr>
        <w:t>i</w:t>
      </w:r>
      <w:r w:rsidRPr="00055836">
        <w:t>), i.e., sporulation frequency = e</w:t>
      </w:r>
      <w:r w:rsidRPr="00055836">
        <w:rPr>
          <w:vertAlign w:val="subscript"/>
        </w:rPr>
        <w:t>i</w:t>
      </w:r>
      <w:r w:rsidRPr="00055836">
        <w:t>/m</w:t>
      </w:r>
      <w:r w:rsidRPr="00055836">
        <w:rPr>
          <w:vertAlign w:val="subscript"/>
        </w:rPr>
        <w:t>i</w:t>
      </w:r>
      <w:r w:rsidRPr="00055836">
        <w:t>. The untreated samples include sequences from both vegetative cells and ethanol-resistant forms, while the ethanol treated sample selectively enriches for spores</w:t>
      </w:r>
      <w:ins w:id="374" w:author="Urša Miklavčič" w:date="2026-04-28T18:44:00Z" w16du:dateUtc="2026-04-28T16:44:00Z">
        <w:r w:rsidR="00804345">
          <w:t xml:space="preserve"> </w:t>
        </w:r>
      </w:ins>
      <w:del w:id="375" w:author="Urša Miklavčič" w:date="2026-04-28T18:44:00Z" w16du:dateUtc="2026-04-28T16:44:00Z">
        <w:r w:rsidRPr="00055836" w:rsidDel="00804345">
          <w:delText xml:space="preserve"> and other ethanol-resistant cell forms </w:delText>
        </w:r>
      </w:del>
      <w:r w:rsidRPr="00055836">
        <w:t>(Supplement</w:t>
      </w:r>
      <w:del w:id="376" w:author="Urša Miklavčič [2]" w:date="2026-04-21T13:16:00Z" w16du:dateUtc="2026-04-21T11:16:00Z">
        <w:r w:rsidRPr="00055836" w:rsidDel="006F1F1B">
          <w:delText>ary</w:delText>
        </w:r>
      </w:del>
      <w:r w:rsidRPr="00055836">
        <w:t xml:space="preserve"> Text 1). Sporulation frequency thus reflects the fraction of an OTU population in a sporulated state at a given time point in an individual host. The reliability of this measure is supported by a strong correlation between the relative and/or normalised abundance</w:t>
      </w:r>
      <w:ins w:id="377" w:author="Urša Miklavčič" w:date="2026-04-28T18:44:00Z" w16du:dateUtc="2026-04-28T16:44:00Z">
        <w:r w:rsidR="00804345">
          <w:t>s</w:t>
        </w:r>
      </w:ins>
      <w:r w:rsidRPr="00055836">
        <w:t xml:space="preserve"> of the OTU in both sample types, despite different isolation protocols (Supplement</w:t>
      </w:r>
      <w:del w:id="378" w:author="Urša Miklavčič [2]" w:date="2026-04-21T13:16:00Z" w16du:dateUtc="2026-04-21T11:16:00Z">
        <w:r w:rsidRPr="00055836" w:rsidDel="006F1F1B">
          <w:delText>ary</w:delText>
        </w:r>
      </w:del>
      <w:r w:rsidRPr="00055836">
        <w:t xml:space="preserve"> Text </w:t>
      </w:r>
      <w:ins w:id="379" w:author="Urša Miklavčič [2]" w:date="2026-04-21T13:16:00Z" w16du:dateUtc="2026-04-21T11:16:00Z">
        <w:r w:rsidR="006F1F1B">
          <w:t>3</w:t>
        </w:r>
      </w:ins>
      <w:del w:id="380" w:author="Urša Miklavčič [2]" w:date="2026-04-21T13:16:00Z" w16du:dateUtc="2026-04-21T11:16:00Z">
        <w:r w:rsidRPr="00055836" w:rsidDel="006F1F1B">
          <w:delText>2</w:delText>
        </w:r>
      </w:del>
      <w:r w:rsidRPr="00055836">
        <w:t>).</w:t>
      </w:r>
    </w:p>
    <w:p w14:paraId="73AB90C1" w14:textId="77777777" w:rsidR="00617D6F" w:rsidRPr="00055836" w:rsidRDefault="00617D6F" w:rsidP="00617D6F">
      <w:r w:rsidRPr="00055836">
        <w:t>To assess whether the temporal order of sampling influences sporulation dynamics, we compared two scenarios for each host. First, within-individual sporulation frequency was calculated for each OTU from chronologically ordered time points; second,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w:t>
      </w:r>
    </w:p>
    <w:p w14:paraId="17DD3427" w14:textId="77777777" w:rsidR="00617D6F" w:rsidRPr="00055836" w:rsidRDefault="00617D6F" w:rsidP="00617D6F">
      <w:r w:rsidRPr="00055836">
        <w:t xml:space="preserve">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Kruskal–Wallis test. To evaluate the degree of synchronisation in sporulation dynamics across OTUs within individual hosts, we also computed pairwise Spearman correlation coefficients between sporulation frequencies of all OTUs within each individual and compared these with linear mixed models to remove the intra-individual effect. </w:t>
      </w:r>
    </w:p>
    <w:p w14:paraId="2EFD0F03" w14:textId="25718F52" w:rsidR="00173621" w:rsidRPr="00D93D74" w:rsidRDefault="00173621" w:rsidP="00CD77AB">
      <w:pPr>
        <w:rPr>
          <w:rFonts w:cs="Times New Roman"/>
          <w:szCs w:val="24"/>
        </w:rPr>
      </w:pPr>
    </w:p>
    <w:p w14:paraId="7EA1A2D9" w14:textId="748B3096" w:rsidR="00945370" w:rsidRPr="00D93D74" w:rsidRDefault="0076647F">
      <w:pPr>
        <w:pStyle w:val="Naslov3"/>
        <w:numPr>
          <w:ilvl w:val="2"/>
          <w:numId w:val="3"/>
        </w:numPr>
      </w:pPr>
      <w:bookmarkStart w:id="381" w:name="_Toc212712207"/>
      <w:bookmarkStart w:id="382" w:name="_Toc216099729"/>
      <w:bookmarkStart w:id="383" w:name="_Toc220932851"/>
      <w:bookmarkStart w:id="384" w:name="_Toc228252032"/>
      <w:r w:rsidRPr="00D93D74">
        <w:t xml:space="preserve">Shotgun </w:t>
      </w:r>
      <w:r w:rsidR="525B7A0E" w:rsidRPr="00D93D74">
        <w:t xml:space="preserve">metagenomic </w:t>
      </w:r>
      <w:bookmarkEnd w:id="373"/>
      <w:r w:rsidR="005B0BE4" w:rsidRPr="00D93D74">
        <w:t>data</w:t>
      </w:r>
      <w:r w:rsidR="525B7A0E" w:rsidRPr="00D93D74">
        <w:t xml:space="preserve"> </w:t>
      </w:r>
      <w:r w:rsidR="00CF3097" w:rsidRPr="00D93D74">
        <w:t>analysis</w:t>
      </w:r>
      <w:bookmarkEnd w:id="381"/>
      <w:bookmarkEnd w:id="382"/>
      <w:bookmarkEnd w:id="383"/>
      <w:bookmarkEnd w:id="384"/>
    </w:p>
    <w:p w14:paraId="0E6CB86B" w14:textId="1CFFD6AC" w:rsidR="00945370" w:rsidRPr="00D93D74" w:rsidRDefault="00945370">
      <w:pPr>
        <w:pStyle w:val="Naslov4"/>
        <w:numPr>
          <w:ilvl w:val="3"/>
          <w:numId w:val="3"/>
        </w:numPr>
        <w:rPr>
          <w:bCs w:val="0"/>
        </w:rPr>
      </w:pPr>
      <w:bookmarkStart w:id="385" w:name="_Toc216099730"/>
      <w:bookmarkStart w:id="386" w:name="_Toc220932852"/>
      <w:r w:rsidRPr="00D93D74">
        <w:rPr>
          <w:bCs w:val="0"/>
        </w:rPr>
        <w:t>Preprocessing</w:t>
      </w:r>
      <w:bookmarkEnd w:id="385"/>
      <w:bookmarkEnd w:id="386"/>
      <w:r w:rsidRPr="00D93D74">
        <w:rPr>
          <w:bCs w:val="0"/>
        </w:rPr>
        <w:t xml:space="preserve"> </w:t>
      </w:r>
    </w:p>
    <w:p w14:paraId="6D117D2F" w14:textId="3EB301C7" w:rsidR="00945370" w:rsidRDefault="00945370" w:rsidP="00945370">
      <w:pPr>
        <w:rPr>
          <w:rFonts w:cs="Times New Roman"/>
          <w:szCs w:val="24"/>
        </w:rPr>
      </w:pPr>
      <w:r w:rsidRPr="00D93D74">
        <w:rPr>
          <w:rFonts w:cs="Times New Roman"/>
          <w:szCs w:val="24"/>
        </w:rPr>
        <w:t xml:space="preserve">Raw metagenomic reads were filtered and trimmed </w:t>
      </w:r>
      <w:r w:rsidR="00A840B0" w:rsidRPr="00D93D74">
        <w:rPr>
          <w:rFonts w:cs="Times New Roman"/>
          <w:szCs w:val="24"/>
        </w:rPr>
        <w:t>using the S</w:t>
      </w:r>
      <w:r w:rsidRPr="00D93D74">
        <w:rPr>
          <w:rFonts w:cs="Times New Roman"/>
          <w:szCs w:val="24"/>
        </w:rPr>
        <w:t>OAPnuke</w:t>
      </w:r>
      <w:r w:rsidR="00A840B0" w:rsidRPr="00D93D74">
        <w:rPr>
          <w:rFonts w:cs="Times New Roman"/>
          <w:szCs w:val="24"/>
        </w:rPr>
        <w:t xml:space="preserve"> programme</w:t>
      </w:r>
      <w:r w:rsidRPr="00D93D74">
        <w:rPr>
          <w:rFonts w:cs="Times New Roman"/>
          <w:szCs w:val="24"/>
        </w:rPr>
        <w:t xml:space="preserve"> </w:t>
      </w:r>
      <w:r w:rsidRPr="00D93D74">
        <w:rPr>
          <w:rFonts w:cs="Times New Roman"/>
          <w:szCs w:val="24"/>
        </w:rPr>
        <w:fldChar w:fldCharType="begin"/>
      </w:r>
      <w:r w:rsidR="001C2A55">
        <w:rPr>
          <w:rFonts w:cs="Times New Roman"/>
          <w:szCs w:val="24"/>
        </w:rPr>
        <w:instrText xml:space="preserve"> ADDIN ZOTERO_ITEM CSL_CITATION {"citationID":"tQw3crm1","properties":{"formattedCitation":"(Y. Chen et al., 2018)","plainCitation":"(Y. Chen et al., 2018)","noteIndex":0},"citationItems":[{"id":2209,"uris":["http://zotero.org/users/8873894/items/T2P6DQ63"],"itemData":{"id":2209,"type":"article-journal","abstract":"Quality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1C2A55">
        <w:rPr>
          <w:rFonts w:ascii="Cambria Math" w:hAnsi="Cambria Math" w:cs="Cambria Math"/>
          <w:szCs w:val="24"/>
        </w:rPr>
        <w:instrText>∼</w:instrText>
      </w:r>
      <w:r w:rsidR="001C2A55">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1C2A55">
        <w:rPr>
          <w:rFonts w:ascii="Cambria Math" w:hAnsi="Cambria Math" w:cs="Cambria Math"/>
          <w:szCs w:val="24"/>
        </w:rPr>
        <w:instrText>∼</w:instrText>
      </w:r>
      <w:r w:rsidR="001C2A55">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D93D74">
        <w:rPr>
          <w:rFonts w:cs="Times New Roman"/>
          <w:szCs w:val="24"/>
        </w:rPr>
        <w:fldChar w:fldCharType="separate"/>
      </w:r>
      <w:r w:rsidR="00162CD1" w:rsidRPr="00D93D74">
        <w:rPr>
          <w:rFonts w:cs="Times New Roman"/>
        </w:rPr>
        <w:t>(Y. Chen et al., 2018)</w:t>
      </w:r>
      <w:r w:rsidRPr="00D93D74">
        <w:rPr>
          <w:rFonts w:cs="Times New Roman"/>
          <w:szCs w:val="24"/>
        </w:rPr>
        <w:fldChar w:fldCharType="end"/>
      </w:r>
      <w:r w:rsidRPr="00D93D74">
        <w:rPr>
          <w:rFonts w:cs="Times New Roman"/>
          <w:szCs w:val="24"/>
        </w:rPr>
        <w:t xml:space="preserve">. </w:t>
      </w:r>
      <w:r w:rsidR="00BD2E54" w:rsidRPr="00D93D74">
        <w:rPr>
          <w:rFonts w:cs="Times New Roman"/>
          <w:szCs w:val="24"/>
        </w:rPr>
        <w:t>Reads</w:t>
      </w:r>
      <w:r w:rsidRPr="00D93D74">
        <w:rPr>
          <w:rFonts w:cs="Times New Roman"/>
          <w:szCs w:val="24"/>
        </w:rPr>
        <w:t xml:space="preserve"> containing 10% </w:t>
      </w:r>
      <w:r w:rsidR="002079AE" w:rsidRPr="00D93D74">
        <w:rPr>
          <w:rFonts w:cs="Times New Roman"/>
          <w:szCs w:val="24"/>
        </w:rPr>
        <w:t xml:space="preserve">or more </w:t>
      </w:r>
      <w:r w:rsidRPr="00D93D74">
        <w:rPr>
          <w:rFonts w:cs="Times New Roman"/>
          <w:szCs w:val="24"/>
        </w:rPr>
        <w:t>of uncertain bases, adapter sequences</w:t>
      </w:r>
      <w:r w:rsidR="002079AE" w:rsidRPr="00D93D74">
        <w:rPr>
          <w:rFonts w:cs="Times New Roman"/>
          <w:szCs w:val="24"/>
        </w:rPr>
        <w:t>,</w:t>
      </w:r>
      <w:r w:rsidRPr="00D93D74">
        <w:rPr>
          <w:rFonts w:cs="Times New Roman"/>
          <w:szCs w:val="24"/>
        </w:rPr>
        <w:t xml:space="preserve"> or low-quality bases (Q &lt; 20) were removed</w:t>
      </w:r>
      <w:r w:rsidR="004502A6" w:rsidRPr="00D93D74">
        <w:rPr>
          <w:rFonts w:cs="Times New Roman"/>
          <w:szCs w:val="24"/>
        </w:rPr>
        <w:t xml:space="preserve">. </w:t>
      </w:r>
      <w:r w:rsidR="00BD2E54" w:rsidRPr="00D93D74">
        <w:rPr>
          <w:rFonts w:cs="Times New Roman"/>
          <w:szCs w:val="24"/>
        </w:rPr>
        <w:t>A</w:t>
      </w:r>
      <w:r w:rsidR="004502A6" w:rsidRPr="00D93D74">
        <w:rPr>
          <w:rFonts w:cs="Times New Roman"/>
          <w:szCs w:val="24"/>
        </w:rPr>
        <w:t>ll read</w:t>
      </w:r>
      <w:r w:rsidR="002079AE" w:rsidRPr="00D93D74">
        <w:rPr>
          <w:rFonts w:cs="Times New Roman"/>
          <w:szCs w:val="24"/>
        </w:rPr>
        <w:t>s</w:t>
      </w:r>
      <w:r w:rsidR="004502A6" w:rsidRPr="00D93D74">
        <w:rPr>
          <w:rFonts w:cs="Times New Roman"/>
          <w:szCs w:val="24"/>
        </w:rPr>
        <w:t xml:space="preserve"> with </w:t>
      </w:r>
      <w:r w:rsidR="002079AE" w:rsidRPr="00D93D74">
        <w:rPr>
          <w:rFonts w:cs="Times New Roman"/>
          <w:szCs w:val="24"/>
        </w:rPr>
        <w:t xml:space="preserve">more than </w:t>
      </w:r>
      <w:r w:rsidR="004502A6" w:rsidRPr="00D93D74">
        <w:rPr>
          <w:rFonts w:cs="Times New Roman"/>
          <w:szCs w:val="24"/>
        </w:rPr>
        <w:t xml:space="preserve">90% identity to host DNA using the </w:t>
      </w:r>
      <w:r w:rsidRPr="00D93D74">
        <w:rPr>
          <w:rFonts w:cs="Times New Roman"/>
          <w:szCs w:val="24"/>
        </w:rPr>
        <w:t>reference genome GRCh38.p14</w:t>
      </w:r>
      <w:r w:rsidR="00BD2E54" w:rsidRPr="00D93D74">
        <w:rPr>
          <w:rFonts w:cs="Times New Roman"/>
          <w:szCs w:val="24"/>
        </w:rPr>
        <w:t>, were also removed</w:t>
      </w:r>
      <w:r w:rsidRPr="00D93D74">
        <w:rPr>
          <w:rFonts w:cs="Times New Roman"/>
          <w:szCs w:val="24"/>
        </w:rPr>
        <w:t xml:space="preserve">. </w:t>
      </w:r>
    </w:p>
    <w:p w14:paraId="0DAFDEC6" w14:textId="77777777" w:rsidR="004B61A2" w:rsidRPr="00D93D74" w:rsidRDefault="004B61A2" w:rsidP="00945370">
      <w:pPr>
        <w:rPr>
          <w:rFonts w:cs="Times New Roman"/>
          <w:szCs w:val="24"/>
        </w:rPr>
      </w:pPr>
    </w:p>
    <w:p w14:paraId="69DFA251" w14:textId="34455469" w:rsidR="00216A2B" w:rsidRPr="00D93D74" w:rsidRDefault="00D07995">
      <w:pPr>
        <w:pStyle w:val="Naslov4"/>
        <w:numPr>
          <w:ilvl w:val="3"/>
          <w:numId w:val="3"/>
        </w:numPr>
        <w:rPr>
          <w:b/>
        </w:rPr>
      </w:pPr>
      <w:bookmarkStart w:id="387" w:name="_Toc216099731"/>
      <w:bookmarkStart w:id="388" w:name="_Toc220932853"/>
      <w:r w:rsidRPr="00D93D74">
        <w:lastRenderedPageBreak/>
        <w:t>Bacterial</w:t>
      </w:r>
      <w:r w:rsidR="00C02586" w:rsidRPr="00D93D74">
        <w:t>,</w:t>
      </w:r>
      <w:r w:rsidR="003125AC" w:rsidRPr="00D93D74">
        <w:t xml:space="preserve"> eukaryotic, archaeal and viral </w:t>
      </w:r>
      <w:r w:rsidRPr="00D93D74">
        <w:t xml:space="preserve">community </w:t>
      </w:r>
      <w:r w:rsidR="003125AC" w:rsidRPr="00D93D74">
        <w:t xml:space="preserve">composition </w:t>
      </w:r>
      <w:r w:rsidRPr="00D93D74">
        <w:t>analysis</w:t>
      </w:r>
      <w:bookmarkEnd w:id="387"/>
      <w:bookmarkEnd w:id="388"/>
    </w:p>
    <w:p w14:paraId="1B12E611" w14:textId="6B5E6088" w:rsidR="00DB6904" w:rsidRPr="00D93D74" w:rsidRDefault="00663154" w:rsidP="00CD77AB">
      <w:pPr>
        <w:rPr>
          <w:rFonts w:cs="Times New Roman"/>
          <w:szCs w:val="24"/>
        </w:rPr>
      </w:pPr>
      <w:r w:rsidRPr="00D93D74">
        <w:rPr>
          <w:rFonts w:cs="Times New Roman"/>
          <w:szCs w:val="24"/>
        </w:rPr>
        <w:t xml:space="preserve">Microbial composition </w:t>
      </w:r>
      <w:r w:rsidR="004A6168">
        <w:rPr>
          <w:rFonts w:cs="Times New Roman"/>
          <w:szCs w:val="24"/>
        </w:rPr>
        <w:t xml:space="preserve">(bacteria, archaea, and eukaryotes) </w:t>
      </w:r>
      <w:r w:rsidRPr="00D93D74">
        <w:rPr>
          <w:rFonts w:cs="Times New Roman"/>
          <w:szCs w:val="24"/>
        </w:rPr>
        <w:t xml:space="preserve">was determined </w:t>
      </w:r>
      <w:r w:rsidR="002079AE" w:rsidRPr="00D93D74">
        <w:rPr>
          <w:rFonts w:cs="Times New Roman"/>
          <w:szCs w:val="24"/>
        </w:rPr>
        <w:t>using</w:t>
      </w:r>
      <w:r w:rsidRPr="00D93D74">
        <w:rPr>
          <w:rFonts w:cs="Times New Roman"/>
          <w:szCs w:val="24"/>
        </w:rPr>
        <w:t xml:space="preserve"> </w:t>
      </w:r>
      <w:del w:id="389" w:author="Urša Miklavčič [2]" w:date="2026-04-16T14:58:00Z" w16du:dateUtc="2026-04-16T12:58:00Z">
        <w:r w:rsidR="004502A6" w:rsidRPr="00D93D74" w:rsidDel="00162CD1">
          <w:rPr>
            <w:rFonts w:cs="Times New Roman"/>
            <w:szCs w:val="24"/>
          </w:rPr>
          <w:delText xml:space="preserve">DIAMOND and </w:delText>
        </w:r>
        <w:r w:rsidR="002079AE" w:rsidRPr="00D93D74" w:rsidDel="00162CD1">
          <w:rPr>
            <w:rFonts w:cs="Times New Roman"/>
            <w:szCs w:val="24"/>
          </w:rPr>
          <w:delText xml:space="preserve">the </w:delText>
        </w:r>
        <w:r w:rsidR="00DB6904" w:rsidRPr="00D93D74" w:rsidDel="00162CD1">
          <w:rPr>
            <w:rFonts w:cs="Times New Roman"/>
            <w:szCs w:val="24"/>
          </w:rPr>
          <w:delText>last common ancestor (LCA)</w:delText>
        </w:r>
        <w:r w:rsidR="004502A6" w:rsidRPr="00D93D74" w:rsidDel="00162CD1">
          <w:rPr>
            <w:rFonts w:cs="Times New Roman"/>
            <w:szCs w:val="24"/>
          </w:rPr>
          <w:delText xml:space="preserve"> algorithm in the SqueezeMeta pipeline</w:delText>
        </w:r>
        <w:r w:rsidR="002079AE" w:rsidRPr="00D93D74" w:rsidDel="00162CD1">
          <w:rPr>
            <w:rFonts w:cs="Times New Roman"/>
            <w:szCs w:val="24"/>
          </w:rPr>
          <w:delText xml:space="preserve">, </w:delText>
        </w:r>
        <w:r w:rsidR="005B0BE4" w:rsidRPr="00D93D74" w:rsidDel="00162CD1">
          <w:rPr>
            <w:rFonts w:cs="Times New Roman"/>
            <w:szCs w:val="24"/>
          </w:rPr>
          <w:delText>and using</w:delText>
        </w:r>
        <w:r w:rsidR="002079AE" w:rsidRPr="00D93D74" w:rsidDel="00162CD1">
          <w:rPr>
            <w:rFonts w:cs="Times New Roman"/>
            <w:szCs w:val="24"/>
          </w:rPr>
          <w:delText xml:space="preserve"> </w:delText>
        </w:r>
      </w:del>
      <w:r w:rsidRPr="00D93D74">
        <w:rPr>
          <w:rFonts w:cs="Times New Roman"/>
          <w:szCs w:val="24"/>
        </w:rPr>
        <w:t xml:space="preserve">MetaPhlAn </w:t>
      </w:r>
      <w:r w:rsidR="00274F2E" w:rsidRPr="00D93D74">
        <w:rPr>
          <w:rFonts w:cs="Times New Roman"/>
          <w:szCs w:val="24"/>
        </w:rPr>
        <w:t>v</w:t>
      </w:r>
      <w:r w:rsidRPr="00D93D74">
        <w:rPr>
          <w:rFonts w:cs="Times New Roman"/>
          <w:szCs w:val="24"/>
        </w:rPr>
        <w:t>4.2.2, database vJan25_202503</w:t>
      </w:r>
      <w:r w:rsidR="002079AE" w:rsidRPr="00D93D74">
        <w:rPr>
          <w:rFonts w:cs="Times New Roman"/>
          <w:szCs w:val="24"/>
        </w:rPr>
        <w:t>,</w:t>
      </w:r>
      <w:r w:rsidR="00A571C2" w:rsidRPr="00D93D74">
        <w:rPr>
          <w:rFonts w:cs="Times New Roman"/>
          <w:szCs w:val="24"/>
        </w:rPr>
        <w:t xml:space="preserve"> with default settings</w:t>
      </w:r>
      <w:r w:rsidR="005B0BE4" w:rsidRPr="00D93D74">
        <w:rPr>
          <w:rFonts w:cs="Times New Roman"/>
          <w:szCs w:val="24"/>
        </w:rPr>
        <w:t xml:space="preserve">, but the </w:t>
      </w:r>
      <w:r w:rsidR="00A571C2" w:rsidRPr="00D93D74">
        <w:rPr>
          <w:rFonts w:cs="Times New Roman"/>
          <w:szCs w:val="24"/>
        </w:rPr>
        <w:t>calculation of relative abundance</w:t>
      </w:r>
      <w:r w:rsidR="002079AE" w:rsidRPr="00D93D74">
        <w:rPr>
          <w:rFonts w:cs="Times New Roman"/>
          <w:szCs w:val="24"/>
        </w:rPr>
        <w:t xml:space="preserve"> </w:t>
      </w:r>
      <w:r w:rsidR="005B0BE4" w:rsidRPr="00D93D74">
        <w:rPr>
          <w:rFonts w:cs="Times New Roman"/>
          <w:szCs w:val="24"/>
        </w:rPr>
        <w:t>also included</w:t>
      </w:r>
      <w:r w:rsidR="002079AE" w:rsidRPr="00D93D74">
        <w:rPr>
          <w:rFonts w:cs="Times New Roman"/>
          <w:szCs w:val="24"/>
        </w:rPr>
        <w:t xml:space="preserve"> unclassified taxa</w:t>
      </w:r>
      <w:r w:rsidR="00607519" w:rsidRPr="00D93D74">
        <w:rPr>
          <w:rFonts w:cs="Times New Roman"/>
          <w:szCs w:val="24"/>
        </w:rPr>
        <w:t xml:space="preserve"> </w:t>
      </w:r>
      <w:r w:rsidR="00607519" w:rsidRPr="00D93D74">
        <w:rPr>
          <w:rFonts w:cs="Times New Roman"/>
          <w:szCs w:val="24"/>
        </w:rPr>
        <w:fldChar w:fldCharType="begin"/>
      </w:r>
      <w:r w:rsidR="001C2A55">
        <w:rPr>
          <w:rFonts w:cs="Times New Roman"/>
          <w:szCs w:val="24"/>
        </w:rPr>
        <w:instrText xml:space="preserve"> ADDIN ZOTERO_ITEM CSL_CITATION {"citationID":"k3kJ95SO","properties":{"formattedCitation":"(Blanco-M\\uc0\\u237{}guez et al., 2023a)","plainCitation":"(Blanco-Míguez et al., 2023a)","noteIndex":0},"citationItems":[{"id":3140,"uris":["http://zotero.org/users/8873894/items/38JJ9IGH"],"itemData":{"id":3140,"type":"article-journal","abstract":"Metagenomic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D93D74">
        <w:rPr>
          <w:rFonts w:cs="Times New Roman"/>
          <w:szCs w:val="24"/>
        </w:rPr>
        <w:fldChar w:fldCharType="separate"/>
      </w:r>
      <w:r w:rsidR="00162CD1" w:rsidRPr="00D93D74">
        <w:rPr>
          <w:rFonts w:cs="Times New Roman"/>
        </w:rPr>
        <w:t>(Blanco-Míguez et al., 2023a)</w:t>
      </w:r>
      <w:r w:rsidR="00607519" w:rsidRPr="00D93D74">
        <w:rPr>
          <w:rFonts w:cs="Times New Roman"/>
          <w:szCs w:val="24"/>
        </w:rPr>
        <w:fldChar w:fldCharType="end"/>
      </w:r>
      <w:r w:rsidRPr="00D93D74">
        <w:rPr>
          <w:rFonts w:cs="Times New Roman"/>
          <w:szCs w:val="24"/>
        </w:rPr>
        <w:t xml:space="preserve">. </w:t>
      </w:r>
      <w:del w:id="390" w:author="Urša Miklavčič [2]" w:date="2026-04-16T14:59:00Z" w16du:dateUtc="2026-04-16T12:59:00Z">
        <w:r w:rsidR="004502A6" w:rsidRPr="00D93D74" w:rsidDel="00162CD1">
          <w:rPr>
            <w:rFonts w:cs="Times New Roman"/>
            <w:szCs w:val="24"/>
          </w:rPr>
          <w:delText xml:space="preserve">These are two </w:delText>
        </w:r>
        <w:r w:rsidR="00BD2E54" w:rsidRPr="00D93D74" w:rsidDel="00162CD1">
          <w:rPr>
            <w:rFonts w:cs="Times New Roman"/>
            <w:szCs w:val="24"/>
          </w:rPr>
          <w:delText>distinct</w:delText>
        </w:r>
        <w:r w:rsidR="004502A6" w:rsidRPr="00D93D74" w:rsidDel="00162CD1">
          <w:rPr>
            <w:rFonts w:cs="Times New Roman"/>
            <w:szCs w:val="24"/>
          </w:rPr>
          <w:delText xml:space="preserve"> approaches</w:delText>
        </w:r>
        <w:r w:rsidR="002079AE" w:rsidRPr="00D93D74" w:rsidDel="00162CD1">
          <w:rPr>
            <w:rFonts w:cs="Times New Roman"/>
            <w:szCs w:val="24"/>
          </w:rPr>
          <w:delText>,</w:delText>
        </w:r>
        <w:r w:rsidR="004502A6" w:rsidRPr="00D93D74" w:rsidDel="00162CD1">
          <w:rPr>
            <w:rFonts w:cs="Times New Roman"/>
            <w:szCs w:val="24"/>
          </w:rPr>
          <w:delText xml:space="preserve"> each with its </w:delText>
        </w:r>
        <w:r w:rsidR="002079AE" w:rsidRPr="00D93D74" w:rsidDel="00162CD1">
          <w:rPr>
            <w:rFonts w:cs="Times New Roman"/>
            <w:szCs w:val="24"/>
          </w:rPr>
          <w:delText xml:space="preserve">own </w:delText>
        </w:r>
        <w:r w:rsidR="00BD2E54" w:rsidRPr="00D93D74" w:rsidDel="00162CD1">
          <w:rPr>
            <w:rFonts w:cs="Times New Roman"/>
            <w:szCs w:val="24"/>
          </w:rPr>
          <w:delText>advantages and disadvantages</w:delText>
        </w:r>
        <w:r w:rsidR="004502A6" w:rsidRPr="00D93D74" w:rsidDel="00162CD1">
          <w:rPr>
            <w:rFonts w:cs="Times New Roman"/>
            <w:szCs w:val="24"/>
          </w:rPr>
          <w:delText xml:space="preserve">. </w:delText>
        </w:r>
        <w:r w:rsidR="00DB6904" w:rsidRPr="00D93D74" w:rsidDel="00162CD1">
          <w:rPr>
            <w:rFonts w:cs="Times New Roman"/>
            <w:szCs w:val="24"/>
          </w:rPr>
          <w:delText>The first approach requires read assembly</w:delText>
        </w:r>
        <w:r w:rsidR="002079AE" w:rsidRPr="00D93D74" w:rsidDel="00162CD1">
          <w:rPr>
            <w:rFonts w:cs="Times New Roman"/>
            <w:szCs w:val="24"/>
          </w:rPr>
          <w:delText xml:space="preserve"> </w:delText>
        </w:r>
        <w:r w:rsidR="00DB6904" w:rsidRPr="00D93D74" w:rsidDel="00162CD1">
          <w:rPr>
            <w:rFonts w:cs="Times New Roman"/>
            <w:szCs w:val="24"/>
          </w:rPr>
          <w:delText xml:space="preserve">and </w:delText>
        </w:r>
        <w:r w:rsidR="002079AE" w:rsidRPr="00D93D74" w:rsidDel="00162CD1">
          <w:rPr>
            <w:rFonts w:cs="Times New Roman"/>
            <w:szCs w:val="24"/>
          </w:rPr>
          <w:delText>gene prediction</w:delText>
        </w:r>
        <w:r w:rsidR="00DB6904" w:rsidRPr="00D93D74" w:rsidDel="00162CD1">
          <w:rPr>
            <w:rFonts w:cs="Times New Roman"/>
            <w:szCs w:val="24"/>
          </w:rPr>
          <w:delText xml:space="preserve"> on each contig. </w:delText>
        </w:r>
        <w:r w:rsidR="002079AE" w:rsidRPr="00D93D74" w:rsidDel="00162CD1">
          <w:rPr>
            <w:rFonts w:cs="Times New Roman"/>
            <w:szCs w:val="24"/>
          </w:rPr>
          <w:delText>T</w:delText>
        </w:r>
        <w:r w:rsidR="00BD2E54" w:rsidRPr="00D93D74" w:rsidDel="00162CD1">
          <w:rPr>
            <w:rFonts w:cs="Times New Roman"/>
            <w:szCs w:val="24"/>
          </w:rPr>
          <w:delText>he t</w:delText>
        </w:r>
        <w:r w:rsidR="002079AE" w:rsidRPr="00D93D74" w:rsidDel="00162CD1">
          <w:rPr>
            <w:rFonts w:cs="Times New Roman"/>
            <w:szCs w:val="24"/>
          </w:rPr>
          <w:delText>axonomy of each gene is determined by</w:delText>
        </w:r>
        <w:r w:rsidR="008624F9" w:rsidRPr="00D93D74" w:rsidDel="00162CD1">
          <w:rPr>
            <w:rFonts w:cs="Times New Roman"/>
            <w:szCs w:val="24"/>
          </w:rPr>
          <w:delText xml:space="preserve"> the most common taxon </w:delText>
        </w:r>
        <w:r w:rsidR="00BD2E54" w:rsidRPr="00D93D74" w:rsidDel="00162CD1">
          <w:rPr>
            <w:rFonts w:cs="Times New Roman"/>
            <w:szCs w:val="24"/>
          </w:rPr>
          <w:delText>among</w:delText>
        </w:r>
        <w:r w:rsidR="008624F9" w:rsidRPr="00D93D74" w:rsidDel="00162CD1">
          <w:rPr>
            <w:rFonts w:cs="Times New Roman"/>
            <w:szCs w:val="24"/>
          </w:rPr>
          <w:delText xml:space="preserve"> the </w:delText>
        </w:r>
        <w:r w:rsidR="002079AE" w:rsidRPr="00D93D74" w:rsidDel="00162CD1">
          <w:rPr>
            <w:rFonts w:cs="Times New Roman"/>
            <w:szCs w:val="24"/>
          </w:rPr>
          <w:delText>top</w:delText>
        </w:r>
        <w:r w:rsidR="008624F9" w:rsidRPr="00D93D74" w:rsidDel="00162CD1">
          <w:rPr>
            <w:rFonts w:cs="Times New Roman"/>
            <w:szCs w:val="24"/>
          </w:rPr>
          <w:delText xml:space="preserve"> 10 </w:delText>
        </w:r>
        <w:r w:rsidR="00BD2E54" w:rsidRPr="00D93D74" w:rsidDel="00162CD1">
          <w:rPr>
            <w:rFonts w:cs="Times New Roman"/>
            <w:szCs w:val="24"/>
          </w:rPr>
          <w:delText>BLAST</w:delText>
        </w:r>
        <w:r w:rsidR="002079AE" w:rsidRPr="00D93D74" w:rsidDel="00162CD1">
          <w:rPr>
            <w:rFonts w:cs="Times New Roman"/>
            <w:szCs w:val="24"/>
          </w:rPr>
          <w:delText xml:space="preserve"> </w:delText>
        </w:r>
        <w:r w:rsidR="008624F9" w:rsidRPr="00D93D74" w:rsidDel="00162CD1">
          <w:rPr>
            <w:rFonts w:cs="Times New Roman"/>
            <w:szCs w:val="24"/>
          </w:rPr>
          <w:delText>hits. Additional</w:delText>
        </w:r>
        <w:r w:rsidR="00DB6904" w:rsidRPr="00D93D74" w:rsidDel="00162CD1">
          <w:rPr>
            <w:rFonts w:cs="Times New Roman"/>
            <w:szCs w:val="24"/>
          </w:rPr>
          <w:delText xml:space="preserve"> </w:delText>
        </w:r>
        <w:r w:rsidR="002079AE" w:rsidRPr="00D93D74" w:rsidDel="00162CD1">
          <w:rPr>
            <w:rFonts w:cs="Times New Roman"/>
            <w:szCs w:val="24"/>
          </w:rPr>
          <w:delText>contig regions</w:delText>
        </w:r>
        <w:r w:rsidR="00DB6904" w:rsidRPr="00D93D74" w:rsidDel="00162CD1">
          <w:rPr>
            <w:rFonts w:cs="Times New Roman"/>
            <w:szCs w:val="24"/>
          </w:rPr>
          <w:delText xml:space="preserve"> without gene prediction</w:delText>
        </w:r>
        <w:r w:rsidR="002079AE" w:rsidRPr="00D93D74" w:rsidDel="00162CD1">
          <w:rPr>
            <w:rFonts w:cs="Times New Roman"/>
            <w:szCs w:val="24"/>
          </w:rPr>
          <w:delText>s</w:delText>
        </w:r>
        <w:r w:rsidR="00DB6904" w:rsidRPr="00D93D74" w:rsidDel="00162CD1">
          <w:rPr>
            <w:rFonts w:cs="Times New Roman"/>
            <w:szCs w:val="24"/>
          </w:rPr>
          <w:delText xml:space="preserve"> are </w:delText>
        </w:r>
        <w:r w:rsidR="002079AE" w:rsidRPr="00D93D74" w:rsidDel="00162CD1">
          <w:rPr>
            <w:rFonts w:cs="Times New Roman"/>
            <w:szCs w:val="24"/>
          </w:rPr>
          <w:delText>analysed</w:delText>
        </w:r>
        <w:r w:rsidR="00DB6904" w:rsidRPr="00D93D74" w:rsidDel="00162CD1">
          <w:rPr>
            <w:rFonts w:cs="Times New Roman"/>
            <w:szCs w:val="24"/>
          </w:rPr>
          <w:delText xml:space="preserve"> with blastx using the non-redundant NCBI database </w:delText>
        </w:r>
        <w:r w:rsidR="00DB6904" w:rsidRPr="00D93D74" w:rsidDel="00162CD1">
          <w:rPr>
            <w:rFonts w:cs="Times New Roman"/>
            <w:szCs w:val="24"/>
          </w:rPr>
          <w:fldChar w:fldCharType="begin"/>
        </w:r>
        <w:r w:rsidR="00494014" w:rsidRPr="00D93D74" w:rsidDel="00162CD1">
          <w:rPr>
            <w:rFonts w:cs="Times New Roman"/>
            <w:szCs w:val="24"/>
          </w:rPr>
          <w:del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delInstrText>
        </w:r>
        <w:r w:rsidR="00DB6904" w:rsidRPr="00D93D74" w:rsidDel="00162CD1">
          <w:rPr>
            <w:rFonts w:cs="Times New Roman"/>
            <w:szCs w:val="24"/>
          </w:rPr>
          <w:fldChar w:fldCharType="separate"/>
        </w:r>
        <w:r w:rsidR="00DB6904" w:rsidRPr="00D93D74" w:rsidDel="00162CD1">
          <w:rPr>
            <w:rFonts w:cs="Times New Roman"/>
          </w:rPr>
          <w:delText>(Camacho et al., 2009)</w:delText>
        </w:r>
        <w:r w:rsidR="00DB6904" w:rsidRPr="00D93D74" w:rsidDel="00162CD1">
          <w:rPr>
            <w:rFonts w:cs="Times New Roman"/>
            <w:szCs w:val="24"/>
          </w:rPr>
          <w:fldChar w:fldCharType="end"/>
        </w:r>
        <w:r w:rsidR="00DB6904" w:rsidRPr="00D93D74" w:rsidDel="00162CD1">
          <w:rPr>
            <w:rFonts w:cs="Times New Roman"/>
            <w:szCs w:val="24"/>
          </w:rPr>
          <w:delText xml:space="preserve">. Taxonomic classification is </w:delText>
        </w:r>
        <w:r w:rsidR="002079AE" w:rsidRPr="00D93D74" w:rsidDel="00162CD1">
          <w:rPr>
            <w:rFonts w:cs="Times New Roman"/>
            <w:szCs w:val="24"/>
          </w:rPr>
          <w:delText xml:space="preserve">then </w:delText>
        </w:r>
        <w:r w:rsidR="00DB6904" w:rsidRPr="00D93D74" w:rsidDel="00162CD1">
          <w:rPr>
            <w:rFonts w:cs="Times New Roman"/>
            <w:szCs w:val="24"/>
          </w:rPr>
          <w:delText xml:space="preserve">determined </w:delText>
        </w:r>
        <w:r w:rsidR="002079AE" w:rsidRPr="00D93D74" w:rsidDel="00162CD1">
          <w:rPr>
            <w:rFonts w:cs="Times New Roman"/>
            <w:szCs w:val="24"/>
          </w:rPr>
          <w:delText>by</w:delText>
        </w:r>
        <w:r w:rsidR="00DB6904" w:rsidRPr="00D93D74" w:rsidDel="00162CD1">
          <w:rPr>
            <w:rFonts w:cs="Times New Roman"/>
            <w:szCs w:val="24"/>
          </w:rPr>
          <w:delText xml:space="preserve"> consensus among the top hits </w:delText>
        </w:r>
        <w:r w:rsidR="002079AE" w:rsidRPr="00D93D74" w:rsidDel="00162CD1">
          <w:rPr>
            <w:rFonts w:cs="Times New Roman"/>
            <w:szCs w:val="24"/>
          </w:rPr>
          <w:delText>using the</w:delText>
        </w:r>
        <w:r w:rsidR="00DB6904" w:rsidRPr="00D93D74" w:rsidDel="00162CD1">
          <w:rPr>
            <w:rFonts w:cs="Times New Roman"/>
            <w:szCs w:val="24"/>
          </w:rPr>
          <w:delText xml:space="preserve"> LCA algorithm.</w:delText>
        </w:r>
      </w:del>
      <w:r w:rsidR="00ED29DA" w:rsidRPr="00D93D74">
        <w:rPr>
          <w:rFonts w:cs="Times New Roman"/>
          <w:szCs w:val="24"/>
        </w:rPr>
        <w:t xml:space="preserve">MetaPhlAn profiles microbial communities by mapping reads to a curated database of unique species-level marker genes derived from </w:t>
      </w:r>
      <w:r w:rsidR="005B0BE4" w:rsidRPr="00D93D74">
        <w:rPr>
          <w:rFonts w:cs="Times New Roman"/>
          <w:szCs w:val="24"/>
        </w:rPr>
        <w:t xml:space="preserve">single-genome bins (SGBs) from </w:t>
      </w:r>
      <w:r w:rsidR="00ED29DA" w:rsidRPr="00D93D74">
        <w:rPr>
          <w:rFonts w:cs="Times New Roman"/>
          <w:szCs w:val="24"/>
        </w:rPr>
        <w:t>isolate genomes and metagenome-assembled genomes</w:t>
      </w:r>
      <w:r w:rsidR="00D253B0" w:rsidRPr="00D93D74">
        <w:rPr>
          <w:rFonts w:cs="Times New Roman"/>
          <w:szCs w:val="24"/>
        </w:rPr>
        <w:t xml:space="preserve"> of </w:t>
      </w:r>
      <w:r w:rsidR="00ED29DA" w:rsidRPr="00D93D74">
        <w:rPr>
          <w:rFonts w:cs="Times New Roman"/>
          <w:szCs w:val="24"/>
        </w:rPr>
        <w:t>bacteria, archaea, and eukaryotes</w:t>
      </w:r>
      <w:r w:rsidR="00D253B0" w:rsidRPr="00D93D74">
        <w:rPr>
          <w:rFonts w:cs="Times New Roman"/>
          <w:szCs w:val="24"/>
        </w:rPr>
        <w:t xml:space="preserve">. </w:t>
      </w:r>
    </w:p>
    <w:p w14:paraId="5DD698A3" w14:textId="4BA22356" w:rsidR="009A34DE" w:rsidRPr="00D93D74" w:rsidRDefault="009A34DE" w:rsidP="00CD77AB">
      <w:pPr>
        <w:rPr>
          <w:rFonts w:cs="Times New Roman"/>
          <w:szCs w:val="24"/>
        </w:rPr>
      </w:pPr>
      <w:r w:rsidRPr="00D93D74">
        <w:rPr>
          <w:rFonts w:cs="Times New Roman"/>
          <w:szCs w:val="24"/>
        </w:rPr>
        <w:t xml:space="preserve">Additionally, we also used EukDetect to improve detection of </w:t>
      </w:r>
      <w:r w:rsidR="00BD7FD1" w:rsidRPr="00D93D74">
        <w:rPr>
          <w:rFonts w:cs="Times New Roman"/>
          <w:szCs w:val="24"/>
        </w:rPr>
        <w:t>eukaryotes</w:t>
      </w:r>
      <w:r w:rsidRPr="00D93D74">
        <w:rPr>
          <w:rFonts w:cs="Times New Roman"/>
          <w:szCs w:val="24"/>
        </w:rPr>
        <w:t xml:space="preserve"> especially fungal species </w:t>
      </w:r>
      <w:r w:rsidRPr="00D93D74">
        <w:rPr>
          <w:rFonts w:cs="Times New Roman"/>
          <w:szCs w:val="24"/>
        </w:rPr>
        <w:fldChar w:fldCharType="begin"/>
      </w:r>
      <w:r w:rsidR="001C2A55">
        <w:rPr>
          <w:rFonts w:cs="Times New Roman"/>
          <w:szCs w:val="24"/>
        </w:rPr>
        <w:instrText xml:space="preserve"> ADDIN ZOTERO_ITEM CSL_CITATION {"citationID":"qgmad8fI","properties":{"formattedCitation":"(Lind &amp; Pollard, 2021)","plainCitation":"(Lind &amp; Pollard, 2021)","noteIndex":0},"citationItems":[{"id":3332,"uris":["http://zotero.org/users/8873894/items/GKV55FH5"],"itemData":{"id":3332,"type":"article-journal","abstract":"Microbial eukaryotes are found alongside bacteria and archaea in natural microbial systems, including host-associated microbiomes. While microbial eukaryotes are critical to these communities, they are challenging to study with shotgun sequencing techniques and are therefore often excluded.","container-title":"Microbiome","DOI":"10.1186/s40168-021-01015-y","ISSN":"2049-2618","issue":"1","journalAbbreviation":"Microbiome","language":"en","page":"58","source":"Springer Link","title":"Accurate and sensitive detection of microbial eukaryotes from whole metagenome shotgun sequencing","volume":"9","author":[{"family":"Lind","given":"Abigail L."},{"family":"Pollard","given":"Katherine S."}],"issued":{"date-parts":[["2021",3,3]]}}}],"schema":"https://github.com/citation-style-language/schema/raw/master/csl-citation.json"} </w:instrText>
      </w:r>
      <w:r w:rsidRPr="00D93D74">
        <w:rPr>
          <w:rFonts w:cs="Times New Roman"/>
          <w:szCs w:val="24"/>
        </w:rPr>
        <w:fldChar w:fldCharType="separate"/>
      </w:r>
      <w:r w:rsidR="00BD7FD1" w:rsidRPr="00D93D74">
        <w:rPr>
          <w:rFonts w:cs="Times New Roman"/>
        </w:rPr>
        <w:t>(Lind &amp; Pollard, 2021)</w:t>
      </w:r>
      <w:r w:rsidRPr="00D93D74">
        <w:rPr>
          <w:rFonts w:cs="Times New Roman"/>
          <w:szCs w:val="24"/>
        </w:rPr>
        <w:fldChar w:fldCharType="end"/>
      </w:r>
      <w:r w:rsidR="00BD7FD1" w:rsidRPr="00D93D74">
        <w:rPr>
          <w:rFonts w:cs="Times New Roman"/>
          <w:szCs w:val="24"/>
        </w:rPr>
        <w:t xml:space="preserve">. EukDetect has been shown to detect the highest number of eukaryotic species within mixed shotgun metagenomic data using a specialised species-specific marker gene database </w:t>
      </w:r>
      <w:r w:rsidR="00BD7FD1" w:rsidRPr="00D93D74">
        <w:rPr>
          <w:rFonts w:cs="Times New Roman"/>
          <w:szCs w:val="24"/>
        </w:rPr>
        <w:fldChar w:fldCharType="begin"/>
      </w:r>
      <w:r w:rsidR="001C2A55">
        <w:rPr>
          <w:rFonts w:cs="Times New Roman"/>
          <w:szCs w:val="24"/>
        </w:rPr>
        <w:instrText xml:space="preserve"> ADDIN ZOTERO_ITEM CSL_CITATION {"citationID":"to1nhVjT","properties":{"formattedCitation":"(Avershina et al., 2025)","plainCitation":"(Avershina et al., 2025)","noteIndex":0},"citationItems":[{"id":3448,"uris":["http://zotero.org/users/8873894/items/EAEXSAJR"],"itemData":{"id":3448,"type":"article-journal","abstract":"Background\nThe mycobiome, representing the fungal component of microbial communities, is increasingly acknowledged as an integral part of the gut microbiome. However, research in this area remains relatively limited. The characterization of mycobiome taxa from metagenomic data is heavily reliant on the quality of the software and databases. In this study, we evaluated the feasibility of mycobiome profiling using existing bioinformatics tools on simulated fungal metagenomic data.\n\nResults\nWe identified seven tools claiming to perform taxonomic assignment of fungal shotgun metagenomic sequences. One of these was outdated and required substantial modifications of the code to be functional and was thus excluded. To evaluate the accuracy of identification and relative abundance of the remaining tools (Kraken2, MetaPhlAn4, EukDetect, FunOMIC, MiCoP, and HumanMycobiomeScan), we constructed 18 mock communities of varying species richness and abundance levels. The mock communities comprised up to 165 fungal species belonging to the phyla Ascomycota and Basidiomycota, commonly found in gut microbiomes. Of the tools, FunOMIC and HumanMycobiomeScan needed source code modifications to run. Notably, only one species, Candida orthopsilosis, was consistently identified by all tools across all communities where it was included. Increasing community richness improved precision of Kraken2 and the relative abundance accuracy of all tools on species, genus, and family levels. MetaPhlAn4 accurately identified all genera present in the communities and FunOMIC identified most species. The top three tools for overall accuracy in both identification and relative abundance estimation were EukDetect, MiCoP, and FunOMIC, respectively. Adding 90% and 99% bacterial background did not significantly impact these tools’ performance. Among the whole genome reference tools (Kraken2, HMS, and MiCoP), MiCoP exhibited the highest accuracy when the same reference database was used.\n\nConclusion\nOur survey of mycobiome-specific software revealed a very limited selection of such tools and their poor robustness due to error-prone software, along with a significant lack of comprehensive databases enabling characterization of the mycobiome. None of the implemented tools fully agreed on the mock community profiles. FunOMIC recognized most of the species, but EukDetect and MiCoP provided predictions that were closest to the correct compositions. The bacterial background did not impact these tools’ performance., \nVideo Abstract\n\nSupplementary Information\nThe online version contains supplementary material available at 10.1186/s40168-025-02048-3.","container-title":"Microbiome","DOI":"10.1186/s40168-025-02048-3","ISSN":"2049-2618","journalAbbreviation":"Microbiome","page":"66","PMID":"40055808","PMCID":"PMC11887097","source":"PubMed Central","title":"Challenges in capturing the mycobiome from shotgun metagenome data: lack of software and databases","title-short":"Challenges in capturing the mycobiome from shotgun metagenome data","volume":"13","author":[{"family":"Avershina","given":"Ekaterina"},{"family":"Qureshi","given":"Arfa Irej"},{"family":"Winther-Larsen","given":"Hanne C."},{"family":"Rounge","given":"Trine B."}],"issued":{"date-parts":[["2025",3,7]]}}}],"schema":"https://github.com/citation-style-language/schema/raw/master/csl-citation.json"} </w:instrText>
      </w:r>
      <w:r w:rsidR="00BD7FD1" w:rsidRPr="00D93D74">
        <w:rPr>
          <w:rFonts w:cs="Times New Roman"/>
          <w:szCs w:val="24"/>
        </w:rPr>
        <w:fldChar w:fldCharType="separate"/>
      </w:r>
      <w:r w:rsidR="00BD7FD1" w:rsidRPr="00D93D74">
        <w:rPr>
          <w:rFonts w:cs="Times New Roman"/>
        </w:rPr>
        <w:t>(Avershina et al., 2025)</w:t>
      </w:r>
      <w:r w:rsidR="00BD7FD1" w:rsidRPr="00D93D74">
        <w:rPr>
          <w:rFonts w:cs="Times New Roman"/>
          <w:szCs w:val="24"/>
        </w:rPr>
        <w:fldChar w:fldCharType="end"/>
      </w:r>
      <w:r w:rsidR="00BD7FD1" w:rsidRPr="00D93D74">
        <w:rPr>
          <w:rFonts w:cs="Times New Roman"/>
          <w:szCs w:val="24"/>
        </w:rPr>
        <w:t xml:space="preserve">. </w:t>
      </w:r>
    </w:p>
    <w:p w14:paraId="04C66EC9" w14:textId="4416975F" w:rsidR="00D16657" w:rsidRPr="004A6168" w:rsidRDefault="00EE659B" w:rsidP="00CD77AB">
      <w:pPr>
        <w:rPr>
          <w:rFonts w:cs="Times New Roman"/>
          <w:szCs w:val="24"/>
        </w:rPr>
      </w:pPr>
      <w:r w:rsidRPr="00D93D74">
        <w:rPr>
          <w:rFonts w:cs="Times New Roman"/>
          <w:szCs w:val="24"/>
        </w:rPr>
        <w:t xml:space="preserve">For </w:t>
      </w:r>
      <w:r w:rsidR="00A571C2" w:rsidRPr="00D93D74">
        <w:rPr>
          <w:rFonts w:cs="Times New Roman"/>
          <w:szCs w:val="24"/>
        </w:rPr>
        <w:t xml:space="preserve">the </w:t>
      </w:r>
      <w:r w:rsidRPr="00D93D74">
        <w:rPr>
          <w:rFonts w:cs="Times New Roman"/>
          <w:szCs w:val="24"/>
        </w:rPr>
        <w:t>analysis of viral communit</w:t>
      </w:r>
      <w:r w:rsidR="002079AE" w:rsidRPr="00D93D74">
        <w:rPr>
          <w:rFonts w:cs="Times New Roman"/>
          <w:szCs w:val="24"/>
        </w:rPr>
        <w:t>ies</w:t>
      </w:r>
      <w:r w:rsidRPr="00D93D74">
        <w:rPr>
          <w:rFonts w:cs="Times New Roman"/>
          <w:szCs w:val="24"/>
        </w:rPr>
        <w:t xml:space="preserve"> in the shotgun metagenomic </w:t>
      </w:r>
      <w:r w:rsidR="00960FC0" w:rsidRPr="00D93D74">
        <w:rPr>
          <w:rFonts w:cs="Times New Roman"/>
          <w:szCs w:val="24"/>
        </w:rPr>
        <w:t>samples</w:t>
      </w:r>
      <w:r w:rsidR="002079AE" w:rsidRPr="00D93D74">
        <w:rPr>
          <w:rFonts w:cs="Times New Roman"/>
          <w:szCs w:val="24"/>
        </w:rPr>
        <w:t>,</w:t>
      </w:r>
      <w:r w:rsidRPr="00D93D74">
        <w:rPr>
          <w:rFonts w:cs="Times New Roman"/>
          <w:szCs w:val="24"/>
        </w:rPr>
        <w:t xml:space="preserve"> w</w:t>
      </w:r>
      <w:r w:rsidR="00EB228B" w:rsidRPr="00D93D74">
        <w:rPr>
          <w:rFonts w:cs="Times New Roman"/>
          <w:szCs w:val="24"/>
        </w:rPr>
        <w:t>e used geNo</w:t>
      </w:r>
      <w:r w:rsidR="00607519" w:rsidRPr="00D93D74">
        <w:rPr>
          <w:rFonts w:cs="Times New Roman"/>
          <w:szCs w:val="24"/>
        </w:rPr>
        <w:t xml:space="preserve">mad </w:t>
      </w:r>
      <w:r w:rsidR="00607519" w:rsidRPr="00D93D74">
        <w:rPr>
          <w:rFonts w:cs="Times New Roman"/>
          <w:szCs w:val="24"/>
        </w:rPr>
        <w:fldChar w:fldCharType="begin"/>
      </w:r>
      <w:r w:rsidR="001C2A55">
        <w:rPr>
          <w:rFonts w:cs="Times New Roman"/>
          <w:szCs w:val="24"/>
        </w:rPr>
        <w:instrText xml:space="preserve"> ADDIN ZOTERO_ITEM CSL_CITATION {"citationID":"JBHiwcoM","properties":{"formattedCitation":"(Camargo et al., 2024)","plainCitation":"(Camargo et al., 2024)","noteIndex":0},"citationItems":[{"id":2936,"uris":["http://zotero.org/users/8873894/items/P2PP22VE"],"itemData":{"id":2936,"type":"article-journal","abstract":"Identifying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apply","page":"1303-1312","publisher":"Nature Publishing Group","source":"www.nature.com","title":"Identification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D93D74">
        <w:rPr>
          <w:rFonts w:cs="Times New Roman"/>
          <w:szCs w:val="24"/>
        </w:rPr>
        <w:fldChar w:fldCharType="separate"/>
      </w:r>
      <w:r w:rsidR="00607519" w:rsidRPr="00D93D74">
        <w:rPr>
          <w:rFonts w:cs="Times New Roman"/>
          <w:szCs w:val="24"/>
        </w:rPr>
        <w:t>(Camargo et al., 2024)</w:t>
      </w:r>
      <w:r w:rsidR="00607519" w:rsidRPr="00D93D74">
        <w:rPr>
          <w:rFonts w:cs="Times New Roman"/>
          <w:szCs w:val="24"/>
        </w:rPr>
        <w:fldChar w:fldCharType="end"/>
      </w:r>
      <w:r w:rsidR="00EB228B" w:rsidRPr="00D93D74">
        <w:rPr>
          <w:rFonts w:cs="Times New Roman"/>
          <w:szCs w:val="24"/>
        </w:rPr>
        <w:t>. geNomad combine</w:t>
      </w:r>
      <w:r w:rsidR="00A571C2" w:rsidRPr="00D93D74">
        <w:rPr>
          <w:rFonts w:cs="Times New Roman"/>
          <w:szCs w:val="24"/>
        </w:rPr>
        <w:t>s</w:t>
      </w:r>
      <w:r w:rsidR="00EB228B" w:rsidRPr="00D93D74">
        <w:rPr>
          <w:rFonts w:cs="Times New Roman"/>
          <w:szCs w:val="24"/>
        </w:rPr>
        <w:t xml:space="preserve"> alignment-free and gene-based classifier</w:t>
      </w:r>
      <w:r w:rsidR="002079AE" w:rsidRPr="00D93D74">
        <w:rPr>
          <w:rFonts w:cs="Times New Roman"/>
          <w:szCs w:val="24"/>
        </w:rPr>
        <w:t>s</w:t>
      </w:r>
      <w:r w:rsidR="00EB228B" w:rsidRPr="00D93D74">
        <w:rPr>
          <w:rFonts w:cs="Times New Roman"/>
          <w:szCs w:val="24"/>
        </w:rPr>
        <w:t xml:space="preserve"> to improve </w:t>
      </w:r>
      <w:r w:rsidR="002079AE" w:rsidRPr="00D93D74">
        <w:rPr>
          <w:rFonts w:cs="Times New Roman"/>
          <w:szCs w:val="24"/>
        </w:rPr>
        <w:t xml:space="preserve">the </w:t>
      </w:r>
      <w:r w:rsidR="00EB228B" w:rsidRPr="00D93D74">
        <w:rPr>
          <w:rFonts w:cs="Times New Roman"/>
          <w:szCs w:val="24"/>
        </w:rPr>
        <w:t>classification performance</w:t>
      </w:r>
      <w:r w:rsidR="00607519" w:rsidRPr="00D93D74">
        <w:rPr>
          <w:rFonts w:cs="Times New Roman"/>
          <w:szCs w:val="24"/>
        </w:rPr>
        <w:t xml:space="preserve"> of viral sequences. </w:t>
      </w:r>
      <w:del w:id="391" w:author="Urša Miklavčič" w:date="2026-04-28T18:45:00Z" w16du:dateUtc="2026-04-28T16:45:00Z">
        <w:r w:rsidR="00607519" w:rsidRPr="00D93D74" w:rsidDel="00804345">
          <w:rPr>
            <w:rFonts w:cs="Times New Roman"/>
            <w:szCs w:val="24"/>
          </w:rPr>
          <w:delText xml:space="preserve">Viral sequences were analysed at the </w:delText>
        </w:r>
        <w:r w:rsidR="002079AE" w:rsidRPr="00D93D74" w:rsidDel="00804345">
          <w:rPr>
            <w:rFonts w:cs="Times New Roman"/>
            <w:szCs w:val="24"/>
          </w:rPr>
          <w:delText>f</w:delText>
        </w:r>
        <w:r w:rsidR="00607519" w:rsidRPr="00D93D74" w:rsidDel="00804345">
          <w:rPr>
            <w:rFonts w:cs="Times New Roman"/>
            <w:szCs w:val="24"/>
          </w:rPr>
          <w:delText>amily level</w:delText>
        </w:r>
        <w:r w:rsidR="002079AE" w:rsidRPr="00D93D74" w:rsidDel="00804345">
          <w:rPr>
            <w:rFonts w:cs="Times New Roman"/>
            <w:szCs w:val="24"/>
          </w:rPr>
          <w:delText>s</w:delText>
        </w:r>
        <w:r w:rsidR="00607519" w:rsidRPr="00D93D74" w:rsidDel="00804345">
          <w:rPr>
            <w:rFonts w:cs="Times New Roman"/>
            <w:szCs w:val="24"/>
          </w:rPr>
          <w:delText xml:space="preserve"> where possible, to explore abundance, diversity</w:delText>
        </w:r>
        <w:r w:rsidR="002079AE" w:rsidRPr="00D93D74" w:rsidDel="00804345">
          <w:rPr>
            <w:rFonts w:cs="Times New Roman"/>
            <w:szCs w:val="24"/>
          </w:rPr>
          <w:delText>,</w:delText>
        </w:r>
        <w:r w:rsidR="00607519" w:rsidRPr="00D93D74" w:rsidDel="00804345">
          <w:rPr>
            <w:rFonts w:cs="Times New Roman"/>
            <w:szCs w:val="24"/>
          </w:rPr>
          <w:delText xml:space="preserve"> and persistence within and across individuals</w:delText>
        </w:r>
        <w:r w:rsidR="00A571C2" w:rsidRPr="00D93D74" w:rsidDel="00804345">
          <w:rPr>
            <w:rFonts w:cs="Times New Roman"/>
            <w:szCs w:val="24"/>
          </w:rPr>
          <w:delText>.</w:delText>
        </w:r>
      </w:del>
    </w:p>
    <w:p w14:paraId="4204B97F" w14:textId="59E63A07" w:rsidR="00173621" w:rsidRDefault="00DB6904" w:rsidP="00CD77AB">
      <w:pPr>
        <w:rPr>
          <w:rFonts w:cs="Times New Roman"/>
          <w:szCs w:val="24"/>
        </w:rPr>
      </w:pPr>
      <w:r w:rsidRPr="00D93D74">
        <w:rPr>
          <w:rFonts w:cs="Times New Roman"/>
          <w:szCs w:val="24"/>
        </w:rPr>
        <w:t>Alpha and beta diversity, composition</w:t>
      </w:r>
      <w:r w:rsidR="002079AE" w:rsidRPr="00D93D74">
        <w:rPr>
          <w:rFonts w:cs="Times New Roman"/>
          <w:szCs w:val="24"/>
        </w:rPr>
        <w:t>,</w:t>
      </w:r>
      <w:r w:rsidRPr="00D93D74">
        <w:rPr>
          <w:rFonts w:cs="Times New Roman"/>
          <w:szCs w:val="24"/>
        </w:rPr>
        <w:t xml:space="preserve"> and other graphical representations were calculated </w:t>
      </w:r>
      <w:r w:rsidR="002079AE" w:rsidRPr="00D93D74">
        <w:rPr>
          <w:rFonts w:cs="Times New Roman"/>
          <w:szCs w:val="24"/>
        </w:rPr>
        <w:t>using</w:t>
      </w:r>
      <w:r w:rsidRPr="00D93D74">
        <w:rPr>
          <w:rFonts w:cs="Times New Roman"/>
          <w:szCs w:val="24"/>
        </w:rPr>
        <w:t xml:space="preserve"> functions in the R package ‘vegan’ at the </w:t>
      </w:r>
      <w:r w:rsidR="004A6168">
        <w:rPr>
          <w:rFonts w:cs="Times New Roman"/>
          <w:szCs w:val="24"/>
        </w:rPr>
        <w:t>species-</w:t>
      </w:r>
      <w:r w:rsidR="005B0BE4" w:rsidRPr="00D93D74">
        <w:rPr>
          <w:rFonts w:cs="Times New Roman"/>
          <w:szCs w:val="24"/>
        </w:rPr>
        <w:t xml:space="preserve">level </w:t>
      </w:r>
      <w:r w:rsidR="00506EB8" w:rsidRPr="00D93D74">
        <w:rPr>
          <w:rFonts w:cs="Times New Roman"/>
          <w:szCs w:val="24"/>
        </w:rPr>
        <w:t>for bacterial, archaeal</w:t>
      </w:r>
      <w:r w:rsidR="002079AE" w:rsidRPr="00D93D74">
        <w:rPr>
          <w:rFonts w:cs="Times New Roman"/>
          <w:szCs w:val="24"/>
        </w:rPr>
        <w:t xml:space="preserve">, </w:t>
      </w:r>
      <w:r w:rsidR="00506EB8" w:rsidRPr="00D93D74">
        <w:rPr>
          <w:rFonts w:cs="Times New Roman"/>
          <w:szCs w:val="24"/>
        </w:rPr>
        <w:t>and eukaryotic data</w:t>
      </w:r>
      <w:r w:rsidR="002079AE" w:rsidRPr="00D93D74">
        <w:rPr>
          <w:rFonts w:cs="Times New Roman"/>
          <w:szCs w:val="24"/>
        </w:rPr>
        <w:t>,</w:t>
      </w:r>
      <w:r w:rsidR="00506EB8" w:rsidRPr="00D93D74">
        <w:rPr>
          <w:rFonts w:cs="Times New Roman"/>
          <w:szCs w:val="24"/>
        </w:rPr>
        <w:t xml:space="preserve"> and at</w:t>
      </w:r>
      <w:r w:rsidRPr="00D93D74">
        <w:rPr>
          <w:rFonts w:cs="Times New Roman"/>
          <w:szCs w:val="24"/>
        </w:rPr>
        <w:t xml:space="preserve"> </w:t>
      </w:r>
      <w:r w:rsidR="00BD2E54" w:rsidRPr="00D93D74">
        <w:rPr>
          <w:rFonts w:cs="Times New Roman"/>
          <w:szCs w:val="24"/>
        </w:rPr>
        <w:t xml:space="preserve">the </w:t>
      </w:r>
      <w:del w:id="392" w:author="Urša Miklavčič" w:date="2026-04-28T18:45:00Z" w16du:dateUtc="2026-04-28T16:45:00Z">
        <w:r w:rsidR="00506EB8" w:rsidRPr="00D93D74" w:rsidDel="00804345">
          <w:rPr>
            <w:rFonts w:cs="Times New Roman"/>
            <w:szCs w:val="24"/>
          </w:rPr>
          <w:delText xml:space="preserve">family </w:delText>
        </w:r>
      </w:del>
      <w:ins w:id="393" w:author="Urša Miklavčič" w:date="2026-04-28T18:45:00Z" w16du:dateUtc="2026-04-28T16:45:00Z">
        <w:r w:rsidR="00804345">
          <w:rPr>
            <w:rFonts w:cs="Times New Roman"/>
            <w:szCs w:val="24"/>
          </w:rPr>
          <w:t>family</w:t>
        </w:r>
        <w:r w:rsidR="00804345" w:rsidRPr="00D93D74">
          <w:rPr>
            <w:rFonts w:cs="Times New Roman"/>
            <w:szCs w:val="24"/>
          </w:rPr>
          <w:t xml:space="preserve"> </w:t>
        </w:r>
      </w:ins>
      <w:r w:rsidRPr="00D93D74">
        <w:rPr>
          <w:rFonts w:cs="Times New Roman"/>
          <w:szCs w:val="24"/>
        </w:rPr>
        <w:t xml:space="preserve">level for viral sequences. </w:t>
      </w:r>
    </w:p>
    <w:p w14:paraId="21630B9E" w14:textId="77777777" w:rsidR="004B61A2" w:rsidRPr="004B61A2" w:rsidRDefault="004B61A2" w:rsidP="00CD77AB">
      <w:pPr>
        <w:rPr>
          <w:rFonts w:cs="Times New Roman"/>
          <w:color w:val="70AD47" w:themeColor="accent6"/>
          <w:szCs w:val="24"/>
        </w:rPr>
      </w:pPr>
    </w:p>
    <w:p w14:paraId="395B1019" w14:textId="0CF93DF5" w:rsidR="005B2B25" w:rsidRPr="00D93D74" w:rsidRDefault="005C0775">
      <w:pPr>
        <w:pStyle w:val="Naslov4"/>
        <w:numPr>
          <w:ilvl w:val="3"/>
          <w:numId w:val="3"/>
        </w:numPr>
        <w:rPr>
          <w:b/>
        </w:rPr>
      </w:pPr>
      <w:bookmarkStart w:id="394" w:name="_Toc216099732"/>
      <w:bookmarkStart w:id="395" w:name="_Toc220932854"/>
      <w:r w:rsidRPr="00D93D74">
        <w:t>Gene</w:t>
      </w:r>
      <w:r w:rsidR="003125AC" w:rsidRPr="00D93D74">
        <w:t>-</w:t>
      </w:r>
      <w:r w:rsidR="003467DA" w:rsidRPr="00D93D74">
        <w:t>based d</w:t>
      </w:r>
      <w:r w:rsidR="00ED29DA" w:rsidRPr="00D93D74">
        <w:t xml:space="preserve">etermination of sporulation </w:t>
      </w:r>
      <w:r w:rsidR="004A6168">
        <w:t>ability</w:t>
      </w:r>
      <w:r w:rsidR="00ED29DA" w:rsidRPr="00D93D74">
        <w:t xml:space="preserve"> </w:t>
      </w:r>
      <w:r w:rsidR="003125AC" w:rsidRPr="00D93D74">
        <w:t>for bacterial species</w:t>
      </w:r>
      <w:bookmarkEnd w:id="394"/>
      <w:bookmarkEnd w:id="395"/>
    </w:p>
    <w:p w14:paraId="292010DD" w14:textId="255989A6" w:rsidR="00173621" w:rsidRDefault="00A81532" w:rsidP="00CD77AB">
      <w:pPr>
        <w:rPr>
          <w:rFonts w:cs="Times New Roman"/>
          <w:szCs w:val="24"/>
        </w:rPr>
      </w:pPr>
      <w:r w:rsidRPr="00D93D74">
        <w:rPr>
          <w:rFonts w:cs="Times New Roman"/>
          <w:szCs w:val="24"/>
        </w:rPr>
        <w:t xml:space="preserve">Sporulation </w:t>
      </w:r>
      <w:r w:rsidR="004A6168">
        <w:rPr>
          <w:rFonts w:cs="Times New Roman"/>
          <w:szCs w:val="24"/>
        </w:rPr>
        <w:t>ability</w:t>
      </w:r>
      <w:r w:rsidRPr="00D93D74">
        <w:rPr>
          <w:rFonts w:cs="Times New Roman"/>
          <w:szCs w:val="24"/>
        </w:rPr>
        <w:t xml:space="preserv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5B0BE4" w:rsidRPr="00D93D74">
        <w:rPr>
          <w:rFonts w:cs="Times New Roman"/>
          <w:szCs w:val="24"/>
        </w:rPr>
        <w:t xml:space="preserve"> where the </w:t>
      </w:r>
      <w:r w:rsidR="004A6168">
        <w:rPr>
          <w:rFonts w:cs="Times New Roman"/>
          <w:szCs w:val="24"/>
        </w:rPr>
        <w:t>species</w:t>
      </w:r>
      <w:r w:rsidR="005B0BE4" w:rsidRPr="00D93D74">
        <w:rPr>
          <w:rFonts w:cs="Times New Roman"/>
          <w:szCs w:val="24"/>
        </w:rPr>
        <w:t xml:space="preserve"> also had an</w:t>
      </w:r>
      <w:r w:rsidR="004A6168">
        <w:rPr>
          <w:rFonts w:cs="Times New Roman"/>
          <w:szCs w:val="24"/>
        </w:rPr>
        <w:t xml:space="preserve"> NCBI </w:t>
      </w:r>
      <w:r w:rsidR="005B0BE4" w:rsidRPr="00D93D74">
        <w:rPr>
          <w:rFonts w:cs="Times New Roman"/>
          <w:szCs w:val="24"/>
        </w:rPr>
        <w:t>species-level classification</w:t>
      </w:r>
      <w:r w:rsidR="00D16657" w:rsidRPr="00D93D74">
        <w:rPr>
          <w:rFonts w:cs="Times New Roman"/>
          <w:szCs w:val="24"/>
        </w:rPr>
        <w:t xml:space="preserve">. </w:t>
      </w:r>
      <w:r w:rsidR="001D04C4" w:rsidRPr="00D93D74">
        <w:rPr>
          <w:rFonts w:cs="Times New Roman"/>
          <w:szCs w:val="24"/>
        </w:rPr>
        <w:t>The g</w:t>
      </w:r>
      <w:r w:rsidR="00D16657" w:rsidRPr="00D93D74">
        <w:rPr>
          <w:rFonts w:cs="Times New Roman"/>
          <w:szCs w:val="24"/>
        </w:rPr>
        <w:t xml:space="preserve">ene signature </w:t>
      </w:r>
      <w:r w:rsidR="001D04C4" w:rsidRPr="00D93D74">
        <w:rPr>
          <w:rFonts w:cs="Times New Roman"/>
          <w:szCs w:val="24"/>
        </w:rPr>
        <w:t>comprised</w:t>
      </w:r>
      <w:r w:rsidR="00D16657" w:rsidRPr="00D93D74">
        <w:rPr>
          <w:rFonts w:cs="Times New Roman"/>
          <w:szCs w:val="24"/>
        </w:rPr>
        <w:t xml:space="preserve"> </w:t>
      </w:r>
      <w:r w:rsidR="005B2B25" w:rsidRPr="00D93D74">
        <w:rPr>
          <w:rFonts w:cs="Times New Roman"/>
          <w:szCs w:val="24"/>
        </w:rPr>
        <w:t>66 conserved genes</w:t>
      </w:r>
      <w:r w:rsidR="00D16657" w:rsidRPr="00D93D74">
        <w:rPr>
          <w:rFonts w:cs="Times New Roman"/>
          <w:szCs w:val="24"/>
        </w:rPr>
        <w:t xml:space="preserve"> </w:t>
      </w:r>
      <w:r w:rsidR="005B2B25" w:rsidRPr="00D93D74">
        <w:rPr>
          <w:rFonts w:cs="Times New Roman"/>
          <w:szCs w:val="24"/>
        </w:rPr>
        <w:t>(</w:t>
      </w:r>
      <w:r w:rsidR="005C0775" w:rsidRPr="00D93D74">
        <w:rPr>
          <w:rFonts w:cs="Times New Roman"/>
          <w:szCs w:val="24"/>
        </w:rPr>
        <w:t xml:space="preserve">Supplement Table </w:t>
      </w:r>
      <w:r w:rsidR="005B0BE4" w:rsidRPr="00D93D74">
        <w:rPr>
          <w:rFonts w:cs="Times New Roman"/>
          <w:szCs w:val="24"/>
        </w:rPr>
        <w:t>6</w:t>
      </w:r>
      <w:r w:rsidR="005B2B25" w:rsidRPr="00D93D74">
        <w:rPr>
          <w:rFonts w:cs="Times New Roman"/>
          <w:szCs w:val="24"/>
        </w:rPr>
        <w:t>) previously shown to predict</w:t>
      </w:r>
      <w:r w:rsidR="001D04C4" w:rsidRPr="00D93D74">
        <w:rPr>
          <w:rFonts w:cs="Times New Roman"/>
          <w:szCs w:val="24"/>
        </w:rPr>
        <w:t xml:space="preserve"> the</w:t>
      </w:r>
      <w:r w:rsidR="005B2B25" w:rsidRPr="00D93D74">
        <w:rPr>
          <w:rFonts w:cs="Times New Roman"/>
          <w:szCs w:val="24"/>
        </w:rPr>
        <w:t xml:space="preserve"> </w:t>
      </w:r>
      <w:r w:rsidR="00494014" w:rsidRPr="00D93D74">
        <w:rPr>
          <w:rFonts w:cs="Times New Roman"/>
          <w:szCs w:val="24"/>
        </w:rPr>
        <w:t xml:space="preserve">sporulation </w:t>
      </w:r>
      <w:r w:rsidR="004A6168">
        <w:rPr>
          <w:rFonts w:cs="Times New Roman"/>
          <w:szCs w:val="24"/>
        </w:rPr>
        <w:t>ability</w:t>
      </w:r>
      <w:r w:rsidR="005B2B25" w:rsidRPr="00D93D74">
        <w:rPr>
          <w:rFonts w:cs="Times New Roman"/>
          <w:szCs w:val="24"/>
        </w:rPr>
        <w:t xml:space="preserve"> of bacterial species isolated from diverse environment with high accuracy </w:t>
      </w:r>
      <w:r w:rsidR="00607519" w:rsidRPr="00D93D74">
        <w:rPr>
          <w:rFonts w:cs="Times New Roman"/>
          <w:szCs w:val="24"/>
        </w:rPr>
        <w:fldChar w:fldCharType="begin"/>
      </w:r>
      <w:r w:rsidR="001C2A55">
        <w:rPr>
          <w:rFonts w:cs="Times New Roman"/>
          <w:szCs w:val="24"/>
        </w:rPr>
        <w:instrText xml:space="preserve"> ADDIN ZOTERO_ITEM CSL_CITATION {"citationID":"laokekbz","properties":{"formattedCitation":"(Browne et al., 2016a, 2021)","plainCitation":"(Browne et al., 2016a, 2021)","noteIndex":0},"citationItems":[{"id":3042,"uris":["http://zotero.org/users/8873894/items/S6UVG3L2"],"itemData":{"id":3042,"type":"article-journal","abstract":"A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D93D74">
        <w:rPr>
          <w:rFonts w:cs="Times New Roman"/>
          <w:szCs w:val="24"/>
        </w:rPr>
        <w:fldChar w:fldCharType="separate"/>
      </w:r>
      <w:r w:rsidR="00494014" w:rsidRPr="00D93D74">
        <w:rPr>
          <w:rFonts w:cs="Times New Roman"/>
        </w:rPr>
        <w:t>(Browne et al., 2016a, 2021)</w:t>
      </w:r>
      <w:r w:rsidR="00607519" w:rsidRPr="00D93D74">
        <w:rPr>
          <w:rFonts w:cs="Times New Roman"/>
          <w:szCs w:val="24"/>
        </w:rPr>
        <w:fldChar w:fldCharType="end"/>
      </w:r>
      <w:r w:rsidRPr="00D93D74">
        <w:rPr>
          <w:rFonts w:cs="Times New Roman"/>
          <w:szCs w:val="24"/>
        </w:rPr>
        <w:t xml:space="preserve">. </w:t>
      </w:r>
      <w:r w:rsidR="00575DD2" w:rsidRPr="00D93D74">
        <w:rPr>
          <w:rFonts w:cs="Times New Roman"/>
          <w:szCs w:val="24"/>
        </w:rPr>
        <w:t>Reference genome</w:t>
      </w:r>
      <w:r w:rsidR="001D04C4" w:rsidRPr="00D93D74">
        <w:rPr>
          <w:rFonts w:cs="Times New Roman"/>
          <w:szCs w:val="24"/>
        </w:rPr>
        <w:t>s</w:t>
      </w:r>
      <w:r w:rsidR="00575DD2" w:rsidRPr="00D93D74">
        <w:rPr>
          <w:rFonts w:cs="Times New Roman"/>
          <w:szCs w:val="24"/>
        </w:rPr>
        <w:t xml:space="preserve"> </w:t>
      </w:r>
      <w:r w:rsidR="004B61A2">
        <w:rPr>
          <w:rFonts w:cs="Times New Roman"/>
          <w:szCs w:val="24"/>
        </w:rPr>
        <w:t xml:space="preserve">(the representative genome for each species based on GTDB) </w:t>
      </w:r>
      <w:r w:rsidR="00575DD2" w:rsidRPr="00D93D74">
        <w:rPr>
          <w:rFonts w:cs="Times New Roman"/>
          <w:szCs w:val="24"/>
        </w:rPr>
        <w:t>for detected species were retrieved from the NCBI</w:t>
      </w:r>
      <w:r w:rsidR="004A6168">
        <w:rPr>
          <w:rFonts w:cs="Times New Roman"/>
          <w:szCs w:val="24"/>
        </w:rPr>
        <w:t xml:space="preserve"> Genome database</w:t>
      </w:r>
      <w:r w:rsidR="003125AC" w:rsidRPr="00D93D74">
        <w:rPr>
          <w:rFonts w:cs="Times New Roman"/>
          <w:szCs w:val="24"/>
        </w:rPr>
        <w:t>. For each s</w:t>
      </w:r>
      <w:r w:rsidR="00D16657" w:rsidRPr="00D93D74">
        <w:rPr>
          <w:rFonts w:cs="Times New Roman"/>
          <w:szCs w:val="24"/>
        </w:rPr>
        <w:t>pecies</w:t>
      </w:r>
      <w:r w:rsidR="001D04C4" w:rsidRPr="00D93D74">
        <w:rPr>
          <w:rFonts w:cs="Times New Roman"/>
          <w:szCs w:val="24"/>
        </w:rPr>
        <w:t>,</w:t>
      </w:r>
      <w:r w:rsidR="00D16657" w:rsidRPr="00D93D74">
        <w:rPr>
          <w:rFonts w:cs="Times New Roman"/>
          <w:szCs w:val="24"/>
        </w:rPr>
        <w:t xml:space="preserve"> </w:t>
      </w:r>
      <w:r w:rsidR="003125AC" w:rsidRPr="00D93D74">
        <w:rPr>
          <w:rFonts w:cs="Times New Roman"/>
          <w:szCs w:val="24"/>
        </w:rPr>
        <w:t>gene presence</w:t>
      </w:r>
      <w:r w:rsidR="00D16657" w:rsidRPr="00D93D74">
        <w:rPr>
          <w:rFonts w:cs="Times New Roman"/>
          <w:szCs w:val="24"/>
        </w:rPr>
        <w:t xml:space="preserve"> was </w:t>
      </w:r>
      <w:r w:rsidR="001D04C4" w:rsidRPr="00D93D74">
        <w:rPr>
          <w:rFonts w:cs="Times New Roman"/>
          <w:szCs w:val="24"/>
        </w:rPr>
        <w:t>assessed</w:t>
      </w:r>
      <w:r w:rsidR="00D16657" w:rsidRPr="00D93D74">
        <w:rPr>
          <w:rFonts w:cs="Times New Roman"/>
          <w:szCs w:val="24"/>
        </w:rPr>
        <w:t xml:space="preserve"> using BLAST-based gene detection</w:t>
      </w:r>
      <w:r w:rsidR="005C0775" w:rsidRPr="00D93D74">
        <w:rPr>
          <w:rFonts w:cs="Times New Roman"/>
          <w:szCs w:val="24"/>
        </w:rPr>
        <w:t xml:space="preserve"> (e-value &lt; 1</w:t>
      </w:r>
      <w:r w:rsidR="00BD2E54" w:rsidRPr="00D93D74">
        <w:rPr>
          <w:rFonts w:cs="Times New Roman"/>
          <w:szCs w:val="24"/>
        </w:rPr>
        <w:t xml:space="preserve"> × 10</w:t>
      </w:r>
      <w:r w:rsidR="0007616D" w:rsidRPr="00D93D74">
        <w:rPr>
          <w:rFonts w:cs="Times New Roman"/>
          <w:szCs w:val="24"/>
          <w:vertAlign w:val="superscript"/>
        </w:rPr>
        <w:t>-5</w:t>
      </w:r>
      <w:r w:rsidR="005C0775" w:rsidRPr="00D93D74">
        <w:rPr>
          <w:rFonts w:cs="Times New Roman"/>
          <w:szCs w:val="24"/>
        </w:rPr>
        <w:t xml:space="preserve"> and identity &gt; 30%)</w:t>
      </w:r>
      <w:r w:rsidR="00330798" w:rsidRPr="00D93D74">
        <w:rPr>
          <w:rFonts w:cs="Times New Roman"/>
          <w:szCs w:val="24"/>
        </w:rPr>
        <w:t xml:space="preserve"> </w:t>
      </w:r>
      <w:r w:rsidR="00330798" w:rsidRPr="00D93D74">
        <w:rPr>
          <w:rFonts w:cs="Times New Roman"/>
          <w:szCs w:val="24"/>
        </w:rPr>
        <w:fldChar w:fldCharType="begin"/>
      </w:r>
      <w:r w:rsidR="001C2A55">
        <w:rPr>
          <w:rFonts w:cs="Times New Roman"/>
          <w:szCs w:val="24"/>
        </w:rPr>
        <w:instrText xml:space="preserve"> ADDIN ZOTERO_ITEM CSL_CITATION {"citationID":"IpDZybkz","properties":{"formattedCitation":"(Camacho et al., 2009; Sayers et al., 2024)","plainCitation":"(Camacho et al., 2009; Sayers et al., 2024)","noteIndex":0},"citationItems":[{"id":3228,"uris":["http://zotero.org/users/8873894/items/CBS3P4K9"],"itemData":{"id":3228,"type":"article-journal","abstract":"BACKGROUND: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L."}],"issued":{"date-parts":[["2009",12,15]]}}},{"id":3229,"uris":["http://zotero.org/users/8873894/items/8868G9NW"],"itemData":{"id":3229,"type":"article-journal","abstract":"The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Res","page":"D20-D29","PMID":"39526373","PMCID":"PMC11701734","source":"PubMed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D93D74">
        <w:rPr>
          <w:rFonts w:cs="Times New Roman"/>
          <w:szCs w:val="24"/>
        </w:rPr>
        <w:fldChar w:fldCharType="separate"/>
      </w:r>
      <w:r w:rsidR="00330798" w:rsidRPr="00D93D74">
        <w:rPr>
          <w:rFonts w:cs="Times New Roman"/>
          <w:szCs w:val="24"/>
        </w:rPr>
        <w:t>(Camacho et al., 2009; Sayers et al., 2024)</w:t>
      </w:r>
      <w:r w:rsidR="00330798" w:rsidRPr="00D93D74">
        <w:rPr>
          <w:rFonts w:cs="Times New Roman"/>
          <w:szCs w:val="24"/>
        </w:rPr>
        <w:fldChar w:fldCharType="end"/>
      </w:r>
      <w:r w:rsidR="00330798" w:rsidRPr="00D93D74">
        <w:rPr>
          <w:rFonts w:cs="Times New Roman"/>
          <w:szCs w:val="24"/>
        </w:rPr>
        <w:t>.</w:t>
      </w:r>
      <w:r w:rsidR="005C0775" w:rsidRPr="00D93D74">
        <w:rPr>
          <w:rFonts w:cs="Times New Roman"/>
          <w:szCs w:val="24"/>
        </w:rPr>
        <w:t xml:space="preserve"> If a genome had more than 33 genes present, </w:t>
      </w:r>
      <w:r w:rsidR="001D04C4" w:rsidRPr="00D93D74">
        <w:rPr>
          <w:rFonts w:cs="Times New Roman"/>
          <w:szCs w:val="24"/>
        </w:rPr>
        <w:t xml:space="preserve">the </w:t>
      </w:r>
      <w:r w:rsidR="005C0775" w:rsidRPr="00D93D74">
        <w:rPr>
          <w:rFonts w:cs="Times New Roman"/>
          <w:szCs w:val="24"/>
        </w:rPr>
        <w:t>species was classified as spore-forming.</w:t>
      </w:r>
      <w:r w:rsidR="00575DD2" w:rsidRPr="00D93D74">
        <w:rPr>
          <w:rFonts w:cs="Times New Roman"/>
          <w:szCs w:val="24"/>
        </w:rPr>
        <w:t xml:space="preserve"> The method is </w:t>
      </w:r>
      <w:r w:rsidR="001D04C4" w:rsidRPr="00D93D74">
        <w:rPr>
          <w:rFonts w:cs="Times New Roman"/>
          <w:szCs w:val="24"/>
        </w:rPr>
        <w:t>supported</w:t>
      </w:r>
      <w:r w:rsidR="00575DD2" w:rsidRPr="00D93D74">
        <w:rPr>
          <w:rFonts w:cs="Times New Roman"/>
          <w:szCs w:val="24"/>
        </w:rPr>
        <w:t xml:space="preserve"> by the distribution of the number of genes present in </w:t>
      </w:r>
      <w:r w:rsidR="001D04C4" w:rsidRPr="00D93D74">
        <w:rPr>
          <w:rFonts w:cs="Times New Roman"/>
          <w:szCs w:val="24"/>
        </w:rPr>
        <w:t xml:space="preserve">a </w:t>
      </w:r>
      <w:r w:rsidR="00575DD2" w:rsidRPr="00D93D74">
        <w:rPr>
          <w:rFonts w:cs="Times New Roman"/>
          <w:szCs w:val="24"/>
        </w:rPr>
        <w:t>diverse set of genomes, with a clear break at 30 genes</w:t>
      </w:r>
      <w:r w:rsidR="001D04C4" w:rsidRPr="00D93D74">
        <w:rPr>
          <w:rFonts w:cs="Times New Roman"/>
          <w:szCs w:val="24"/>
        </w:rPr>
        <w:t xml:space="preserve"> (Supplement Figure </w:t>
      </w:r>
      <w:ins w:id="396" w:author="Urša Miklavčič [2]" w:date="2026-04-21T13:19:00Z" w16du:dateUtc="2026-04-21T11:19:00Z">
        <w:r w:rsidR="00554FAF">
          <w:rPr>
            <w:rFonts w:cs="Times New Roman"/>
            <w:szCs w:val="24"/>
          </w:rPr>
          <w:t>8</w:t>
        </w:r>
      </w:ins>
      <w:del w:id="397" w:author="Urša Miklavčič [2]" w:date="2026-04-21T13:19:00Z" w16du:dateUtc="2026-04-21T11:19:00Z">
        <w:r w:rsidR="005B0BE4" w:rsidRPr="00D93D74" w:rsidDel="00554FAF">
          <w:rPr>
            <w:rFonts w:cs="Times New Roman"/>
            <w:szCs w:val="24"/>
          </w:rPr>
          <w:delText>6</w:delText>
        </w:r>
      </w:del>
      <w:r w:rsidR="001D04C4" w:rsidRPr="00D93D74">
        <w:rPr>
          <w:rFonts w:cs="Times New Roman"/>
          <w:szCs w:val="24"/>
        </w:rPr>
        <w:t>),</w:t>
      </w:r>
      <w:r w:rsidR="00575DD2" w:rsidRPr="00D93D74">
        <w:rPr>
          <w:rFonts w:cs="Times New Roman"/>
          <w:szCs w:val="24"/>
        </w:rPr>
        <w:t xml:space="preserve"> and </w:t>
      </w:r>
      <w:r w:rsidR="001D04C4" w:rsidRPr="00D93D74">
        <w:rPr>
          <w:rFonts w:cs="Times New Roman"/>
          <w:szCs w:val="24"/>
        </w:rPr>
        <w:t>by</w:t>
      </w:r>
      <w:r w:rsidR="00575DD2" w:rsidRPr="00D93D74">
        <w:rPr>
          <w:rFonts w:cs="Times New Roman"/>
          <w:szCs w:val="24"/>
        </w:rPr>
        <w:t xml:space="preserve"> previous transmission electron microscopy of spores from species determined as spore-forming</w:t>
      </w:r>
      <w:r w:rsidR="003125AC" w:rsidRPr="00D93D74">
        <w:rPr>
          <w:rFonts w:cs="Times New Roman"/>
          <w:szCs w:val="24"/>
        </w:rPr>
        <w:t xml:space="preserve"> </w:t>
      </w:r>
      <w:r w:rsidR="003125AC" w:rsidRPr="00D93D74">
        <w:rPr>
          <w:rFonts w:cs="Times New Roman"/>
          <w:szCs w:val="24"/>
        </w:rPr>
        <w:fldChar w:fldCharType="begin"/>
      </w:r>
      <w:r w:rsidR="001C2A55">
        <w:rPr>
          <w:rFonts w:cs="Times New Roman"/>
          <w:szCs w:val="24"/>
        </w:rPr>
        <w:instrText xml:space="preserve"> ADDIN ZOTERO_ITEM CSL_CITATION {"citationID":"D3M7Gq9f","properties":{"formattedCitation":"(Browne et al., 2021)","plainCitation":"(Browne et al., 2021)","noteIndex":0},"citationItems":[{"id":33,"uris":["http://zotero.org/users/8873894/items/N88GZHKF"],"itemData":{"id":33,"type":"article-journal","abstract":"Background: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sidRPr="00D93D74">
        <w:rPr>
          <w:rFonts w:cs="Times New Roman"/>
          <w:szCs w:val="24"/>
        </w:rPr>
        <w:fldChar w:fldCharType="separate"/>
      </w:r>
      <w:r w:rsidR="003125AC" w:rsidRPr="00D93D74">
        <w:rPr>
          <w:rFonts w:cs="Times New Roman"/>
        </w:rPr>
        <w:t>(Browne et al., 2021)</w:t>
      </w:r>
      <w:r w:rsidR="003125AC" w:rsidRPr="00D93D74">
        <w:rPr>
          <w:rFonts w:cs="Times New Roman"/>
          <w:szCs w:val="24"/>
        </w:rPr>
        <w:fldChar w:fldCharType="end"/>
      </w:r>
      <w:r w:rsidR="00575DD2" w:rsidRPr="00D93D74">
        <w:rPr>
          <w:rFonts w:cs="Times New Roman"/>
          <w:szCs w:val="24"/>
        </w:rPr>
        <w:t>.</w:t>
      </w:r>
    </w:p>
    <w:p w14:paraId="461CBE01" w14:textId="77777777" w:rsidR="004B61A2" w:rsidRPr="00D93D74" w:rsidRDefault="004B61A2" w:rsidP="00CD77AB">
      <w:pPr>
        <w:rPr>
          <w:rFonts w:cs="Times New Roman"/>
          <w:szCs w:val="24"/>
        </w:rPr>
      </w:pPr>
    </w:p>
    <w:p w14:paraId="6571F425" w14:textId="14339D68" w:rsidR="00636461" w:rsidRPr="00D93D74" w:rsidRDefault="003F3118">
      <w:pPr>
        <w:pStyle w:val="Naslov4"/>
        <w:numPr>
          <w:ilvl w:val="3"/>
          <w:numId w:val="3"/>
        </w:numPr>
        <w:rPr>
          <w:b/>
        </w:rPr>
      </w:pPr>
      <w:bookmarkStart w:id="398" w:name="_Toc216099733"/>
      <w:bookmarkStart w:id="399" w:name="_Toc220932855"/>
      <w:r w:rsidRPr="00D93D74">
        <w:t>Determination</w:t>
      </w:r>
      <w:r w:rsidR="007D52EA" w:rsidRPr="00D93D74">
        <w:t xml:space="preserve"> of ethanol</w:t>
      </w:r>
      <w:r w:rsidR="003125AC" w:rsidRPr="00D93D74">
        <w:t>-resistant bacterial species</w:t>
      </w:r>
      <w:bookmarkEnd w:id="398"/>
      <w:bookmarkEnd w:id="399"/>
    </w:p>
    <w:p w14:paraId="2CCAA399" w14:textId="534B7B53" w:rsidR="00173621" w:rsidRDefault="00696A64" w:rsidP="00CD77AB">
      <w:pPr>
        <w:rPr>
          <w:rFonts w:cs="Times New Roman"/>
          <w:szCs w:val="24"/>
        </w:rPr>
      </w:pPr>
      <w:r w:rsidRPr="00D93D74">
        <w:rPr>
          <w:rFonts w:cs="Times New Roman"/>
          <w:szCs w:val="24"/>
        </w:rPr>
        <w:t xml:space="preserve">Ethanol resistance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3125AC" w:rsidRPr="00D93D74">
        <w:rPr>
          <w:rFonts w:cs="Times New Roman"/>
          <w:szCs w:val="24"/>
        </w:rPr>
        <w:t xml:space="preserve"> </w:t>
      </w:r>
      <w:r w:rsidR="00DA53D7" w:rsidRPr="00D93D74">
        <w:rPr>
          <w:rFonts w:cs="Times New Roman"/>
          <w:szCs w:val="24"/>
        </w:rPr>
        <w:t>using</w:t>
      </w:r>
      <w:r w:rsidR="003125AC" w:rsidRPr="00D93D74">
        <w:rPr>
          <w:rFonts w:cs="Times New Roman"/>
          <w:szCs w:val="24"/>
        </w:rPr>
        <w:t xml:space="preserve"> the same criteria as for the OTUs (</w:t>
      </w:r>
      <w:r w:rsidR="00DA53D7" w:rsidRPr="00D93D74">
        <w:rPr>
          <w:rFonts w:cs="Times New Roman"/>
          <w:szCs w:val="24"/>
        </w:rPr>
        <w:t>s</w:t>
      </w:r>
      <w:r w:rsidR="003125AC" w:rsidRPr="00D93D74">
        <w:rPr>
          <w:rFonts w:cs="Times New Roman"/>
          <w:szCs w:val="24"/>
        </w:rPr>
        <w:t xml:space="preserve">ee Chapter </w:t>
      </w:r>
      <w:r w:rsidR="00B62600" w:rsidRPr="00D93D74">
        <w:rPr>
          <w:rFonts w:cs="Times New Roman"/>
          <w:szCs w:val="24"/>
        </w:rPr>
        <w:t>2</w:t>
      </w:r>
      <w:r w:rsidR="003125AC" w:rsidRPr="00D93D74">
        <w:rPr>
          <w:rFonts w:cs="Times New Roman"/>
          <w:szCs w:val="24"/>
        </w:rPr>
        <w:t>.6.1.</w:t>
      </w:r>
      <w:r w:rsidR="00B62600" w:rsidRPr="00D93D74">
        <w:rPr>
          <w:rFonts w:cs="Times New Roman"/>
          <w:szCs w:val="24"/>
        </w:rPr>
        <w:t>2</w:t>
      </w:r>
      <w:r w:rsidR="003125AC" w:rsidRPr="00D93D74">
        <w:rPr>
          <w:rFonts w:cs="Times New Roman"/>
          <w:szCs w:val="24"/>
        </w:rPr>
        <w:t>)</w:t>
      </w:r>
      <w:r w:rsidRPr="00D93D74">
        <w:rPr>
          <w:rFonts w:cs="Times New Roman"/>
          <w:szCs w:val="24"/>
        </w:rPr>
        <w:t xml:space="preserve">. </w:t>
      </w:r>
      <w:r w:rsidR="004B61A2">
        <w:rPr>
          <w:rFonts w:cs="Times New Roman"/>
          <w:szCs w:val="24"/>
        </w:rPr>
        <w:t>Species</w:t>
      </w:r>
      <w:r w:rsidR="00D93D74" w:rsidRPr="00D93D74">
        <w:rPr>
          <w:rFonts w:cs="Times New Roman"/>
          <w:szCs w:val="24"/>
        </w:rPr>
        <w:t xml:space="preserve"> detected in the ethanol-resistant community in less than 5% of the samples (determined uncertain, n = </w:t>
      </w:r>
      <w:r w:rsidR="004B61A2">
        <w:rPr>
          <w:rFonts w:cs="Times New Roman"/>
          <w:szCs w:val="24"/>
        </w:rPr>
        <w:t>187</w:t>
      </w:r>
      <w:r w:rsidR="00D93D74" w:rsidRPr="00D93D74">
        <w:rPr>
          <w:rFonts w:cs="Times New Roman"/>
          <w:szCs w:val="24"/>
        </w:rPr>
        <w:t xml:space="preserve">), and </w:t>
      </w:r>
      <w:r w:rsidR="004B61A2">
        <w:rPr>
          <w:rFonts w:cs="Times New Roman"/>
          <w:szCs w:val="24"/>
        </w:rPr>
        <w:lastRenderedPageBreak/>
        <w:t>species</w:t>
      </w:r>
      <w:r w:rsidR="00D93D74" w:rsidRPr="00D93D74">
        <w:rPr>
          <w:rFonts w:cs="Times New Roman"/>
          <w:szCs w:val="24"/>
        </w:rPr>
        <w:t xml:space="preserve"> detected only in ethanol-treated samples (n = </w:t>
      </w:r>
      <w:r w:rsidR="004B61A2">
        <w:rPr>
          <w:rFonts w:cs="Times New Roman"/>
          <w:szCs w:val="24"/>
        </w:rPr>
        <w:t>37</w:t>
      </w:r>
      <w:r w:rsidR="00D93D74" w:rsidRPr="00D93D74">
        <w:rPr>
          <w:rFonts w:cs="Times New Roman"/>
          <w:szCs w:val="24"/>
        </w:rPr>
        <w:t xml:space="preserve">), were excluded from further analysis (Supplement Text </w:t>
      </w:r>
      <w:ins w:id="400" w:author="Urša Miklavčič [2]" w:date="2026-04-21T13:19:00Z" w16du:dateUtc="2026-04-21T11:19:00Z">
        <w:r w:rsidR="00554FAF">
          <w:rPr>
            <w:rFonts w:cs="Times New Roman"/>
            <w:szCs w:val="24"/>
          </w:rPr>
          <w:t>2</w:t>
        </w:r>
      </w:ins>
      <w:del w:id="401" w:author="Urša Miklavčič [2]" w:date="2026-04-21T13:19:00Z" w16du:dateUtc="2026-04-21T11:19:00Z">
        <w:r w:rsidR="00D93D74" w:rsidRPr="00D93D74" w:rsidDel="00554FAF">
          <w:rPr>
            <w:rFonts w:cs="Times New Roman"/>
            <w:szCs w:val="24"/>
          </w:rPr>
          <w:delText>3</w:delText>
        </w:r>
      </w:del>
      <w:r w:rsidR="00D93D74" w:rsidRPr="00D93D74">
        <w:rPr>
          <w:rFonts w:cs="Times New Roman"/>
          <w:szCs w:val="24"/>
        </w:rPr>
        <w:t xml:space="preserve">). </w:t>
      </w:r>
    </w:p>
    <w:p w14:paraId="1E3CB724" w14:textId="77777777" w:rsidR="004B61A2" w:rsidRPr="00D93D74" w:rsidRDefault="004B61A2" w:rsidP="00CD77AB">
      <w:pPr>
        <w:rPr>
          <w:rFonts w:cs="Times New Roman"/>
          <w:szCs w:val="24"/>
        </w:rPr>
      </w:pPr>
    </w:p>
    <w:p w14:paraId="5D573337" w14:textId="495F38F3" w:rsidR="00780C9D" w:rsidRPr="00D93D74" w:rsidRDefault="00780C9D">
      <w:pPr>
        <w:pStyle w:val="Naslov4"/>
        <w:numPr>
          <w:ilvl w:val="3"/>
          <w:numId w:val="3"/>
        </w:numPr>
        <w:rPr>
          <w:b/>
        </w:rPr>
      </w:pPr>
      <w:bookmarkStart w:id="402" w:name="_Toc216099734"/>
      <w:bookmarkStart w:id="403" w:name="_Toc220932856"/>
      <w:r w:rsidRPr="00D93D74">
        <w:t>A</w:t>
      </w:r>
      <w:r w:rsidR="004B61A2">
        <w:t>nalysis of a</w:t>
      </w:r>
      <w:r w:rsidRPr="00D93D74">
        <w:t xml:space="preserve">ntibiotic resistance gene </w:t>
      </w:r>
      <w:bookmarkEnd w:id="402"/>
      <w:bookmarkEnd w:id="403"/>
      <w:r w:rsidR="004B61A2">
        <w:t xml:space="preserve">in untreated stool samples </w:t>
      </w:r>
    </w:p>
    <w:p w14:paraId="349C13EB" w14:textId="3A41C81B" w:rsidR="003125AC" w:rsidRDefault="00B10359" w:rsidP="00CD77AB">
      <w:pPr>
        <w:rPr>
          <w:ins w:id="404" w:author="Urša Miklavčič" w:date="2026-04-28T19:54:00Z" w16du:dateUtc="2026-04-28T17:54:00Z"/>
          <w:rFonts w:cs="Times New Roman"/>
          <w:szCs w:val="24"/>
        </w:rPr>
      </w:pPr>
      <w:r w:rsidRPr="00D93D74">
        <w:rPr>
          <w:rFonts w:cs="Times New Roman"/>
          <w:szCs w:val="24"/>
        </w:rPr>
        <w:t>W</w:t>
      </w:r>
      <w:r w:rsidR="00780C9D" w:rsidRPr="00D93D74">
        <w:rPr>
          <w:rFonts w:cs="Times New Roman"/>
          <w:szCs w:val="24"/>
        </w:rPr>
        <w:t xml:space="preserve">e used AMRfinder </w:t>
      </w:r>
      <w:r w:rsidR="008A2B5E" w:rsidRPr="00D93D74">
        <w:rPr>
          <w:rFonts w:cs="Times New Roman"/>
          <w:szCs w:val="24"/>
        </w:rPr>
        <w:t>v4.0.3, db</w:t>
      </w:r>
      <w:r w:rsidR="00025252" w:rsidRPr="00D93D74">
        <w:rPr>
          <w:rFonts w:cs="Times New Roman"/>
          <w:szCs w:val="24"/>
        </w:rPr>
        <w:t>2025-07-16.1</w:t>
      </w:r>
      <w:r w:rsidR="00DA53D7" w:rsidRPr="00D93D74">
        <w:rPr>
          <w:rFonts w:cs="Times New Roman"/>
          <w:szCs w:val="24"/>
        </w:rPr>
        <w:t>,</w:t>
      </w:r>
      <w:r w:rsidR="008A2B5E" w:rsidRPr="00D93D74">
        <w:rPr>
          <w:rFonts w:cs="Times New Roman"/>
          <w:szCs w:val="24"/>
        </w:rPr>
        <w:t xml:space="preserve"> </w:t>
      </w:r>
      <w:r w:rsidR="00780C9D" w:rsidRPr="00D93D74">
        <w:rPr>
          <w:rFonts w:cs="Times New Roman"/>
          <w:szCs w:val="24"/>
        </w:rPr>
        <w:t xml:space="preserve">which </w:t>
      </w:r>
      <w:r w:rsidR="00DA53D7" w:rsidRPr="00D93D74">
        <w:rPr>
          <w:rFonts w:cs="Times New Roman"/>
          <w:szCs w:val="24"/>
        </w:rPr>
        <w:t>identifies</w:t>
      </w:r>
      <w:r w:rsidR="00780C9D" w:rsidRPr="00D93D74">
        <w:rPr>
          <w:rFonts w:cs="Times New Roman"/>
          <w:szCs w:val="24"/>
        </w:rPr>
        <w:t xml:space="preserve"> antimicrobial resistance genes </w:t>
      </w:r>
      <w:r w:rsidR="00DA53D7" w:rsidRPr="00D93D74">
        <w:rPr>
          <w:rFonts w:cs="Times New Roman"/>
          <w:szCs w:val="24"/>
        </w:rPr>
        <w:t>using</w:t>
      </w:r>
      <w:r w:rsidR="00780C9D" w:rsidRPr="00D93D74">
        <w:rPr>
          <w:rFonts w:cs="Times New Roman"/>
          <w:szCs w:val="24"/>
        </w:rPr>
        <w:t xml:space="preserve"> basic local alignment to known sequences </w:t>
      </w:r>
      <w:r w:rsidR="00696A64" w:rsidRPr="00D93D74">
        <w:rPr>
          <w:rFonts w:cs="Times New Roman"/>
          <w:szCs w:val="24"/>
        </w:rPr>
        <w:fldChar w:fldCharType="begin"/>
      </w:r>
      <w:r w:rsidR="001C2A55">
        <w:rPr>
          <w:rFonts w:cs="Times New Roman"/>
          <w:szCs w:val="24"/>
        </w:rPr>
        <w:instrText xml:space="preserve"> ADDIN ZOTERO_ITEM CSL_CITATION {"citationID":"WbJFM5YH","properties":{"formattedCitation":"(Feldgarden et al., 2019, 2021)","plainCitation":"(Feldgarden et al., 2019, 2021)","noteIndex":0},"citationItems":[{"id":3226,"uris":["http://zotero.org/users/8873894/items/LIDDZD68"],"itemData":{"id":3226,"type":"article-journal","abstract":"Antimicrobial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P."},{"family":"Klimke","given":"William"}],"issued":{"date-parts":[["2019",10,22]]}}},{"id":3227,"uris":["http://zotero.org/users/8873894/items/AB86VQVC"],"itemData":{"id":3227,"type":"article-journal","abstract":"Antimicrobial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D93D74">
        <w:rPr>
          <w:rFonts w:cs="Times New Roman"/>
          <w:szCs w:val="24"/>
        </w:rPr>
        <w:fldChar w:fldCharType="separate"/>
      </w:r>
      <w:r w:rsidR="00696A64" w:rsidRPr="00D93D74">
        <w:rPr>
          <w:rFonts w:cs="Times New Roman"/>
          <w:szCs w:val="24"/>
        </w:rPr>
        <w:t>(Feldgarden et al., 2019, 2021)</w:t>
      </w:r>
      <w:r w:rsidR="00696A64" w:rsidRPr="00D93D74">
        <w:rPr>
          <w:rFonts w:cs="Times New Roman"/>
          <w:szCs w:val="24"/>
        </w:rPr>
        <w:fldChar w:fldCharType="end"/>
      </w:r>
      <w:r w:rsidR="008941CE" w:rsidRPr="00D93D74">
        <w:rPr>
          <w:rFonts w:cs="Times New Roman"/>
          <w:szCs w:val="24"/>
        </w:rPr>
        <w:t xml:space="preserve">. </w:t>
      </w:r>
      <w:r w:rsidR="00696A64" w:rsidRPr="00D93D74">
        <w:rPr>
          <w:rFonts w:cs="Times New Roman"/>
          <w:szCs w:val="24"/>
        </w:rPr>
        <w:t>AMRfinder reports exact BLAST matches over the full length of the reference protein or</w:t>
      </w:r>
      <w:r w:rsidR="00DA53D7" w:rsidRPr="00D93D74">
        <w:rPr>
          <w:rFonts w:cs="Times New Roman"/>
          <w:szCs w:val="24"/>
        </w:rPr>
        <w:t>,</w:t>
      </w:r>
      <w:r w:rsidR="00696A64" w:rsidRPr="00D93D74">
        <w:rPr>
          <w:rFonts w:cs="Times New Roman"/>
          <w:szCs w:val="24"/>
        </w:rPr>
        <w:t xml:space="preserve"> if there </w:t>
      </w:r>
      <w:r w:rsidR="00DA53D7" w:rsidRPr="00D93D74">
        <w:rPr>
          <w:rFonts w:cs="Times New Roman"/>
          <w:szCs w:val="24"/>
        </w:rPr>
        <w:t>is no</w:t>
      </w:r>
      <w:r w:rsidR="00696A64" w:rsidRPr="00D93D74">
        <w:rPr>
          <w:rFonts w:cs="Times New Roman"/>
          <w:szCs w:val="24"/>
        </w:rPr>
        <w:t xml:space="preserve"> exact match, </w:t>
      </w:r>
      <w:r w:rsidR="00DA53D7" w:rsidRPr="00D93D74">
        <w:rPr>
          <w:rFonts w:cs="Times New Roman"/>
          <w:szCs w:val="24"/>
        </w:rPr>
        <w:t>reports</w:t>
      </w:r>
      <w:r w:rsidR="00696A64" w:rsidRPr="00D93D74">
        <w:rPr>
          <w:rFonts w:cs="Times New Roman"/>
          <w:szCs w:val="24"/>
        </w:rPr>
        <w:t xml:space="preserve"> </w:t>
      </w:r>
      <w:r w:rsidR="005B0BE4" w:rsidRPr="00D93D74">
        <w:rPr>
          <w:rFonts w:cs="Times New Roman"/>
          <w:szCs w:val="24"/>
        </w:rPr>
        <w:t>match</w:t>
      </w:r>
      <w:r w:rsidR="00696A64" w:rsidRPr="00D93D74">
        <w:rPr>
          <w:rFonts w:cs="Times New Roman"/>
          <w:szCs w:val="24"/>
        </w:rPr>
        <w:t xml:space="preserve"> with </w:t>
      </w:r>
      <w:r w:rsidR="00DA53D7" w:rsidRPr="00D93D74">
        <w:rPr>
          <w:rFonts w:cs="Times New Roman"/>
          <w:szCs w:val="24"/>
        </w:rPr>
        <w:t>greater than</w:t>
      </w:r>
      <w:r w:rsidR="00780C9D" w:rsidRPr="00D93D74">
        <w:rPr>
          <w:rFonts w:cs="Times New Roman"/>
          <w:szCs w:val="24"/>
        </w:rPr>
        <w:t xml:space="preserve"> 90% identity or with </w:t>
      </w:r>
      <w:r w:rsidR="00DA53D7" w:rsidRPr="00D93D74">
        <w:rPr>
          <w:rFonts w:cs="Times New Roman"/>
          <w:szCs w:val="24"/>
        </w:rPr>
        <w:t xml:space="preserve">greater </w:t>
      </w:r>
      <w:r w:rsidR="00BD2E54" w:rsidRPr="00D93D74">
        <w:rPr>
          <w:rFonts w:cs="Times New Roman"/>
          <w:szCs w:val="24"/>
        </w:rPr>
        <w:t>than</w:t>
      </w:r>
      <w:r w:rsidR="00696A64" w:rsidRPr="00D93D74">
        <w:rPr>
          <w:rFonts w:cs="Times New Roman"/>
          <w:szCs w:val="24"/>
        </w:rPr>
        <w:t xml:space="preserve"> </w:t>
      </w:r>
      <w:r w:rsidR="00780C9D" w:rsidRPr="00D93D74">
        <w:rPr>
          <w:rFonts w:cs="Times New Roman"/>
          <w:szCs w:val="24"/>
        </w:rPr>
        <w:t xml:space="preserve">50% coverage of the protein. </w:t>
      </w:r>
      <w:r w:rsidRPr="00D93D74">
        <w:rPr>
          <w:rFonts w:cs="Times New Roman"/>
          <w:szCs w:val="24"/>
        </w:rPr>
        <w:t>Results were imported into R for visualisation and statistical analysis</w:t>
      </w:r>
      <w:r w:rsidR="005C0775" w:rsidRPr="00D93D74">
        <w:rPr>
          <w:rFonts w:cs="Times New Roman"/>
          <w:szCs w:val="24"/>
        </w:rPr>
        <w:t xml:space="preserve"> </w:t>
      </w:r>
      <w:r w:rsidR="00696A64" w:rsidRPr="00D93D74">
        <w:rPr>
          <w:rFonts w:cs="Times New Roman"/>
          <w:szCs w:val="24"/>
        </w:rPr>
        <w:t>to report abundance, diversity, taxonomy</w:t>
      </w:r>
      <w:r w:rsidR="00DA53D7" w:rsidRPr="00D93D74">
        <w:rPr>
          <w:rFonts w:cs="Times New Roman"/>
          <w:szCs w:val="24"/>
        </w:rPr>
        <w:t>,</w:t>
      </w:r>
      <w:r w:rsidR="00696A64" w:rsidRPr="00D93D74">
        <w:rPr>
          <w:rFonts w:cs="Times New Roman"/>
          <w:szCs w:val="24"/>
        </w:rPr>
        <w:t xml:space="preserve"> and persistence of these genes </w:t>
      </w:r>
      <w:r w:rsidR="00DA53D7" w:rsidRPr="00D93D74">
        <w:rPr>
          <w:rFonts w:cs="Times New Roman"/>
          <w:szCs w:val="24"/>
        </w:rPr>
        <w:t>over</w:t>
      </w:r>
      <w:r w:rsidR="00696A64" w:rsidRPr="00D93D74">
        <w:rPr>
          <w:rFonts w:cs="Times New Roman"/>
          <w:szCs w:val="24"/>
        </w:rPr>
        <w:t xml:space="preserve"> time within individual</w:t>
      </w:r>
      <w:r w:rsidR="00DA53D7" w:rsidRPr="00D93D74">
        <w:rPr>
          <w:rFonts w:cs="Times New Roman"/>
          <w:szCs w:val="24"/>
        </w:rPr>
        <w:t>s</w:t>
      </w:r>
      <w:r w:rsidR="00696A64" w:rsidRPr="00D93D74">
        <w:rPr>
          <w:rFonts w:cs="Times New Roman"/>
          <w:szCs w:val="24"/>
        </w:rPr>
        <w:t xml:space="preserve">. </w:t>
      </w:r>
    </w:p>
    <w:p w14:paraId="2671F7BE" w14:textId="7B683045" w:rsidR="00522BE9" w:rsidRPr="00D93D74" w:rsidRDefault="00522BE9" w:rsidP="00CD77AB">
      <w:pPr>
        <w:rPr>
          <w:rFonts w:cs="Times New Roman"/>
          <w:szCs w:val="24"/>
        </w:rPr>
      </w:pPr>
      <w:ins w:id="405" w:author="Urša Miklavčič" w:date="2026-04-28T19:54:00Z" w16du:dateUtc="2026-04-28T17:54:00Z">
        <w:r>
          <w:rPr>
            <w:rFonts w:cs="Times New Roman"/>
            <w:szCs w:val="24"/>
          </w:rPr>
          <w:t xml:space="preserve">Linear mixed-effect models were used to </w:t>
        </w:r>
      </w:ins>
      <w:ins w:id="406" w:author="Urša Miklavčič" w:date="2026-04-28T20:01:00Z" w16du:dateUtc="2026-04-28T18:01:00Z">
        <w:r>
          <w:rPr>
            <w:rFonts w:cs="Times New Roman"/>
            <w:szCs w:val="24"/>
          </w:rPr>
          <w:t>assess</w:t>
        </w:r>
      </w:ins>
      <w:ins w:id="407" w:author="Urša Miklavčič" w:date="2026-04-28T19:54:00Z" w16du:dateUtc="2026-04-28T17:54:00Z">
        <w:r>
          <w:rPr>
            <w:rFonts w:cs="Times New Roman"/>
            <w:szCs w:val="24"/>
          </w:rPr>
          <w:t xml:space="preserve"> the association between diversity and abundance of ARGs to bacterial abundance based on species-level data. </w:t>
        </w:r>
      </w:ins>
      <w:ins w:id="408" w:author="Urša Miklavčič" w:date="2026-04-28T19:55:00Z" w16du:dateUtc="2026-04-28T17:55:00Z">
        <w:r>
          <w:rPr>
            <w:rFonts w:cs="Times New Roman"/>
            <w:szCs w:val="24"/>
          </w:rPr>
          <w:t xml:space="preserve">Individuals </w:t>
        </w:r>
      </w:ins>
      <w:ins w:id="409" w:author="Urša Miklavčič" w:date="2026-04-28T20:01:00Z" w16du:dateUtc="2026-04-28T18:01:00Z">
        <w:r>
          <w:rPr>
            <w:rFonts w:cs="Times New Roman"/>
            <w:szCs w:val="24"/>
          </w:rPr>
          <w:t>were</w:t>
        </w:r>
      </w:ins>
      <w:ins w:id="410" w:author="Urša Miklavčič" w:date="2026-04-28T19:55:00Z" w16du:dateUtc="2026-04-28T17:55:00Z">
        <w:r>
          <w:rPr>
            <w:rFonts w:cs="Times New Roman"/>
            <w:szCs w:val="24"/>
          </w:rPr>
          <w:t xml:space="preserve"> always added as a random effect. </w:t>
        </w:r>
      </w:ins>
    </w:p>
    <w:p w14:paraId="658ADAAC" w14:textId="77777777" w:rsidR="003125AC" w:rsidRPr="00D93D74" w:rsidRDefault="003125AC" w:rsidP="00CD77AB">
      <w:pPr>
        <w:rPr>
          <w:rFonts w:cs="Times New Roman"/>
          <w:szCs w:val="24"/>
        </w:rPr>
      </w:pPr>
    </w:p>
    <w:p w14:paraId="56443B01" w14:textId="0815FFF3" w:rsidR="00213B80" w:rsidRPr="00D93D74" w:rsidRDefault="002F2009">
      <w:pPr>
        <w:pStyle w:val="Naslov2"/>
        <w:numPr>
          <w:ilvl w:val="1"/>
          <w:numId w:val="3"/>
        </w:numPr>
      </w:pPr>
      <w:bookmarkStart w:id="411" w:name="_Toc212712208"/>
      <w:bookmarkStart w:id="412" w:name="_Toc216099735"/>
      <w:bookmarkStart w:id="413" w:name="_Toc220932857"/>
      <w:bookmarkStart w:id="414" w:name="_Toc228252033"/>
      <w:r w:rsidRPr="00D93D74">
        <w:t>C</w:t>
      </w:r>
      <w:r w:rsidR="00173621" w:rsidRPr="00D93D74">
        <w:t>ULTIVATION AND MOLECULAR CHARACTERISATION OF SELECTED SPORE-FORMING BACTERIA FROM HUMAN STOOL SAMPLES</w:t>
      </w:r>
      <w:bookmarkEnd w:id="411"/>
      <w:bookmarkEnd w:id="412"/>
      <w:bookmarkEnd w:id="413"/>
      <w:bookmarkEnd w:id="414"/>
      <w:r w:rsidR="00173621" w:rsidRPr="00D93D74">
        <w:t xml:space="preserve"> </w:t>
      </w:r>
    </w:p>
    <w:p w14:paraId="6CA3488A" w14:textId="20BC21D4" w:rsidR="00213B80" w:rsidRPr="00D93D74" w:rsidRDefault="00B10359">
      <w:pPr>
        <w:pStyle w:val="Naslov3"/>
        <w:numPr>
          <w:ilvl w:val="2"/>
          <w:numId w:val="3"/>
        </w:numPr>
      </w:pPr>
      <w:bookmarkStart w:id="415" w:name="_Toc212712209"/>
      <w:bookmarkStart w:id="416" w:name="_Toc216099736"/>
      <w:bookmarkStart w:id="417" w:name="_Toc220932858"/>
      <w:bookmarkStart w:id="418" w:name="_Toc228252034"/>
      <w:r w:rsidRPr="00D93D74">
        <w:t>Isolat</w:t>
      </w:r>
      <w:r w:rsidR="00173621" w:rsidRPr="00D93D74">
        <w:t>ion of selected spore-forming bacteria from ethanol treated stool samples</w:t>
      </w:r>
      <w:bookmarkEnd w:id="415"/>
      <w:bookmarkEnd w:id="416"/>
      <w:bookmarkEnd w:id="417"/>
      <w:bookmarkEnd w:id="418"/>
      <w:r w:rsidR="00213B80" w:rsidRPr="00D93D74">
        <w:rPr>
          <w:rStyle w:val="Naslov2Znak"/>
          <w:rFonts w:eastAsiaTheme="majorEastAsia"/>
          <w:szCs w:val="24"/>
        </w:rPr>
        <w:t xml:space="preserve"> </w:t>
      </w:r>
    </w:p>
    <w:p w14:paraId="6D2FD0FA" w14:textId="190E8900" w:rsidR="00B10359" w:rsidRPr="00D93D74" w:rsidRDefault="005F5499" w:rsidP="004A18D8">
      <w:bookmarkStart w:id="419" w:name="_Hlk207883674"/>
      <w:ins w:id="420" w:author="Urša Miklavčič" w:date="2026-04-28T20:02:00Z" w16du:dateUtc="2026-04-28T18:02:00Z">
        <w:r>
          <w:t>Stool samples from i</w:t>
        </w:r>
      </w:ins>
      <w:del w:id="421" w:author="Urša Miklavčič" w:date="2026-04-28T20:02:00Z" w16du:dateUtc="2026-04-28T18:02:00Z">
        <w:r w:rsidR="00242307" w:rsidRPr="00D93D74" w:rsidDel="005F5499">
          <w:delText>I</w:delText>
        </w:r>
      </w:del>
      <w:r w:rsidR="00242307" w:rsidRPr="00D93D74">
        <w:t xml:space="preserve">ndividual H was selected for this analysis. Based on </w:t>
      </w:r>
      <w:r w:rsidR="00B10359" w:rsidRPr="00D93D74">
        <w:t xml:space="preserve">amplicon data from </w:t>
      </w:r>
      <w:r w:rsidR="00B41263" w:rsidRPr="00D93D74">
        <w:t>untreated</w:t>
      </w:r>
      <w:r w:rsidR="00B10359" w:rsidRPr="00D93D74">
        <w:t xml:space="preserve"> and ethanol treated samples, we </w:t>
      </w:r>
      <w:r w:rsidR="00DA53D7" w:rsidRPr="00D93D74">
        <w:t>observed</w:t>
      </w:r>
      <w:r w:rsidR="00B10359" w:rsidRPr="00D93D74">
        <w:t xml:space="preserve"> a reduction in diversity and </w:t>
      </w:r>
      <w:r w:rsidR="00213B80" w:rsidRPr="00D93D74">
        <w:t>normalised</w:t>
      </w:r>
      <w:r w:rsidR="00B10359" w:rsidRPr="00D93D74">
        <w:t xml:space="preserve"> abundance of bacteria during </w:t>
      </w:r>
      <w:r w:rsidR="008941CE" w:rsidRPr="00D93D74">
        <w:t>a</w:t>
      </w:r>
      <w:r w:rsidR="00B10359" w:rsidRPr="00D93D74">
        <w:t xml:space="preserve"> period</w:t>
      </w:r>
      <w:r w:rsidR="008941CE" w:rsidRPr="00D93D74">
        <w:t xml:space="preserve"> in individual H that coincided with antibiotic </w:t>
      </w:r>
      <w:r w:rsidR="004B61A2">
        <w:t>treatment</w:t>
      </w:r>
      <w:r w:rsidR="008941CE" w:rsidRPr="00D93D74">
        <w:t xml:space="preserve"> (amoxicillin)</w:t>
      </w:r>
      <w:r w:rsidR="00B10359" w:rsidRPr="00D93D74">
        <w:t xml:space="preserve">. </w:t>
      </w:r>
      <w:r w:rsidR="00242307" w:rsidRPr="00D93D74">
        <w:t>Stool samples from one month before, during and after antibiotic use were used for isolation of spore-forming bacteria.</w:t>
      </w:r>
    </w:p>
    <w:bookmarkEnd w:id="419"/>
    <w:p w14:paraId="2F203108" w14:textId="519E8160" w:rsidR="004A18D8" w:rsidRPr="004A18D8" w:rsidDel="008F1D82" w:rsidRDefault="004A18D8" w:rsidP="004A18D8">
      <w:pPr>
        <w:rPr>
          <w:del w:id="422" w:author="Urša Miklavčič [2]" w:date="2026-04-14T09:09:00Z" w16du:dateUtc="2026-04-14T07:09:00Z"/>
          <w:rFonts w:eastAsia="Calibri"/>
          <w:lang w:val="en-US"/>
        </w:rPr>
      </w:pPr>
      <w:r w:rsidRPr="004A18D8">
        <w:rPr>
          <w:rFonts w:eastAsia="Calibri"/>
          <w:lang w:val="en-US"/>
        </w:rPr>
        <w:t xml:space="preserve">To isolate selected spore-forming bacteria, we treated stool samples with 70% ethanol for 24 hours at room temperature (23 °C) with mixing. Samples were </w:t>
      </w:r>
      <w:del w:id="423" w:author="Urša Miklavčič" w:date="2026-04-28T20:03:00Z" w16du:dateUtc="2026-04-28T18:03:00Z">
        <w:r w:rsidRPr="004A18D8" w:rsidDel="00EA4C26">
          <w:rPr>
            <w:rFonts w:eastAsia="Calibri"/>
            <w:lang w:val="en-US"/>
          </w:rPr>
          <w:delText xml:space="preserve">then </w:delText>
        </w:r>
      </w:del>
      <w:r w:rsidRPr="004A18D8">
        <w:rPr>
          <w:rFonts w:eastAsia="Calibri"/>
          <w:lang w:val="en-US"/>
        </w:rPr>
        <w:t>serially diluted to 10</w:t>
      </w:r>
      <w:r w:rsidRPr="004A18D8">
        <w:rPr>
          <w:rFonts w:eastAsia="Calibri"/>
          <w:vertAlign w:val="superscript"/>
          <w:lang w:val="en-US"/>
        </w:rPr>
        <w:t>-5</w:t>
      </w:r>
      <w:ins w:id="424" w:author="Urša Miklavčič" w:date="2026-04-28T20:02:00Z" w16du:dateUtc="2026-04-28T18:02:00Z">
        <w:r w:rsidR="00EA4C26">
          <w:rPr>
            <w:rFonts w:eastAsia="Calibri"/>
            <w:lang w:val="en-US"/>
          </w:rPr>
          <w:t xml:space="preserve">, </w:t>
        </w:r>
      </w:ins>
      <w:ins w:id="425" w:author="Urša Miklavčič" w:date="2026-04-28T20:03:00Z" w16du:dateUtc="2026-04-28T18:03:00Z">
        <w:r w:rsidR="00EA4C26">
          <w:rPr>
            <w:rFonts w:eastAsia="Calibri"/>
            <w:lang w:val="en-US"/>
          </w:rPr>
          <w:t xml:space="preserve">than </w:t>
        </w:r>
      </w:ins>
      <w:del w:id="426" w:author="Urša Miklavčič" w:date="2026-04-28T20:02:00Z" w16du:dateUtc="2026-04-28T18:02:00Z">
        <w:r w:rsidRPr="004A18D8" w:rsidDel="00EA4C26">
          <w:rPr>
            <w:rFonts w:eastAsia="Calibri"/>
            <w:lang w:val="en-US"/>
          </w:rPr>
          <w:delText>, One hundred</w:delText>
        </w:r>
      </w:del>
      <w:ins w:id="427" w:author="Urša Miklavčič" w:date="2026-04-28T20:02:00Z" w16du:dateUtc="2026-04-28T18:02:00Z">
        <w:r w:rsidR="00EA4C26">
          <w:rPr>
            <w:rFonts w:eastAsia="Calibri"/>
            <w:lang w:val="en-US"/>
          </w:rPr>
          <w:t>100</w:t>
        </w:r>
      </w:ins>
      <w:ins w:id="428" w:author="Urša Miklavčič" w:date="2026-04-28T20:03:00Z" w16du:dateUtc="2026-04-28T18:03:00Z">
        <w:r w:rsidR="00EA4C26">
          <w:rPr>
            <w:rFonts w:eastAsia="Calibri"/>
            <w:lang w:val="en-US"/>
          </w:rPr>
          <w:t xml:space="preserve"> </w:t>
        </w:r>
        <w:r w:rsidR="00EA4C26">
          <w:rPr>
            <w:rFonts w:eastAsia="Calibri" w:cs="Times New Roman"/>
            <w:lang w:val="en-US"/>
          </w:rPr>
          <w:t>μ</w:t>
        </w:r>
        <w:r w:rsidR="00EA4C26">
          <w:rPr>
            <w:rFonts w:eastAsia="Calibri"/>
            <w:lang w:val="en-US"/>
          </w:rPr>
          <w:t>l</w:t>
        </w:r>
      </w:ins>
      <w:del w:id="429" w:author="Urša Miklavčič" w:date="2026-04-28T20:03:00Z" w16du:dateUtc="2026-04-28T18:03:00Z">
        <w:r w:rsidRPr="004A18D8" w:rsidDel="00EA4C26">
          <w:rPr>
            <w:rFonts w:eastAsia="Calibri"/>
            <w:lang w:val="en-US"/>
          </w:rPr>
          <w:delText xml:space="preserve"> microliters</w:delText>
        </w:r>
      </w:del>
      <w:r w:rsidRPr="004A18D8">
        <w:rPr>
          <w:rFonts w:eastAsia="Calibri"/>
          <w:lang w:val="en-US"/>
        </w:rPr>
        <w:t xml:space="preserve"> of undiluted sample and its 10-fold serial dilutions were plated on oxygen-reduced Wilkins-Chalgren Anaerobe agar (Thermo Fisher Scientific, USA) with the addition of bile acids </w:t>
      </w:r>
      <w:ins w:id="430" w:author="Urša Miklavčič" w:date="2026-04-28T20:04:00Z" w16du:dateUtc="2026-04-28T18:04:00Z">
        <w:r w:rsidR="00A77BF6">
          <w:rPr>
            <w:rFonts w:eastAsia="Calibri"/>
            <w:lang w:val="en-US"/>
          </w:rPr>
          <w:t xml:space="preserve">– WCAB </w:t>
        </w:r>
      </w:ins>
      <w:r w:rsidRPr="004A18D8">
        <w:rPr>
          <w:rFonts w:eastAsia="Calibri"/>
          <w:lang w:val="en-US"/>
        </w:rPr>
        <w:t>(Merck, USA) and incubated for 2 days at 37 °C in an anaerobic workstation (Whitley A35 Workstation, Don Whitley Scientific, UK</w:t>
      </w:r>
      <w:ins w:id="431" w:author="Urša Miklavčič" w:date="2026-04-28T20:03:00Z" w16du:dateUtc="2026-04-28T18:03:00Z">
        <w:r w:rsidR="00EA4C26">
          <w:rPr>
            <w:rFonts w:eastAsia="Calibri"/>
            <w:lang w:val="en-US"/>
          </w:rPr>
          <w:t>).</w:t>
        </w:r>
      </w:ins>
      <w:r w:rsidRPr="004A18D8">
        <w:t xml:space="preserve"> </w:t>
      </w:r>
      <w:r w:rsidRPr="00D93D74">
        <w:t xml:space="preserve">WCAB has previously been shown to enable germination and sustain the growth of the highest number of different spore-forming bacteria from human stool samples </w:t>
      </w:r>
      <w:r w:rsidRPr="00D93D74">
        <w:fldChar w:fldCharType="begin"/>
      </w:r>
      <w:r w:rsidR="001C2A55">
        <w:instrText xml:space="preserve"> ADDIN ZOTERO_ITEM CSL_CITATION {"citationID":"DP2sAL04","properties":{"formattedCitation":"(Dobovi\\uc0\\u353{}ek, 2021)","plainCitation":"(Dobovišek, 2021)","noteIndex":0},"citationItems":[{"id":3225,"uris":["http://zotero.org/users/8873894/items/9PZKTBQG"],"itemData":{"id":3225,"type":"thesis","abstract":"Črevesna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Pr="00D93D74">
        <w:fldChar w:fldCharType="separate"/>
      </w:r>
      <w:r w:rsidRPr="00D93D74">
        <w:t>(Dobovišek, 2021)</w:t>
      </w:r>
      <w:r w:rsidRPr="00D93D74">
        <w:fldChar w:fldCharType="end"/>
      </w:r>
      <w:r w:rsidRPr="00D93D74">
        <w:t xml:space="preserve">. </w:t>
      </w:r>
      <w:r w:rsidRPr="004A18D8">
        <w:rPr>
          <w:rFonts w:eastAsia="Calibri"/>
          <w:lang w:val="en-US"/>
        </w:rPr>
        <w:t xml:space="preserve">After 2 days, approximately 60 colonies from each sample were picked and subculture on fresh WCAB. </w:t>
      </w:r>
    </w:p>
    <w:p w14:paraId="5E70FB8F" w14:textId="25330D9E" w:rsidR="00B10359" w:rsidRPr="00D93D74" w:rsidRDefault="004A18D8" w:rsidP="004A18D8">
      <w:r w:rsidRPr="004A18D8">
        <w:rPr>
          <w:rFonts w:eastAsia="Calibri"/>
          <w:lang w:val="en-US"/>
        </w:rPr>
        <w:t>Identification of colonies was performed on overnight cultures with a commercial MALDI-TOF MS identification system (Bruker, USA).</w:t>
      </w:r>
      <w:r>
        <w:rPr>
          <w:rFonts w:eastAsia="Calibri"/>
          <w:lang w:val="en-US"/>
        </w:rPr>
        <w:t xml:space="preserve"> </w:t>
      </w:r>
      <w:r w:rsidRPr="004A18D8">
        <w:rPr>
          <w:rFonts w:eastAsia="Calibri"/>
          <w:lang w:val="en-US"/>
        </w:rPr>
        <w:t xml:space="preserve">Based on the number of isolates we chose </w:t>
      </w:r>
      <w:r w:rsidRPr="004A18D8">
        <w:rPr>
          <w:rFonts w:eastAsia="Calibri"/>
          <w:i/>
          <w:iCs/>
          <w:lang w:val="en-US"/>
        </w:rPr>
        <w:t>C. saudiense</w:t>
      </w:r>
      <w:r w:rsidRPr="004A18D8">
        <w:rPr>
          <w:rFonts w:eastAsia="Calibri"/>
          <w:lang w:val="en-US"/>
        </w:rPr>
        <w:t xml:space="preserve"> for further investigation</w:t>
      </w:r>
      <w:del w:id="432" w:author="Urša Miklavčič" w:date="2026-04-28T20:04:00Z" w16du:dateUtc="2026-04-28T18:04:00Z">
        <w:r w:rsidRPr="004A18D8" w:rsidDel="00A77BF6">
          <w:rPr>
            <w:rFonts w:eastAsia="Calibri"/>
            <w:lang w:val="en-US"/>
          </w:rPr>
          <w:delText xml:space="preserve"> (Table 1)</w:delText>
        </w:r>
      </w:del>
      <w:r w:rsidRPr="004A18D8">
        <w:rPr>
          <w:rFonts w:eastAsia="Calibri"/>
          <w:lang w:val="en-US"/>
        </w:rPr>
        <w:t xml:space="preserve">. We froze selected isolates in oxygen-reduced 20% glycerol with WCAB medium at -80 °C until further use. </w:t>
      </w:r>
      <w:r w:rsidR="00B10359" w:rsidRPr="00D93D74">
        <w:t xml:space="preserve">DNA was isolated from </w:t>
      </w:r>
      <w:r w:rsidR="008941CE" w:rsidRPr="00D93D74">
        <w:t>a</w:t>
      </w:r>
      <w:r w:rsidR="00B10359" w:rsidRPr="00D93D74">
        <w:t xml:space="preserve"> single colony</w:t>
      </w:r>
      <w:r w:rsidR="003125AC" w:rsidRPr="00D93D74">
        <w:t xml:space="preserve"> overnight culture</w:t>
      </w:r>
      <w:r w:rsidR="00B10359" w:rsidRPr="00D93D74">
        <w:t xml:space="preserve"> </w:t>
      </w:r>
      <w:r w:rsidR="007A0B34" w:rsidRPr="00D93D74">
        <w:t>and sequence</w:t>
      </w:r>
      <w:r w:rsidR="003125AC" w:rsidRPr="00D93D74">
        <w:t>d</w:t>
      </w:r>
      <w:r w:rsidR="007A0B34" w:rsidRPr="00D93D74">
        <w:t xml:space="preserve"> as described in </w:t>
      </w:r>
      <w:r w:rsidR="005B0BE4" w:rsidRPr="00D93D74">
        <w:t>chapters</w:t>
      </w:r>
      <w:r w:rsidR="003125AC" w:rsidRPr="00D93D74">
        <w:t xml:space="preserve"> 3.5.3</w:t>
      </w:r>
      <w:r w:rsidR="005B0BE4" w:rsidRPr="00D93D74">
        <w:t xml:space="preserve"> and 3.5.4 (Supplement Table 5). </w:t>
      </w:r>
    </w:p>
    <w:p w14:paraId="294C0773" w14:textId="77777777" w:rsidR="00801198" w:rsidRPr="00D93D74" w:rsidRDefault="00B10359" w:rsidP="00801198">
      <w:pPr>
        <w:keepNext/>
      </w:pPr>
      <w:r w:rsidRPr="00D93D74">
        <w:rPr>
          <w:rFonts w:cs="Times New Roman"/>
          <w:noProof/>
          <w:szCs w:val="24"/>
        </w:rPr>
        <w:lastRenderedPageBreak/>
        <w:drawing>
          <wp:inline distT="0" distB="0" distL="0" distR="0" wp14:anchorId="71C1F379" wp14:editId="72394A3F">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2F6F76CA" w14:textId="5687473F" w:rsidR="00B10359" w:rsidRPr="004A18D8" w:rsidRDefault="00801198" w:rsidP="00801198">
      <w:pPr>
        <w:pStyle w:val="Napis"/>
        <w:rPr>
          <w:rFonts w:cs="Times New Roman"/>
          <w:b w:val="0"/>
          <w:bCs/>
          <w:szCs w:val="24"/>
        </w:rPr>
      </w:pPr>
      <w:bookmarkStart w:id="433" w:name="_Toc216101616"/>
      <w:r w:rsidRPr="00D93D74">
        <w:t xml:space="preserve">Figure </w:t>
      </w:r>
      <w:r w:rsidRPr="00D93D74">
        <w:fldChar w:fldCharType="begin"/>
      </w:r>
      <w:r w:rsidRPr="00D93D74">
        <w:instrText xml:space="preserve"> SEQ Figure \* ARABIC </w:instrText>
      </w:r>
      <w:r w:rsidRPr="00D93D74">
        <w:fldChar w:fldCharType="separate"/>
      </w:r>
      <w:r w:rsidR="00610A40">
        <w:rPr>
          <w:noProof/>
        </w:rPr>
        <w:t>2</w:t>
      </w:r>
      <w:r w:rsidRPr="00D93D74">
        <w:fldChar w:fldCharType="end"/>
      </w:r>
      <w:r w:rsidRPr="00D93D74">
        <w:t>. Workflow for isolation of selected spore-forming bacteria from ethanol treated stool samples and subsequent whole-genome sequencing.</w:t>
      </w:r>
      <w:bookmarkEnd w:id="433"/>
      <w:r w:rsidR="00ED415C" w:rsidRPr="00D93D74">
        <w:t xml:space="preserve"> </w:t>
      </w:r>
      <w:r w:rsidR="00657A77" w:rsidRPr="004A18D8">
        <w:rPr>
          <w:b w:val="0"/>
          <w:bCs/>
        </w:rPr>
        <w:t>Created</w:t>
      </w:r>
      <w:r w:rsidR="00ED415C" w:rsidRPr="004A18D8">
        <w:rPr>
          <w:b w:val="0"/>
          <w:bCs/>
        </w:rPr>
        <w:t xml:space="preserve"> in BioRender.</w:t>
      </w:r>
    </w:p>
    <w:p w14:paraId="7BA51AD3" w14:textId="77777777" w:rsidR="00D95346" w:rsidRPr="00D93D74" w:rsidRDefault="00D95346" w:rsidP="00CD77AB">
      <w:pPr>
        <w:rPr>
          <w:rFonts w:cs="Times New Roman"/>
          <w:szCs w:val="24"/>
        </w:rPr>
      </w:pPr>
    </w:p>
    <w:p w14:paraId="67FF70D1" w14:textId="125C46C8" w:rsidR="00B114D7" w:rsidRPr="00D93D74" w:rsidRDefault="00C2031F">
      <w:pPr>
        <w:pStyle w:val="Naslov3"/>
        <w:numPr>
          <w:ilvl w:val="2"/>
          <w:numId w:val="3"/>
        </w:numPr>
      </w:pPr>
      <w:bookmarkStart w:id="434" w:name="_Toc212712210"/>
      <w:bookmarkStart w:id="435" w:name="_Toc216099737"/>
      <w:bookmarkStart w:id="436" w:name="_Toc220932859"/>
      <w:bookmarkStart w:id="437" w:name="_Toc228252035"/>
      <w:r w:rsidRPr="00D93D74">
        <w:t>Analysis of w</w:t>
      </w:r>
      <w:r w:rsidR="00D95346" w:rsidRPr="00D93D74">
        <w:t>hole</w:t>
      </w:r>
      <w:r w:rsidRPr="00D93D74">
        <w:t>-</w:t>
      </w:r>
      <w:r w:rsidR="00D95346" w:rsidRPr="00D93D74">
        <w:t xml:space="preserve">genome </w:t>
      </w:r>
      <w:bookmarkEnd w:id="434"/>
      <w:bookmarkEnd w:id="435"/>
      <w:bookmarkEnd w:id="436"/>
      <w:r w:rsidR="004A18D8">
        <w:t>sequences</w:t>
      </w:r>
      <w:bookmarkEnd w:id="437"/>
    </w:p>
    <w:p w14:paraId="0653D1AB" w14:textId="5D50EA95" w:rsidR="00832312" w:rsidRPr="00D93D74" w:rsidRDefault="00832312">
      <w:pPr>
        <w:pStyle w:val="Naslov4"/>
        <w:numPr>
          <w:ilvl w:val="3"/>
          <w:numId w:val="3"/>
        </w:numPr>
      </w:pPr>
      <w:bookmarkStart w:id="438" w:name="_Toc216099738"/>
      <w:bookmarkStart w:id="439" w:name="_Toc220932860"/>
      <w:r w:rsidRPr="00D93D74">
        <w:t xml:space="preserve">Preprocessing </w:t>
      </w:r>
      <w:r w:rsidR="00025252" w:rsidRPr="00D93D74">
        <w:t>and</w:t>
      </w:r>
      <w:r w:rsidR="00C2031F" w:rsidRPr="00D93D74">
        <w:t xml:space="preserve"> assembly</w:t>
      </w:r>
      <w:r w:rsidR="00A81E78" w:rsidRPr="00D93D74">
        <w:t xml:space="preserve"> of short</w:t>
      </w:r>
      <w:r w:rsidR="00AE070D" w:rsidRPr="00D93D74">
        <w:t>-</w:t>
      </w:r>
      <w:r w:rsidR="00A81E78" w:rsidRPr="00D93D74">
        <w:t>read</w:t>
      </w:r>
      <w:r w:rsidR="00AE070D" w:rsidRPr="00D93D74">
        <w:t xml:space="preserve"> </w:t>
      </w:r>
      <w:r w:rsidR="00A81E78" w:rsidRPr="00D93D74">
        <w:t>s</w:t>
      </w:r>
      <w:r w:rsidR="00AE070D" w:rsidRPr="00D93D74">
        <w:t>equences</w:t>
      </w:r>
      <w:bookmarkEnd w:id="438"/>
      <w:bookmarkEnd w:id="439"/>
      <w:r w:rsidR="004A18D8">
        <w:t xml:space="preserve"> </w:t>
      </w:r>
    </w:p>
    <w:p w14:paraId="2818CDED" w14:textId="333468A4" w:rsidR="00B10359" w:rsidRPr="00D93D74" w:rsidRDefault="00242307" w:rsidP="00CD77AB">
      <w:pPr>
        <w:rPr>
          <w:rFonts w:cs="Times New Roman"/>
          <w:szCs w:val="24"/>
        </w:rPr>
      </w:pPr>
      <w:r w:rsidRPr="00D93D74">
        <w:rPr>
          <w:rFonts w:cs="Times New Roman"/>
          <w:szCs w:val="24"/>
        </w:rPr>
        <w:t>Sequencing was performed as described in chapter</w:t>
      </w:r>
      <w:r w:rsidR="00494014" w:rsidRPr="00D93D74">
        <w:rPr>
          <w:rFonts w:cs="Times New Roman"/>
          <w:szCs w:val="24"/>
        </w:rPr>
        <w:t xml:space="preserve"> 3.5.3</w:t>
      </w:r>
      <w:r w:rsidRPr="00D93D74">
        <w:rPr>
          <w:rFonts w:cs="Times New Roman"/>
          <w:szCs w:val="24"/>
        </w:rPr>
        <w:t xml:space="preserve">. </w:t>
      </w:r>
      <w:r w:rsidR="00DA53D7" w:rsidRPr="00D93D74">
        <w:rPr>
          <w:rFonts w:cs="Times New Roman"/>
          <w:szCs w:val="24"/>
        </w:rPr>
        <w:t>The q</w:t>
      </w:r>
      <w:r w:rsidR="007F18F0" w:rsidRPr="00D93D74">
        <w:rPr>
          <w:rFonts w:cs="Times New Roman"/>
          <w:szCs w:val="24"/>
        </w:rPr>
        <w:t xml:space="preserve">uality of Illumina short-read sequences </w:t>
      </w:r>
      <w:r w:rsidR="00DA53D7" w:rsidRPr="00D93D74">
        <w:rPr>
          <w:rFonts w:cs="Times New Roman"/>
          <w:szCs w:val="24"/>
        </w:rPr>
        <w:t>was</w:t>
      </w:r>
      <w:r w:rsidR="00EB228B" w:rsidRPr="00D93D74">
        <w:rPr>
          <w:rFonts w:cs="Times New Roman"/>
          <w:szCs w:val="24"/>
        </w:rPr>
        <w:t xml:space="preserve"> assessed </w:t>
      </w:r>
      <w:r w:rsidR="007F18F0" w:rsidRPr="00D93D74">
        <w:rPr>
          <w:rFonts w:cs="Times New Roman"/>
          <w:szCs w:val="24"/>
        </w:rPr>
        <w:t xml:space="preserve">with </w:t>
      </w:r>
      <w:r w:rsidR="00DA53D7" w:rsidRPr="00D93D74">
        <w:rPr>
          <w:rFonts w:cs="Times New Roman"/>
          <w:szCs w:val="24"/>
        </w:rPr>
        <w:t>FastQC</w:t>
      </w:r>
      <w:r w:rsidR="007A0B34" w:rsidRPr="00D93D74">
        <w:rPr>
          <w:rFonts w:cs="Times New Roman"/>
          <w:szCs w:val="24"/>
        </w:rPr>
        <w:t xml:space="preserve"> </w:t>
      </w:r>
      <w:r w:rsidR="007F18F0" w:rsidRPr="00D93D74">
        <w:rPr>
          <w:rFonts w:cs="Times New Roman"/>
          <w:szCs w:val="24"/>
        </w:rPr>
        <w:t>v0.12.1</w:t>
      </w:r>
      <w:r w:rsidR="00EB228B" w:rsidRPr="00D93D74">
        <w:rPr>
          <w:rFonts w:cs="Times New Roman"/>
          <w:color w:val="70AD47" w:themeColor="accent6"/>
          <w:szCs w:val="24"/>
        </w:rPr>
        <w:t xml:space="preserve"> </w:t>
      </w:r>
      <w:r w:rsidR="00EB228B" w:rsidRPr="00D93D74">
        <w:rPr>
          <w:rFonts w:cs="Times New Roman"/>
          <w:szCs w:val="24"/>
        </w:rPr>
        <w:t xml:space="preserve">and </w:t>
      </w:r>
      <w:r w:rsidR="00B114D7" w:rsidRPr="00D93D74">
        <w:rPr>
          <w:rFonts w:cs="Times New Roman"/>
          <w:szCs w:val="24"/>
        </w:rPr>
        <w:t xml:space="preserve">trimmed </w:t>
      </w:r>
      <w:r w:rsidR="00DA53D7" w:rsidRPr="00D93D74">
        <w:rPr>
          <w:rFonts w:cs="Times New Roman"/>
          <w:szCs w:val="24"/>
        </w:rPr>
        <w:t>using</w:t>
      </w:r>
      <w:r w:rsidR="00B114D7" w:rsidRPr="00D93D74">
        <w:rPr>
          <w:rFonts w:cs="Times New Roman"/>
          <w:szCs w:val="24"/>
        </w:rPr>
        <w:t xml:space="preserve"> Trimmomatic v0.39 using the following settings:</w:t>
      </w:r>
      <w:r w:rsidR="00C02586" w:rsidRPr="00D93D74">
        <w:rPr>
          <w:rFonts w:cs="Times New Roman"/>
          <w:szCs w:val="24"/>
        </w:rPr>
        <w:t xml:space="preserve"> </w:t>
      </w:r>
      <w:r w:rsidR="00B114D7" w:rsidRPr="00D93D74">
        <w:rPr>
          <w:rFonts w:cs="Times New Roman"/>
          <w:szCs w:val="24"/>
        </w:rPr>
        <w:t>ILLUMINACLIP:NEBPE-PE.fa:2:30:10, LEADING:10, TRAILING:10, SLIDINGWINDOW:4:20, MINLEN:40</w:t>
      </w:r>
      <w:r w:rsidR="007A0B34" w:rsidRPr="00D93D74">
        <w:rPr>
          <w:rFonts w:cs="Times New Roman"/>
          <w:szCs w:val="24"/>
        </w:rPr>
        <w:t xml:space="preserve"> </w:t>
      </w:r>
      <w:r w:rsidR="007A0B34" w:rsidRPr="00D93D74">
        <w:rPr>
          <w:rFonts w:cs="Times New Roman"/>
          <w:szCs w:val="24"/>
        </w:rPr>
        <w:fldChar w:fldCharType="begin"/>
      </w:r>
      <w:r w:rsidR="001C2A55">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2014)","noteIndex":0},"citationItems":[{"id":1876,"uris":["http://zotero.org/users/8873894/items/9J7NKW4U"],"itemData":{"id":1876,"type":"webpage","title":"Babraham Bioinformatics - FastQC A Quality Control tool for High Throughput Sequence Data","URL":"https://www.bioinformatics.babraham.ac.uk/projects/fastqc/","accessed":{"date-parts":[["2023",2,22]]}}},{"id":1102,"uris":["http://zotero.org/users/8873894/items/GDVEDME7"],"itemData":{"id":1102,"type":"article-journal","abstract":"Motivation: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w:t>
      </w:r>
      <w:r w:rsidR="007A0B34" w:rsidRPr="00D93D74">
        <w:rPr>
          <w:rFonts w:cs="Times New Roman"/>
          <w:i/>
          <w:iCs/>
          <w:szCs w:val="24"/>
        </w:rPr>
        <w:t>Babraham Bioinformatics - FastQC A Quality Control Tool for High Throughput Sequence Data</w:t>
      </w:r>
      <w:r w:rsidR="007A0B34" w:rsidRPr="00D93D74">
        <w:rPr>
          <w:rFonts w:cs="Times New Roman"/>
          <w:szCs w:val="24"/>
        </w:rPr>
        <w:t>, n.d.; Bolger et al., 2014)</w:t>
      </w:r>
      <w:r w:rsidR="007A0B34" w:rsidRPr="00D93D74">
        <w:rPr>
          <w:rFonts w:cs="Times New Roman"/>
          <w:szCs w:val="24"/>
        </w:rPr>
        <w:fldChar w:fldCharType="end"/>
      </w:r>
      <w:r w:rsidR="00B114D7" w:rsidRPr="00D93D74">
        <w:rPr>
          <w:rFonts w:cs="Times New Roman"/>
          <w:szCs w:val="24"/>
        </w:rPr>
        <w:t>. The trimmed reads were assembled de novo into contigs using SPAdes v3.13.0 with the -</w:t>
      </w:r>
      <w:r w:rsidR="00571F06" w:rsidRPr="00D93D74">
        <w:rPr>
          <w:rFonts w:cs="Times New Roman"/>
          <w:szCs w:val="24"/>
        </w:rPr>
        <w:t>-</w:t>
      </w:r>
      <w:r w:rsidR="00B114D7" w:rsidRPr="00D93D74">
        <w:rPr>
          <w:rFonts w:cs="Times New Roman"/>
          <w:szCs w:val="24"/>
        </w:rPr>
        <w:t>careful option, retaining all other settings at their default values</w:t>
      </w:r>
      <w:r w:rsidR="007A0B34" w:rsidRPr="00D93D74">
        <w:rPr>
          <w:rFonts w:cs="Times New Roman"/>
          <w:szCs w:val="24"/>
        </w:rPr>
        <w:t xml:space="preserve"> </w:t>
      </w:r>
      <w:r w:rsidR="007A0B34" w:rsidRPr="00D93D74">
        <w:rPr>
          <w:rFonts w:cs="Times New Roman"/>
          <w:szCs w:val="24"/>
        </w:rPr>
        <w:fldChar w:fldCharType="begin"/>
      </w:r>
      <w:r w:rsidR="001C2A55">
        <w:rPr>
          <w:rFonts w:cs="Times New Roman"/>
          <w:szCs w:val="24"/>
        </w:rPr>
        <w:instrText xml:space="preserve"> ADDIN ZOTERO_ITEM CSL_CITATION {"citationID":"RyUQ2dfU","properties":{"formattedCitation":"(Prjibelski et al., 2020)","plainCitation":"(Prjibelski et al., 2020)","noteIndex":0},"citationItems":[{"id":1873,"uris":["http://zotero.org/users/8873894/items/EUDDPHE8"],"itemData":{"id":1873,"type":"article-journal","abstract":"SPAdes—St.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(Prjibelski et al., 2020)</w:t>
      </w:r>
      <w:r w:rsidR="007A0B34" w:rsidRPr="00D93D74">
        <w:rPr>
          <w:rFonts w:cs="Times New Roman"/>
          <w:szCs w:val="24"/>
        </w:rPr>
        <w:fldChar w:fldCharType="end"/>
      </w:r>
      <w:r w:rsidR="00B114D7" w:rsidRPr="00D93D74">
        <w:rPr>
          <w:rFonts w:cs="Times New Roman"/>
          <w:szCs w:val="24"/>
        </w:rPr>
        <w:t xml:space="preserve">. </w:t>
      </w:r>
      <w:r w:rsidR="00EB228B" w:rsidRPr="00D93D74">
        <w:rPr>
          <w:rFonts w:cs="Times New Roman"/>
          <w:szCs w:val="24"/>
        </w:rPr>
        <w:t xml:space="preserve">The assembly was assessed with QUAST </w:t>
      </w:r>
      <w:r w:rsidR="007A0B34" w:rsidRPr="00D93D74">
        <w:rPr>
          <w:rFonts w:cs="Times New Roman"/>
          <w:szCs w:val="24"/>
        </w:rPr>
        <w:fldChar w:fldCharType="begin"/>
      </w:r>
      <w:r w:rsidR="001C2A55">
        <w:rPr>
          <w:rFonts w:cs="Times New Roman"/>
          <w:szCs w:val="24"/>
        </w:rPr>
        <w:instrText xml:space="preserve"> ADDIN ZOTERO_ITEM CSL_CITATION {"citationID":"VYUDH72W","properties":{"formattedCitation":"(Gurevich et al., 2013)","plainCitation":"(Gurevich et al., 2013)","noteIndex":0},"citationItems":[{"id":1874,"uris":["http://zotero.org/users/8873894/items/R4DELIAW"],"itemData":{"id":1874,"type":"article-journal","abstract":"Summary: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D93D74">
        <w:rPr>
          <w:rFonts w:cs="Times New Roman"/>
          <w:szCs w:val="24"/>
        </w:rPr>
        <w:fldChar w:fldCharType="separate"/>
      </w:r>
      <w:r w:rsidR="007A0B34" w:rsidRPr="00D93D74">
        <w:rPr>
          <w:rFonts w:cs="Times New Roman"/>
          <w:szCs w:val="24"/>
        </w:rPr>
        <w:t>(Gurevich et al., 2013)</w:t>
      </w:r>
      <w:r w:rsidR="007A0B34" w:rsidRPr="00D93D74">
        <w:rPr>
          <w:rFonts w:cs="Times New Roman"/>
          <w:szCs w:val="24"/>
        </w:rPr>
        <w:fldChar w:fldCharType="end"/>
      </w:r>
      <w:r w:rsidR="00EB228B" w:rsidRPr="00D93D74">
        <w:rPr>
          <w:rFonts w:cs="Times New Roman"/>
          <w:szCs w:val="24"/>
        </w:rPr>
        <w:t xml:space="preserve">. </w:t>
      </w:r>
    </w:p>
    <w:p w14:paraId="2576942C" w14:textId="0F0FD3C0" w:rsidR="00D91312" w:rsidRPr="00D93D74" w:rsidRDefault="00D91312" w:rsidP="00CD77AB">
      <w:pPr>
        <w:rPr>
          <w:rFonts w:cs="Times New Roman"/>
          <w:szCs w:val="24"/>
        </w:rPr>
      </w:pPr>
      <w:r w:rsidRPr="00D93D74">
        <w:rPr>
          <w:rFonts w:cs="Times New Roman"/>
          <w:szCs w:val="24"/>
        </w:rPr>
        <w:t>Trimmed short</w:t>
      </w:r>
      <w:r w:rsidR="00DA53D7" w:rsidRPr="00D93D74">
        <w:rPr>
          <w:rFonts w:cs="Times New Roman"/>
          <w:szCs w:val="24"/>
        </w:rPr>
        <w:t xml:space="preserve"> </w:t>
      </w:r>
      <w:r w:rsidRPr="00D93D74">
        <w:rPr>
          <w:rFonts w:cs="Times New Roman"/>
          <w:szCs w:val="24"/>
        </w:rPr>
        <w:t>reads were mapped to a reference genome from NCBI (NCBI R</w:t>
      </w:r>
      <w:r w:rsidR="00BD2E54" w:rsidRPr="00D93D74">
        <w:rPr>
          <w:rFonts w:cs="Times New Roman"/>
          <w:szCs w:val="24"/>
        </w:rPr>
        <w:t>e</w:t>
      </w:r>
      <w:r w:rsidRPr="00D93D74">
        <w:rPr>
          <w:rFonts w:cs="Times New Roman"/>
          <w:szCs w:val="24"/>
        </w:rPr>
        <w:t xml:space="preserve">fSeq assembly GCF_000577815.1) </w:t>
      </w:r>
      <w:r w:rsidR="00DA53D7" w:rsidRPr="00D93D74">
        <w:rPr>
          <w:rFonts w:cs="Times New Roman"/>
          <w:szCs w:val="24"/>
        </w:rPr>
        <w:t>using</w:t>
      </w:r>
      <w:r w:rsidRPr="00D93D74">
        <w:rPr>
          <w:rFonts w:cs="Times New Roman"/>
          <w:szCs w:val="24"/>
        </w:rPr>
        <w:t xml:space="preserve"> bowtie2 with </w:t>
      </w:r>
      <w:r w:rsidR="00DA53D7" w:rsidRPr="00D93D74">
        <w:rPr>
          <w:rFonts w:cs="Times New Roman"/>
          <w:szCs w:val="24"/>
        </w:rPr>
        <w:t>the --</w:t>
      </w:r>
      <w:r w:rsidRPr="00D93D74">
        <w:rPr>
          <w:rFonts w:cs="Times New Roman"/>
          <w:szCs w:val="24"/>
        </w:rPr>
        <w:t xml:space="preserve">sensitive </w:t>
      </w:r>
      <w:r w:rsidR="00DA53D7" w:rsidRPr="00D93D74">
        <w:rPr>
          <w:rFonts w:cs="Times New Roman"/>
          <w:szCs w:val="24"/>
        </w:rPr>
        <w:t xml:space="preserve">flag </w:t>
      </w:r>
      <w:r w:rsidRPr="00D93D74">
        <w:rPr>
          <w:rFonts w:cs="Times New Roman"/>
          <w:szCs w:val="24"/>
        </w:rPr>
        <w:fldChar w:fldCharType="begin"/>
      </w:r>
      <w:r w:rsidR="001C2A55">
        <w:rPr>
          <w:rFonts w:cs="Times New Roman"/>
          <w:szCs w:val="24"/>
        </w:rPr>
        <w:instrText xml:space="preserve"> ADDIN ZOTERO_ITEM CSL_CITATION {"citationID":"i3vzonrt","properties":{"formattedCitation":"(Langmead &amp; Salzberg, 2012)","plainCitation":"(Langmead &amp; Salzberg, 2012)","noteIndex":0},"citationItems":[{"id":3224,"uris":["http://zotero.org/users/8873894/items/4U5YNPWK"],"itemData":{"id":3224,"type":"article-journal","abstract":"As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D93D74">
        <w:rPr>
          <w:rFonts w:cs="Times New Roman"/>
          <w:szCs w:val="24"/>
        </w:rPr>
        <w:fldChar w:fldCharType="separate"/>
      </w:r>
      <w:r w:rsidRPr="00D93D74">
        <w:rPr>
          <w:rFonts w:cs="Times New Roman"/>
        </w:rPr>
        <w:t>(Langmead &amp; Salzberg, 2012)</w:t>
      </w:r>
      <w:r w:rsidRPr="00D93D74">
        <w:rPr>
          <w:rFonts w:cs="Times New Roman"/>
          <w:szCs w:val="24"/>
        </w:rPr>
        <w:fldChar w:fldCharType="end"/>
      </w:r>
      <w:r w:rsidRPr="00D93D74">
        <w:rPr>
          <w:rFonts w:cs="Times New Roman"/>
          <w:szCs w:val="24"/>
        </w:rPr>
        <w:t xml:space="preserve">. </w:t>
      </w:r>
      <w:r w:rsidR="00DA53D7" w:rsidRPr="00D93D74">
        <w:rPr>
          <w:rFonts w:cs="Times New Roman"/>
          <w:szCs w:val="24"/>
        </w:rPr>
        <w:t>Samtools was then used to sort and index the SAM files</w:t>
      </w:r>
      <w:r w:rsidRPr="00D93D74">
        <w:rPr>
          <w:rFonts w:cs="Times New Roman"/>
          <w:szCs w:val="24"/>
        </w:rPr>
        <w:t xml:space="preserve"> </w:t>
      </w:r>
      <w:r w:rsidRPr="00D93D74">
        <w:rPr>
          <w:rFonts w:cs="Times New Roman"/>
          <w:szCs w:val="24"/>
        </w:rPr>
        <w:fldChar w:fldCharType="begin"/>
      </w:r>
      <w:r w:rsidR="001C2A55">
        <w:rPr>
          <w:rFonts w:cs="Times New Roman"/>
          <w:szCs w:val="24"/>
        </w:rPr>
        <w:instrText xml:space="preserve"> ADDIN ZOTERO_ITEM CSL_CITATION {"citationID":"SvPHtdlI","properties":{"formattedCitation":"(H. Li et al., 2009)","plainCitation":"(H. Li et al., 2009)","noteIndex":0},"citationItems":[{"id":3223,"uris":["http://zotero.org/users/8873894/items/SCMHLNXZ"],"itemData":{"id":3223,"type":"article-journal","abstract":"Summary: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Pr="00D93D74">
        <w:rPr>
          <w:rFonts w:cs="Times New Roman"/>
          <w:szCs w:val="24"/>
        </w:rPr>
        <w:fldChar w:fldCharType="separate"/>
      </w:r>
      <w:r w:rsidR="00162CD1" w:rsidRPr="00D93D74">
        <w:rPr>
          <w:rFonts w:cs="Times New Roman"/>
        </w:rPr>
        <w:t>(H. Li et al., 2009)</w:t>
      </w:r>
      <w:r w:rsidRPr="00D93D74">
        <w:rPr>
          <w:rFonts w:cs="Times New Roman"/>
          <w:szCs w:val="24"/>
        </w:rPr>
        <w:fldChar w:fldCharType="end"/>
      </w:r>
      <w:r w:rsidR="00A81E78" w:rsidRPr="00D93D74">
        <w:rPr>
          <w:rFonts w:cs="Times New Roman"/>
          <w:szCs w:val="24"/>
        </w:rPr>
        <w:t xml:space="preserve">. Coverage was calculated using genomeCoverageBed within </w:t>
      </w:r>
      <w:r w:rsidR="006F7CD1" w:rsidRPr="00D93D74">
        <w:rPr>
          <w:rFonts w:cs="Times New Roman"/>
          <w:szCs w:val="24"/>
        </w:rPr>
        <w:t>BED</w:t>
      </w:r>
      <w:r w:rsidR="00A81E78" w:rsidRPr="00D93D74">
        <w:rPr>
          <w:rFonts w:cs="Times New Roman"/>
          <w:szCs w:val="24"/>
        </w:rPr>
        <w:t xml:space="preserve">tools for each individual genome and for </w:t>
      </w:r>
      <w:r w:rsidR="00BD2E54" w:rsidRPr="00D93D74">
        <w:rPr>
          <w:rFonts w:cs="Times New Roman"/>
          <w:szCs w:val="24"/>
        </w:rPr>
        <w:t xml:space="preserve">the </w:t>
      </w:r>
      <w:r w:rsidR="006F7CD1" w:rsidRPr="00D93D74">
        <w:rPr>
          <w:rFonts w:cs="Times New Roman"/>
          <w:szCs w:val="24"/>
        </w:rPr>
        <w:t xml:space="preserve">combined coverage of </w:t>
      </w:r>
      <w:r w:rsidR="00A81E78" w:rsidRPr="00D93D74">
        <w:rPr>
          <w:rFonts w:cs="Times New Roman"/>
          <w:szCs w:val="24"/>
        </w:rPr>
        <w:t xml:space="preserve">all genomes </w:t>
      </w:r>
      <w:r w:rsidR="00A81E78" w:rsidRPr="00D93D74">
        <w:rPr>
          <w:rFonts w:cs="Times New Roman"/>
          <w:szCs w:val="24"/>
        </w:rPr>
        <w:fldChar w:fldCharType="begin"/>
      </w:r>
      <w:r w:rsidR="001C2A55">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n.d.)","noteIndex":0},"citationItems":[{"id":3202,"uris":["http://zotero.org/users/8873894/items/J29S2INB"],"itemData":{"id":3202,"type":"webpage","title":"Quinlan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sidRPr="00D93D74">
        <w:rPr>
          <w:rFonts w:cs="Times New Roman"/>
          <w:szCs w:val="24"/>
        </w:rPr>
        <w:fldChar w:fldCharType="separate"/>
      </w:r>
      <w:r w:rsidR="00A81E78" w:rsidRPr="00D93D74">
        <w:rPr>
          <w:rFonts w:cs="Times New Roman"/>
        </w:rPr>
        <w:t>(</w:t>
      </w:r>
      <w:r w:rsidR="00A81E78" w:rsidRPr="00D93D74">
        <w:rPr>
          <w:rFonts w:cs="Times New Roman"/>
          <w:i/>
          <w:iCs/>
        </w:rPr>
        <w:t>Quinlan AR and Hall IM, 2010. BEDTools: A Flexible Suite of Utilities for Comparing Genomic Features. Bioinformatics. 26, 6, Pp. 841–842. - Google Search</w:t>
      </w:r>
      <w:r w:rsidR="00A81E78" w:rsidRPr="00D93D74">
        <w:rPr>
          <w:rFonts w:cs="Times New Roman"/>
        </w:rPr>
        <w:t>, n.d.)</w:t>
      </w:r>
      <w:r w:rsidR="00A81E78" w:rsidRPr="00D93D74">
        <w:rPr>
          <w:rFonts w:cs="Times New Roman"/>
          <w:szCs w:val="24"/>
        </w:rPr>
        <w:fldChar w:fldCharType="end"/>
      </w:r>
      <w:r w:rsidR="00A81E78" w:rsidRPr="00D93D74">
        <w:rPr>
          <w:rFonts w:cs="Times New Roman"/>
          <w:szCs w:val="24"/>
        </w:rPr>
        <w:t xml:space="preserve">. </w:t>
      </w:r>
    </w:p>
    <w:p w14:paraId="48071470" w14:textId="77777777" w:rsidR="00D91312" w:rsidRDefault="00D91312" w:rsidP="00CD77AB">
      <w:pPr>
        <w:rPr>
          <w:rFonts w:cs="Times New Roman"/>
          <w:szCs w:val="24"/>
        </w:rPr>
      </w:pPr>
    </w:p>
    <w:p w14:paraId="01F2F310" w14:textId="77777777" w:rsidR="004A18D8" w:rsidRPr="00D93D74" w:rsidRDefault="004A18D8">
      <w:pPr>
        <w:pStyle w:val="Naslov4"/>
        <w:numPr>
          <w:ilvl w:val="3"/>
          <w:numId w:val="3"/>
        </w:numPr>
      </w:pPr>
      <w:bookmarkStart w:id="440" w:name="_Toc216099741"/>
      <w:bookmarkStart w:id="441" w:name="_Toc220932863"/>
      <w:r w:rsidRPr="00D93D74">
        <w:lastRenderedPageBreak/>
        <w:t>Preprocessing of long-read sequences and hybrid assembly</w:t>
      </w:r>
      <w:bookmarkEnd w:id="440"/>
      <w:bookmarkEnd w:id="441"/>
    </w:p>
    <w:p w14:paraId="6063502D" w14:textId="1DC78C6D" w:rsidR="004A18D8" w:rsidRPr="00D93D74" w:rsidRDefault="004A18D8" w:rsidP="004A18D8">
      <w:pPr>
        <w:rPr>
          <w:rFonts w:cs="Times New Roman"/>
          <w:szCs w:val="24"/>
        </w:rPr>
      </w:pPr>
      <w:r w:rsidRPr="00D93D74">
        <w:t xml:space="preserve">Five isolates were additionally sequenced on an ONT MinION platform as described in chapter 3.5.4. </w:t>
      </w:r>
      <w:r w:rsidRPr="00D93D74">
        <w:rPr>
          <w:rFonts w:cs="Times New Roman"/>
          <w:szCs w:val="24"/>
        </w:rPr>
        <w:t xml:space="preserve">The quality of long-reads was assessed with NanoPlot v1.43.0 and NanoStat v1.6.0, and reads were filtered with NanoFilt v2.8.0 using a minimum Q-score of 10 and a minimum read length of 3000 bases </w:t>
      </w:r>
      <w:r w:rsidRPr="00D93D74">
        <w:rPr>
          <w:rFonts w:cs="Times New Roman"/>
          <w:szCs w:val="24"/>
        </w:rPr>
        <w:fldChar w:fldCharType="begin"/>
      </w:r>
      <w:r w:rsidR="001C2A55">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2023)","noteIndex":0},"citationItems":[{"id":3206,"uris":["http://zotero.org/users/8873894/items/WDWGGYEG"],"itemData":{"id":3206,"type":"article-journal","abstract":"Here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Broeckhoven","given":"Christine"}],"issued":{"date-parts":[["2018",8,1]]}}},{"id":3204,"uris":["http://zotero.org/users/8873894/items/VVJ2S84R"],"itemData":{"id":3204,"type":"article-journal","abstract":"Increases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Pr="00D93D74">
        <w:rPr>
          <w:rFonts w:cs="Times New Roman"/>
          <w:szCs w:val="24"/>
        </w:rPr>
        <w:fldChar w:fldCharType="separate"/>
      </w:r>
      <w:r w:rsidRPr="00D93D74">
        <w:rPr>
          <w:rFonts w:cs="Times New Roman"/>
        </w:rPr>
        <w:t>(De Coster et al., 2018; De Coster &amp; Rademakers, 2023)</w:t>
      </w:r>
      <w:r w:rsidRPr="00D93D74">
        <w:rPr>
          <w:rFonts w:cs="Times New Roman"/>
          <w:szCs w:val="24"/>
        </w:rPr>
        <w:fldChar w:fldCharType="end"/>
      </w:r>
      <w:r w:rsidRPr="00D93D74">
        <w:rPr>
          <w:rFonts w:cs="Times New Roman"/>
          <w:szCs w:val="24"/>
        </w:rPr>
        <w:t>. Hybrid assemblies were constructed with flye v2.9.6 using trimmed short-read sequences and filtered long-read sequences with default settings</w:t>
      </w:r>
      <w:r w:rsidR="0089030D">
        <w:rPr>
          <w:rFonts w:cs="Times New Roman"/>
          <w:szCs w:val="24"/>
        </w:rPr>
        <w:t xml:space="preserve"> </w:t>
      </w:r>
      <w:r w:rsidRPr="00D93D74">
        <w:rPr>
          <w:rFonts w:cs="Times New Roman"/>
          <w:szCs w:val="24"/>
        </w:rPr>
        <w:fldChar w:fldCharType="begin"/>
      </w:r>
      <w:r w:rsidR="001C2A55">
        <w:rPr>
          <w:rFonts w:cs="Times New Roman"/>
          <w:szCs w:val="24"/>
        </w:rPr>
        <w:instrText xml:space="preserve"> ADDIN ZOTERO_ITEM CSL_CITATION {"citationID":"Iyk955Hu","properties":{"formattedCitation":"(Kolmogorov et al., 2019)","plainCitation":"(Kolmogorov et al., 2019)","noteIndex":0},"citationItems":[{"id":3483,"uris":["http://zotero.org/users/8873894/items/47BJZDP3"],"itemData":{"id":3483,"type":"article-journal","abstract":"Accurate genome assembly is hampered by repetitive regions. Although long single molecule sequencing reads are better able to resolve genomic repeats than short-read data, most long-read assembly algorithms do not provide the repeat characterization necessary for producing optimal assemblies. Here, we present Flye, a long-read assembly algorithm that generates arbitrary paths in an unknown repeat graph, called disjointigs, and constructs an accurate repeat graph from these error-riddled disjointigs. We benchmark Flye against five state-of-the-art assemblers and show that it generates better or comparable assemblies, while being an order of magnitude faster. Flye nearly doubled the contiguity of the human genome assembly (as measured by the NGA50 assembly quality metric) compared with existing assemblers.","container-title":"Nature Biotechnology","DOI":"10.1038/s41587-019-0072-8","ISSN":"1546-1696","issue":"5","journalAbbreviation":"Nat Biotechnol","language":"en","license":"2019 The Author(s), under exclusive licence to Springer Nature America, Inc.","page":"540-546","publisher":"Nature Publishing Group","source":"www.nature.com","title":"Assembly of long, error-prone reads using repeat graphs","volume":"37","author":[{"family":"Kolmogorov","given":"Mikhail"},{"family":"Yuan","given":"Jeffrey"},{"family":"Lin","given":"Yu"},{"family":"Pevzner","given":"Pavel A."}],"issued":{"date-parts":[["2019",5]]}}}],"schema":"https://github.com/citation-style-language/schema/raw/master/csl-citation.json"} </w:instrText>
      </w:r>
      <w:r w:rsidRPr="00D93D74">
        <w:rPr>
          <w:rFonts w:cs="Times New Roman"/>
          <w:szCs w:val="24"/>
        </w:rPr>
        <w:fldChar w:fldCharType="separate"/>
      </w:r>
      <w:r w:rsidRPr="00D93D74">
        <w:rPr>
          <w:rFonts w:cs="Times New Roman"/>
        </w:rPr>
        <w:t>(Kolmogorov et al., 2019)</w:t>
      </w:r>
      <w:r w:rsidRPr="00D93D74">
        <w:rPr>
          <w:rFonts w:cs="Times New Roman"/>
          <w:szCs w:val="24"/>
        </w:rPr>
        <w:fldChar w:fldCharType="end"/>
      </w:r>
      <w:r w:rsidRPr="00D93D74">
        <w:rPr>
          <w:rFonts w:cs="Times New Roman"/>
          <w:szCs w:val="24"/>
        </w:rPr>
        <w:t xml:space="preserve">. </w:t>
      </w:r>
    </w:p>
    <w:p w14:paraId="74839A07" w14:textId="77777777" w:rsidR="004A18D8" w:rsidRPr="00D93D74" w:rsidRDefault="004A18D8" w:rsidP="00CD77AB">
      <w:pPr>
        <w:rPr>
          <w:rFonts w:cs="Times New Roman"/>
          <w:szCs w:val="24"/>
        </w:rPr>
      </w:pPr>
    </w:p>
    <w:p w14:paraId="148F864F" w14:textId="6BAE73FF" w:rsidR="00A81E78" w:rsidRPr="00D93D74" w:rsidRDefault="00A81E78">
      <w:pPr>
        <w:pStyle w:val="Naslov4"/>
        <w:numPr>
          <w:ilvl w:val="3"/>
          <w:numId w:val="3"/>
        </w:numPr>
      </w:pPr>
      <w:bookmarkStart w:id="442" w:name="_Toc216099739"/>
      <w:bookmarkStart w:id="443" w:name="_Toc220932861"/>
      <w:r w:rsidRPr="00D93D74">
        <w:t>Average nucleotide identity (ANI)</w:t>
      </w:r>
      <w:bookmarkEnd w:id="442"/>
      <w:bookmarkEnd w:id="443"/>
      <w:r w:rsidRPr="00D93D74">
        <w:t xml:space="preserve"> </w:t>
      </w:r>
    </w:p>
    <w:p w14:paraId="4E567595" w14:textId="58A7122D" w:rsidR="006F7CD1" w:rsidRPr="00D93D74" w:rsidRDefault="00A81E78" w:rsidP="004F43A6">
      <w:pPr>
        <w:rPr>
          <w:rFonts w:cs="Times New Roman"/>
          <w:szCs w:val="24"/>
        </w:rPr>
      </w:pPr>
      <w:r w:rsidRPr="00D93D74">
        <w:rPr>
          <w:rFonts w:cs="Times New Roman"/>
          <w:szCs w:val="24"/>
        </w:rPr>
        <w:t>pyANI</w:t>
      </w:r>
      <w:r w:rsidR="005B0BE4" w:rsidRPr="00D93D74">
        <w:rPr>
          <w:rFonts w:cs="Times New Roman"/>
          <w:szCs w:val="24"/>
        </w:rPr>
        <w:t>-plus was used</w:t>
      </w:r>
      <w:r w:rsidRPr="00D93D74">
        <w:rPr>
          <w:rFonts w:cs="Times New Roman"/>
          <w:szCs w:val="24"/>
        </w:rPr>
        <w:t xml:space="preserve"> to calculate pairwise AN</w:t>
      </w:r>
      <w:ins w:id="444" w:author="Urša Miklavčič" w:date="2026-04-28T20:05:00Z" w16du:dateUtc="2026-04-28T18:05:00Z">
        <w:r w:rsidR="00A77BF6">
          <w:rPr>
            <w:rFonts w:cs="Times New Roman"/>
            <w:szCs w:val="24"/>
          </w:rPr>
          <w:t>I blast s</w:t>
        </w:r>
      </w:ins>
      <w:del w:id="445" w:author="Urša Miklavčič" w:date="2026-04-28T20:05:00Z" w16du:dateUtc="2026-04-28T18:05:00Z">
        <w:r w:rsidRPr="00D93D74" w:rsidDel="00A77BF6">
          <w:rPr>
            <w:rFonts w:cs="Times New Roman"/>
            <w:szCs w:val="24"/>
          </w:rPr>
          <w:delText>I</w:delText>
        </w:r>
        <w:r w:rsidR="00CF2F1F" w:rsidRPr="00D93D74" w:rsidDel="00A77BF6">
          <w:rPr>
            <w:rFonts w:cs="Times New Roman"/>
            <w:szCs w:val="24"/>
          </w:rPr>
          <w:delText>b, ANIm</w:delText>
        </w:r>
        <w:r w:rsidR="00BD2E54" w:rsidRPr="00D93D74" w:rsidDel="00A77BF6">
          <w:rPr>
            <w:rFonts w:cs="Times New Roman"/>
            <w:szCs w:val="24"/>
          </w:rPr>
          <w:delText>,</w:delText>
        </w:r>
        <w:r w:rsidR="00CF2F1F" w:rsidRPr="00D93D74" w:rsidDel="00A77BF6">
          <w:rPr>
            <w:rFonts w:cs="Times New Roman"/>
            <w:szCs w:val="24"/>
          </w:rPr>
          <w:delText xml:space="preserve"> and sourmash</w:delText>
        </w:r>
        <w:r w:rsidRPr="00D93D74" w:rsidDel="00A77BF6">
          <w:rPr>
            <w:rFonts w:cs="Times New Roman"/>
            <w:szCs w:val="24"/>
          </w:rPr>
          <w:delText xml:space="preserve"> </w:delText>
        </w:r>
        <w:r w:rsidR="005B0BE4" w:rsidRPr="00D93D74" w:rsidDel="00A77BF6">
          <w:rPr>
            <w:rFonts w:cs="Times New Roman"/>
            <w:szCs w:val="24"/>
          </w:rPr>
          <w:delText>s</w:delText>
        </w:r>
      </w:del>
      <w:r w:rsidR="005B0BE4" w:rsidRPr="00D93D74">
        <w:rPr>
          <w:rFonts w:cs="Times New Roman"/>
          <w:szCs w:val="24"/>
        </w:rPr>
        <w:t xml:space="preserve">cores </w:t>
      </w:r>
      <w:r w:rsidR="00CF2F1F" w:rsidRPr="00D93D74">
        <w:rPr>
          <w:rFonts w:cs="Times New Roman"/>
          <w:szCs w:val="24"/>
        </w:rPr>
        <w:t xml:space="preserve">with default </w:t>
      </w:r>
      <w:r w:rsidR="005B0BE4" w:rsidRPr="00D93D74">
        <w:rPr>
          <w:rFonts w:cs="Times New Roman"/>
          <w:szCs w:val="24"/>
        </w:rPr>
        <w:t>parameters</w:t>
      </w:r>
      <w:r w:rsidR="00CF2F1F" w:rsidRPr="00D93D74">
        <w:rPr>
          <w:rFonts w:cs="Times New Roman"/>
          <w:szCs w:val="24"/>
        </w:rPr>
        <w:t xml:space="preserve"> </w:t>
      </w:r>
      <w:r w:rsidRPr="00D93D74">
        <w:rPr>
          <w:rFonts w:cs="Times New Roman"/>
          <w:szCs w:val="24"/>
        </w:rPr>
        <w:t xml:space="preserve">between </w:t>
      </w:r>
      <w:r w:rsidR="006F7CD1" w:rsidRPr="00D93D74">
        <w:rPr>
          <w:rFonts w:cs="Times New Roman"/>
          <w:szCs w:val="24"/>
        </w:rPr>
        <w:t xml:space="preserve">the </w:t>
      </w:r>
      <w:r w:rsidRPr="00D93D74">
        <w:rPr>
          <w:rFonts w:cs="Times New Roman"/>
          <w:szCs w:val="24"/>
        </w:rPr>
        <w:t>core genome</w:t>
      </w:r>
      <w:r w:rsidR="004F43A6" w:rsidRPr="00D93D74">
        <w:rPr>
          <w:rFonts w:cs="Times New Roman"/>
          <w:szCs w:val="24"/>
        </w:rPr>
        <w:t>s</w:t>
      </w:r>
      <w:r w:rsidRPr="00D93D74">
        <w:rPr>
          <w:rFonts w:cs="Times New Roman"/>
          <w:szCs w:val="24"/>
        </w:rPr>
        <w:t xml:space="preserve"> of all sequenced isolates</w:t>
      </w:r>
      <w:r w:rsidR="005B0BE4" w:rsidRPr="00D93D74">
        <w:rPr>
          <w:rFonts w:cs="Times New Roman"/>
          <w:szCs w:val="24"/>
        </w:rPr>
        <w:t>. Core genomes is here</w:t>
      </w:r>
      <w:r w:rsidRPr="00D93D74">
        <w:rPr>
          <w:rFonts w:cs="Times New Roman"/>
          <w:szCs w:val="24"/>
        </w:rPr>
        <w:t xml:space="preserve"> defined as </w:t>
      </w:r>
      <w:r w:rsidR="00C81F8E" w:rsidRPr="00D93D74">
        <w:rPr>
          <w:rFonts w:cs="Times New Roman"/>
          <w:szCs w:val="24"/>
        </w:rPr>
        <w:t xml:space="preserve">genes </w:t>
      </w:r>
      <w:r w:rsidRPr="00D93D74">
        <w:rPr>
          <w:rFonts w:cs="Times New Roman"/>
          <w:szCs w:val="24"/>
        </w:rPr>
        <w:t>present in all genomes</w:t>
      </w:r>
      <w:r w:rsidR="00C81F8E" w:rsidRPr="00D93D74">
        <w:rPr>
          <w:rFonts w:cs="Times New Roman"/>
          <w:szCs w:val="24"/>
        </w:rPr>
        <w:t xml:space="preserve"> analysed </w:t>
      </w:r>
      <w:r w:rsidR="00C81F8E" w:rsidRPr="00D93D74">
        <w:rPr>
          <w:rFonts w:cs="Times New Roman"/>
          <w:szCs w:val="24"/>
        </w:rPr>
        <w:fldChar w:fldCharType="begin"/>
      </w:r>
      <w:r w:rsidR="001C2A55">
        <w:rPr>
          <w:rFonts w:cs="Times New Roman"/>
          <w:szCs w:val="24"/>
        </w:rPr>
        <w:instrText xml:space="preserve"> ADDIN ZOTERO_ITEM CSL_CITATION {"citationID":"oZClCnSV","properties":{"formattedCitation":"(Pritchard et al., 2015)","plainCitation":"(Pritchard et al., 2015)","noteIndex":0},"citationItems":[{"id":3142,"uris":["http://zotero.org/users/8873894/items/GZ4CUSKQ"],"itemData":{"id":3142,"type":"article-journal","abstract":"Soft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Methods","language":"en","page":"12-24","publisher":"The Royal Society of Chemistry","source":"pubs.rsc.org","title":"Genomics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sidRPr="00D93D74">
        <w:rPr>
          <w:rFonts w:cs="Times New Roman"/>
          <w:szCs w:val="24"/>
        </w:rPr>
        <w:fldChar w:fldCharType="separate"/>
      </w:r>
      <w:r w:rsidR="00CF2F1F" w:rsidRPr="00D93D74">
        <w:rPr>
          <w:rFonts w:cs="Times New Roman"/>
        </w:rPr>
        <w:t>(Pritchard et al., 2015)</w:t>
      </w:r>
      <w:r w:rsidR="00C81F8E" w:rsidRPr="00D93D74">
        <w:rPr>
          <w:rFonts w:cs="Times New Roman"/>
          <w:szCs w:val="24"/>
        </w:rPr>
        <w:fldChar w:fldCharType="end"/>
      </w:r>
      <w:r w:rsidRPr="00D93D74">
        <w:rPr>
          <w:rFonts w:cs="Times New Roman"/>
          <w:szCs w:val="24"/>
        </w:rPr>
        <w:t>.</w:t>
      </w:r>
      <w:r w:rsidR="00C81F8E" w:rsidRPr="00D93D74">
        <w:rPr>
          <w:rFonts w:cs="Times New Roman"/>
          <w:szCs w:val="24"/>
        </w:rPr>
        <w:t xml:space="preserve"> </w:t>
      </w:r>
      <w:r w:rsidR="004A18D8" w:rsidRPr="004A18D8">
        <w:rPr>
          <w:rFonts w:cs="Times New Roman"/>
          <w:szCs w:val="24"/>
        </w:rPr>
        <w:t xml:space="preserve">To delineate strain boundaries, a strain break was determined by plotting ANI pairwise scores on a histogram in R. The strain break was then applied to filter the results, retaining only genome pairs that exceeded the defined identity cutoff. An undirected graph was constructed from the filtered genome pairs using the `igraph` R package </w:t>
      </w:r>
      <w:r w:rsidR="004A18D8">
        <w:rPr>
          <w:rFonts w:cs="Times New Roman"/>
          <w:szCs w:val="24"/>
        </w:rPr>
        <w:fldChar w:fldCharType="begin"/>
      </w:r>
      <w:r w:rsidR="001C2A55">
        <w:rPr>
          <w:rFonts w:cs="Times New Roman"/>
          <w:szCs w:val="24"/>
        </w:rPr>
        <w:instrText xml:space="preserve"> ADDIN ZOTERO_ITEM CSL_CITATION {"citationID":"BKo7G3G0","properties":{"formattedCitation":"(Antonov et al., 2023)","plainCitation":"(Antonov et al., 2023)","noteIndex":0},"citationItems":[{"id":3189,"uris":["http://zotero.org/users/8873894/items/T97HQGRA"],"itemData":{"id":3189,"type":"article","abstract":"Networks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Foucault"},{"family":"Zanini","given":"Fabio"}],"accessed":{"date-parts":[["2025",11,26]]},"issued":{"date-parts":[["2023",11,17]]}}}],"schema":"https://github.com/citation-style-language/schema/raw/master/csl-citation.json"} </w:instrText>
      </w:r>
      <w:r w:rsidR="004A18D8">
        <w:rPr>
          <w:rFonts w:cs="Times New Roman"/>
          <w:szCs w:val="24"/>
        </w:rPr>
        <w:fldChar w:fldCharType="separate"/>
      </w:r>
      <w:r w:rsidR="004A18D8" w:rsidRPr="004A18D8">
        <w:rPr>
          <w:rFonts w:cs="Times New Roman"/>
        </w:rPr>
        <w:t>(Antonov et al., 2023)</w:t>
      </w:r>
      <w:r w:rsidR="004A18D8">
        <w:rPr>
          <w:rFonts w:cs="Times New Roman"/>
          <w:szCs w:val="24"/>
        </w:rPr>
        <w:fldChar w:fldCharType="end"/>
      </w:r>
      <w:r w:rsidR="004A18D8" w:rsidRPr="004A18D8">
        <w:rPr>
          <w:rFonts w:cs="Times New Roman"/>
          <w:szCs w:val="24"/>
        </w:rPr>
        <w:t xml:space="preserve">. Each genome was represented as a node and each qualifying pairwise relationship as an edge. Connected components within the graph were identified, corresponding to discrete strain groups. Each genome was assigned to a strain group based on its graph membership. Alternatively, we also used pyANI-plus ‘classify’ </w:t>
      </w:r>
      <w:r w:rsidR="004A18D8">
        <w:rPr>
          <w:rFonts w:cs="Times New Roman"/>
          <w:szCs w:val="24"/>
        </w:rPr>
        <w:t xml:space="preserve">with strain break at 99.72% to confirm the network determination of strain groups. </w:t>
      </w:r>
    </w:p>
    <w:p w14:paraId="6DB45106" w14:textId="77777777" w:rsidR="00A81E78" w:rsidRPr="00D93D74" w:rsidRDefault="00A81E78" w:rsidP="00CD77AB">
      <w:pPr>
        <w:rPr>
          <w:rFonts w:cs="Times New Roman"/>
          <w:szCs w:val="24"/>
        </w:rPr>
      </w:pPr>
    </w:p>
    <w:p w14:paraId="2166A552" w14:textId="073A2B8D" w:rsidR="00AE070D" w:rsidRPr="00D93D74" w:rsidRDefault="00A77BF6">
      <w:pPr>
        <w:pStyle w:val="Naslov4"/>
        <w:numPr>
          <w:ilvl w:val="3"/>
          <w:numId w:val="3"/>
        </w:numPr>
      </w:pPr>
      <w:bookmarkStart w:id="446" w:name="_Toc216099740"/>
      <w:bookmarkStart w:id="447" w:name="_Toc220932862"/>
      <w:ins w:id="448" w:author="Urša Miklavčič" w:date="2026-04-28T20:05:00Z" w16du:dateUtc="2026-04-28T18:05:00Z">
        <w:r>
          <w:t>Single-nucleotide polymorphism (</w:t>
        </w:r>
      </w:ins>
      <w:r w:rsidR="00AE070D" w:rsidRPr="00D93D74">
        <w:t>SNP</w:t>
      </w:r>
      <w:ins w:id="449" w:author="Urša Miklavčič" w:date="2026-04-28T20:06:00Z" w16du:dateUtc="2026-04-28T18:06:00Z">
        <w:r>
          <w:t>)</w:t>
        </w:r>
      </w:ins>
      <w:r w:rsidR="00AE070D" w:rsidRPr="00D93D74">
        <w:t xml:space="preserve"> analysis</w:t>
      </w:r>
      <w:bookmarkEnd w:id="446"/>
      <w:bookmarkEnd w:id="447"/>
      <w:r w:rsidR="00AE070D" w:rsidRPr="00D93D74">
        <w:t xml:space="preserve"> </w:t>
      </w:r>
    </w:p>
    <w:p w14:paraId="0DA229A6" w14:textId="676D49E7" w:rsidR="00AE070D" w:rsidRDefault="00AE070D" w:rsidP="004A18D8">
      <w:pPr>
        <w:rPr>
          <w:rFonts w:cs="Times New Roman"/>
          <w:szCs w:val="24"/>
        </w:rPr>
      </w:pPr>
      <w:r w:rsidRPr="00D93D74">
        <w:t xml:space="preserve">SNPs </w:t>
      </w:r>
      <w:r w:rsidR="004A18D8">
        <w:t xml:space="preserve">in core genome were determined </w:t>
      </w:r>
      <w:r w:rsidR="006F7CD1" w:rsidRPr="00D93D74">
        <w:t>using</w:t>
      </w:r>
      <w:r w:rsidRPr="00D93D74">
        <w:t xml:space="preserve"> Snippy v4.6.0 </w:t>
      </w:r>
      <w:r w:rsidRPr="00D93D74">
        <w:fldChar w:fldCharType="begin"/>
      </w:r>
      <w:r w:rsidR="001C2A55">
        <w:instrText xml:space="preserve"> ADDIN ZOTERO_ITEM CSL_CITATION {"citationID":"nQhnIrW9","properties":{"formattedCitation":"(Seemann, 2014/2022)","plainCitation":"(Seemann, 2014/2022)","noteIndex":0},"citationItems":[{"id":1614,"uris":["http://zotero.org/users/8873894/items/JPKEYHSQ"],"itemData":{"id":1614,"type":"software","abstract":":scissors: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Pr="00D93D74">
        <w:fldChar w:fldCharType="separate"/>
      </w:r>
      <w:r w:rsidRPr="00D93D74">
        <w:rPr>
          <w:rFonts w:cs="Times New Roman"/>
        </w:rPr>
        <w:t>(Seemann, 2014/2022)</w:t>
      </w:r>
      <w:r w:rsidRPr="00D93D74">
        <w:fldChar w:fldCharType="end"/>
      </w:r>
      <w:r w:rsidRPr="00D93D74">
        <w:t xml:space="preserve">. </w:t>
      </w:r>
      <w:del w:id="450" w:author="Urša Miklavčič" w:date="2026-04-28T20:06:00Z" w16du:dateUtc="2026-04-28T18:06:00Z">
        <w:r w:rsidR="00571F06" w:rsidRPr="00D93D74" w:rsidDel="00A77BF6">
          <w:delText>C</w:delText>
        </w:r>
        <w:r w:rsidRPr="00D93D74" w:rsidDel="00A77BF6">
          <w:delText xml:space="preserve">ore </w:delText>
        </w:r>
        <w:r w:rsidR="00571F06" w:rsidRPr="00D93D74" w:rsidDel="00A77BF6">
          <w:delText xml:space="preserve">genome is here defined </w:delText>
        </w:r>
        <w:r w:rsidRPr="00D93D74" w:rsidDel="00A77BF6">
          <w:delText>as all sites in a genome present in all genomes</w:delText>
        </w:r>
        <w:r w:rsidR="006F7CD1" w:rsidRPr="00D93D74" w:rsidDel="00A77BF6">
          <w:delText xml:space="preserve">. </w:delText>
        </w:r>
      </w:del>
      <w:r w:rsidR="004F43A6" w:rsidRPr="00D93D74">
        <w:t>W</w:t>
      </w:r>
      <w:r w:rsidRPr="00D93D74">
        <w:t xml:space="preserve">e used the </w:t>
      </w:r>
      <w:r w:rsidR="000D604A">
        <w:t xml:space="preserve">hybrid assembly of genome H009_98 </w:t>
      </w:r>
      <w:r w:rsidR="004F43A6" w:rsidRPr="00D93D74">
        <w:rPr>
          <w:rFonts w:cs="Times New Roman"/>
          <w:szCs w:val="24"/>
        </w:rPr>
        <w:t>as the reference genome</w:t>
      </w:r>
      <w:r w:rsidRPr="00D93D74">
        <w:rPr>
          <w:rFonts w:cs="Times New Roman"/>
          <w:szCs w:val="24"/>
        </w:rPr>
        <w:t>. G</w:t>
      </w:r>
      <w:r w:rsidR="004F43A6" w:rsidRPr="00D93D74">
        <w:rPr>
          <w:rFonts w:cs="Times New Roman"/>
          <w:szCs w:val="24"/>
        </w:rPr>
        <w:t>u</w:t>
      </w:r>
      <w:r w:rsidRPr="00D93D74">
        <w:rPr>
          <w:rFonts w:cs="Times New Roman"/>
          <w:szCs w:val="24"/>
        </w:rPr>
        <w:t xml:space="preserve">bbins v3.4.1 </w:t>
      </w:r>
      <w:r w:rsidR="000D604A">
        <w:rPr>
          <w:rFonts w:cs="Times New Roman"/>
          <w:szCs w:val="24"/>
        </w:rPr>
        <w:t xml:space="preserve">was used to remove recombinant loci </w:t>
      </w:r>
      <w:r w:rsidRPr="00D93D74">
        <w:rPr>
          <w:rFonts w:cs="Times New Roman"/>
          <w:szCs w:val="24"/>
        </w:rPr>
        <w:fldChar w:fldCharType="begin"/>
      </w:r>
      <w:r w:rsidR="001C2A55">
        <w:rPr>
          <w:rFonts w:cs="Times New Roman"/>
          <w:szCs w:val="24"/>
        </w:rPr>
        <w:instrText xml:space="preserve"> ADDIN ZOTERO_ITEM CSL_CITATION {"citationID":"8LIsPj4h","properties":{"formattedCitation":"(Croucher et al., 2015)","plainCitation":"(Croucher et al., 2015)","noteIndex":0},"citationItems":[{"id":3217,"uris":["http://zotero.org/users/8873894/items/82WCRMEW"],"itemData":{"id":3217,"type":"article-journal","abstract":"The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D93D74">
        <w:rPr>
          <w:rFonts w:cs="Times New Roman"/>
          <w:szCs w:val="24"/>
        </w:rPr>
        <w:fldChar w:fldCharType="separate"/>
      </w:r>
      <w:r w:rsidRPr="00D93D74">
        <w:rPr>
          <w:rFonts w:cs="Times New Roman"/>
          <w:szCs w:val="24"/>
        </w:rPr>
        <w:t>(Croucher et al., 2015)</w:t>
      </w:r>
      <w:r w:rsidRPr="00D93D74">
        <w:rPr>
          <w:rFonts w:cs="Times New Roman"/>
          <w:szCs w:val="24"/>
        </w:rPr>
        <w:fldChar w:fldCharType="end"/>
      </w:r>
      <w:r w:rsidRPr="00D93D74">
        <w:rPr>
          <w:rFonts w:cs="Times New Roman"/>
          <w:szCs w:val="24"/>
        </w:rPr>
        <w:t xml:space="preserve">. The filtered SNP matrix </w:t>
      </w:r>
      <w:r w:rsidR="004F43A6" w:rsidRPr="00D93D74">
        <w:rPr>
          <w:rFonts w:cs="Times New Roman"/>
          <w:szCs w:val="24"/>
        </w:rPr>
        <w:t>was used to construct</w:t>
      </w:r>
      <w:r w:rsidRPr="00D93D74">
        <w:rPr>
          <w:rFonts w:cs="Times New Roman"/>
          <w:szCs w:val="24"/>
        </w:rPr>
        <w:t xml:space="preserve"> a neighbour-joining tree</w:t>
      </w:r>
      <w:r w:rsidR="00CF2F1F" w:rsidRPr="00D93D74">
        <w:rPr>
          <w:rFonts w:cs="Times New Roman"/>
          <w:szCs w:val="24"/>
        </w:rPr>
        <w:t xml:space="preserve"> in Gubbins</w:t>
      </w:r>
      <w:r w:rsidRPr="00D93D74">
        <w:rPr>
          <w:rFonts w:cs="Times New Roman"/>
          <w:szCs w:val="24"/>
        </w:rPr>
        <w:t>,</w:t>
      </w:r>
      <w:r w:rsidR="00CF2F1F" w:rsidRPr="00D93D74">
        <w:rPr>
          <w:rFonts w:cs="Times New Roman"/>
          <w:szCs w:val="24"/>
        </w:rPr>
        <w:t xml:space="preserve"> </w:t>
      </w:r>
      <w:r w:rsidR="004F43A6" w:rsidRPr="00D93D74">
        <w:rPr>
          <w:rFonts w:cs="Times New Roman"/>
          <w:szCs w:val="24"/>
        </w:rPr>
        <w:t>which we</w:t>
      </w:r>
      <w:r w:rsidRPr="00D93D74">
        <w:rPr>
          <w:rFonts w:cs="Times New Roman"/>
          <w:szCs w:val="24"/>
        </w:rPr>
        <w:t xml:space="preserve"> visualised in MEGA v12 </w:t>
      </w:r>
      <w:r w:rsidRPr="00D93D74">
        <w:rPr>
          <w:rFonts w:cs="Times New Roman"/>
          <w:szCs w:val="24"/>
        </w:rPr>
        <w:fldChar w:fldCharType="begin"/>
      </w:r>
      <w:r w:rsidR="001C2A55">
        <w:rPr>
          <w:rFonts w:cs="Times New Roman"/>
          <w:szCs w:val="24"/>
        </w:rPr>
        <w:instrText xml:space="preserve"> ADDIN ZOTERO_ITEM CSL_CITATION {"citationID":"BpGBcQ54","properties":{"formattedCitation":"(Tamura et al., 2021)","plainCitation":"(Tamura et al., 2021)","noteIndex":0},"citationItems":[{"id":3216,"uris":["http://zotero.org/users/8873894/items/MGTEFQWH"],"itemData":{"id":3216,"type":"article-journal","abstract":"The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D93D74">
        <w:rPr>
          <w:rFonts w:cs="Times New Roman"/>
          <w:szCs w:val="24"/>
        </w:rPr>
        <w:fldChar w:fldCharType="separate"/>
      </w:r>
      <w:r w:rsidRPr="00D93D74">
        <w:rPr>
          <w:rFonts w:cs="Times New Roman"/>
          <w:szCs w:val="24"/>
        </w:rPr>
        <w:t>(Tamura et al., 2021)</w:t>
      </w:r>
      <w:r w:rsidRPr="00D93D74">
        <w:rPr>
          <w:rFonts w:cs="Times New Roman"/>
          <w:szCs w:val="24"/>
        </w:rPr>
        <w:fldChar w:fldCharType="end"/>
      </w:r>
      <w:r w:rsidRPr="00D93D74">
        <w:rPr>
          <w:rFonts w:cs="Times New Roman"/>
          <w:szCs w:val="24"/>
        </w:rPr>
        <w:t>.</w:t>
      </w:r>
      <w:r w:rsidR="00571F06" w:rsidRPr="00D93D74">
        <w:rPr>
          <w:rFonts w:cs="Times New Roman"/>
          <w:szCs w:val="24"/>
        </w:rPr>
        <w:t xml:space="preserve"> </w:t>
      </w:r>
    </w:p>
    <w:p w14:paraId="5BFD826F" w14:textId="77777777" w:rsidR="004A18D8" w:rsidRPr="004A18D8" w:rsidRDefault="004A18D8" w:rsidP="004A18D8">
      <w:pPr>
        <w:rPr>
          <w:rFonts w:cs="Times New Roman"/>
          <w:szCs w:val="24"/>
        </w:rPr>
      </w:pPr>
    </w:p>
    <w:p w14:paraId="14D7919D" w14:textId="2C13061F" w:rsidR="00895E4C" w:rsidRPr="00D93D74" w:rsidRDefault="00895E4C">
      <w:pPr>
        <w:pStyle w:val="Naslov4"/>
        <w:numPr>
          <w:ilvl w:val="3"/>
          <w:numId w:val="3"/>
        </w:numPr>
      </w:pPr>
      <w:bookmarkStart w:id="451" w:name="_Toc216099742"/>
      <w:bookmarkStart w:id="452" w:name="_Toc220932864"/>
      <w:r w:rsidRPr="00D93D74">
        <w:t>P</w:t>
      </w:r>
      <w:r w:rsidR="008941CE" w:rsidRPr="00D93D74">
        <w:t xml:space="preserve">angenome </w:t>
      </w:r>
      <w:r w:rsidR="00D95346" w:rsidRPr="00D93D74">
        <w:t>analysis</w:t>
      </w:r>
      <w:bookmarkEnd w:id="451"/>
      <w:bookmarkEnd w:id="452"/>
      <w:r w:rsidR="000D604A">
        <w:t xml:space="preserve"> </w:t>
      </w:r>
    </w:p>
    <w:p w14:paraId="4AE35FAE" w14:textId="5F7707E3" w:rsidR="00D95346" w:rsidRPr="00D93D74" w:rsidRDefault="00B049FB" w:rsidP="00CD77AB">
      <w:pPr>
        <w:rPr>
          <w:rFonts w:cs="Times New Roman"/>
          <w:szCs w:val="24"/>
        </w:rPr>
      </w:pPr>
      <w:r w:rsidRPr="00D93D74">
        <w:rPr>
          <w:rFonts w:cs="Times New Roman"/>
          <w:szCs w:val="24"/>
        </w:rPr>
        <w:t xml:space="preserve">All genome assemblies were annotated </w:t>
      </w:r>
      <w:r w:rsidR="00C9255A" w:rsidRPr="00D93D74">
        <w:rPr>
          <w:rFonts w:cs="Times New Roman"/>
          <w:szCs w:val="24"/>
        </w:rPr>
        <w:t xml:space="preserve">with </w:t>
      </w:r>
      <w:r w:rsidR="004F43A6" w:rsidRPr="00D93D74">
        <w:rPr>
          <w:rFonts w:cs="Times New Roman"/>
          <w:szCs w:val="24"/>
        </w:rPr>
        <w:t>P</w:t>
      </w:r>
      <w:r w:rsidR="00C9255A" w:rsidRPr="00D93D74">
        <w:rPr>
          <w:rFonts w:cs="Times New Roman"/>
          <w:szCs w:val="24"/>
        </w:rPr>
        <w:t>rokka v1.14.6</w:t>
      </w:r>
      <w:r w:rsidRPr="00D93D74">
        <w:rPr>
          <w:rFonts w:cs="Times New Roman"/>
          <w:szCs w:val="24"/>
        </w:rPr>
        <w:t xml:space="preserve"> prior to pangenome construction</w:t>
      </w:r>
      <w:r w:rsidR="00C9255A" w:rsidRPr="00D93D74">
        <w:rPr>
          <w:rFonts w:cs="Times New Roman"/>
          <w:szCs w:val="24"/>
        </w:rPr>
        <w:t xml:space="preserve"> </w:t>
      </w:r>
      <w:r w:rsidR="00C9255A" w:rsidRPr="00D93D74">
        <w:rPr>
          <w:rFonts w:cs="Times New Roman"/>
          <w:szCs w:val="24"/>
        </w:rPr>
        <w:fldChar w:fldCharType="begin"/>
      </w:r>
      <w:r w:rsidR="001C2A55">
        <w:rPr>
          <w:rFonts w:cs="Times New Roman"/>
          <w:szCs w:val="24"/>
        </w:rPr>
        <w:instrText xml:space="preserve"> ADDIN ZOTERO_ITEM CSL_CITATION {"citationID":"VCVY1BHg","properties":{"formattedCitation":"(Seemann, 2014)","plainCitation":"(Seemann, 2014)","noteIndex":0},"citationItems":[{"id":2184,"uris":["http://zotero.org/users/8873894/items/93T5ZAEQ"],"itemData":{"id":2184,"type":"article-journal","abstract":"Summary: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(Seemann, 2014)</w:t>
      </w:r>
      <w:r w:rsidR="00C9255A" w:rsidRPr="00D93D74">
        <w:rPr>
          <w:rFonts w:cs="Times New Roman"/>
          <w:szCs w:val="24"/>
        </w:rPr>
        <w:fldChar w:fldCharType="end"/>
      </w:r>
      <w:r w:rsidR="00C9255A" w:rsidRPr="00D93D74">
        <w:rPr>
          <w:rFonts w:cs="Times New Roman"/>
          <w:szCs w:val="24"/>
        </w:rPr>
        <w:t xml:space="preserve">. </w:t>
      </w:r>
      <w:r w:rsidRPr="00D93D74">
        <w:rPr>
          <w:rFonts w:cs="Times New Roman"/>
          <w:szCs w:val="24"/>
        </w:rPr>
        <w:t xml:space="preserve">The pangenome was inferred with </w:t>
      </w:r>
      <w:r w:rsidR="004F43A6" w:rsidRPr="00D93D74">
        <w:rPr>
          <w:rFonts w:cs="Times New Roman"/>
          <w:szCs w:val="24"/>
        </w:rPr>
        <w:t>R</w:t>
      </w:r>
      <w:r w:rsidR="00C9255A" w:rsidRPr="00D93D74">
        <w:rPr>
          <w:rFonts w:cs="Times New Roman"/>
          <w:szCs w:val="24"/>
        </w:rPr>
        <w:t xml:space="preserve">oary v3.11.2 and visualised with </w:t>
      </w:r>
      <w:r w:rsidR="004F43A6" w:rsidRPr="00D93D74">
        <w:rPr>
          <w:rFonts w:cs="Times New Roman"/>
          <w:szCs w:val="24"/>
        </w:rPr>
        <w:t>P</w:t>
      </w:r>
      <w:r w:rsidR="00C9255A" w:rsidRPr="00D93D74">
        <w:rPr>
          <w:rFonts w:cs="Times New Roman"/>
          <w:szCs w:val="24"/>
        </w:rPr>
        <w:t>handango</w:t>
      </w:r>
      <w:r w:rsidR="006B77C8" w:rsidRPr="00D93D74">
        <w:rPr>
          <w:rFonts w:cs="Times New Roman"/>
          <w:szCs w:val="24"/>
        </w:rPr>
        <w:t>,</w:t>
      </w:r>
      <w:r w:rsidR="00C9255A" w:rsidRPr="00D93D74">
        <w:rPr>
          <w:rFonts w:cs="Times New Roman"/>
          <w:szCs w:val="24"/>
        </w:rPr>
        <w:t xml:space="preserve"> </w:t>
      </w:r>
      <w:r w:rsidR="00606C72" w:rsidRPr="00D93D74">
        <w:rPr>
          <w:rFonts w:cs="Times New Roman"/>
          <w:szCs w:val="24"/>
        </w:rPr>
        <w:t>including</w:t>
      </w:r>
      <w:r w:rsidR="00C9255A" w:rsidRPr="00D93D74">
        <w:rPr>
          <w:rFonts w:cs="Times New Roman"/>
          <w:szCs w:val="24"/>
        </w:rPr>
        <w:t xml:space="preserve"> metadata on </w:t>
      </w:r>
      <w:r w:rsidR="006B77C8" w:rsidRPr="00D93D74">
        <w:rPr>
          <w:rFonts w:cs="Times New Roman"/>
          <w:szCs w:val="24"/>
        </w:rPr>
        <w:t xml:space="preserve">the </w:t>
      </w:r>
      <w:r w:rsidR="00C9255A" w:rsidRPr="00D93D74">
        <w:rPr>
          <w:rFonts w:cs="Times New Roman"/>
          <w:szCs w:val="24"/>
        </w:rPr>
        <w:t xml:space="preserve">sampling </w:t>
      </w:r>
      <w:r w:rsidR="00606C72" w:rsidRPr="00D93D74">
        <w:rPr>
          <w:rFonts w:cs="Times New Roman"/>
          <w:szCs w:val="24"/>
        </w:rPr>
        <w:t>day for each</w:t>
      </w:r>
      <w:r w:rsidR="00C9255A" w:rsidRPr="00D93D74">
        <w:rPr>
          <w:rFonts w:cs="Times New Roman"/>
          <w:szCs w:val="24"/>
        </w:rPr>
        <w:t xml:space="preserve"> stool sample</w:t>
      </w:r>
      <w:r w:rsidR="004343B2" w:rsidRPr="00D93D74">
        <w:rPr>
          <w:rFonts w:cs="Times New Roman"/>
          <w:szCs w:val="24"/>
        </w:rPr>
        <w:t xml:space="preserve"> </w:t>
      </w:r>
      <w:r w:rsidR="00C9255A" w:rsidRPr="00D93D74">
        <w:rPr>
          <w:rFonts w:cs="Times New Roman"/>
          <w:szCs w:val="24"/>
        </w:rPr>
        <w:fldChar w:fldCharType="begin"/>
      </w:r>
      <w:r w:rsidR="001C2A55">
        <w:rPr>
          <w:rFonts w:cs="Times New Roman"/>
          <w:szCs w:val="24"/>
        </w:rPr>
        <w:instrText xml:space="preserve"> ADDIN ZOTERO_ITEM CSL_CITATION {"citationID":"P4VHBIN1","properties":{"formattedCitation":"(Hadfield et al., 2018; Page et al., 2015)","plainCitation":"(Hadfield et al., 2018; Page et al., 2015)","noteIndex":0},"citationItems":[{"id":3201,"uris":["http://zotero.org/users/8873894/items/DMCDDYVD"],"itemData":{"id":3201,"type":"article-journal","abstract":"Fully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R"}],"issued":{"date-parts":[["2018",1,1]]}}},{"id":3219,"uris":["http://zotero.org/users/8873894/items/FDX9LF5R"],"itemData":{"id":3219,"type":"article-journal","abstract":"A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England)","DOI":"10.1093/bioinformatics/btv421","ISSN":"1367-4811","issue":"22","journalAbbreviation":"Bioinformatics","language":"eng","page":"3691-3693","PMID":"26198102","PMCID":"PMC4817141","source":"PubMed","title":"Roary: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sidR="00C9255A" w:rsidRPr="00D93D74">
        <w:rPr>
          <w:rFonts w:cs="Times New Roman"/>
          <w:szCs w:val="24"/>
        </w:rPr>
        <w:fldChar w:fldCharType="separate"/>
      </w:r>
      <w:r w:rsidR="00C9255A" w:rsidRPr="00D93D74">
        <w:rPr>
          <w:rFonts w:cs="Times New Roman"/>
        </w:rPr>
        <w:t>(Hadfield et al., 2018; Page et al., 2015)</w:t>
      </w:r>
      <w:r w:rsidR="00C9255A" w:rsidRPr="00D93D74">
        <w:rPr>
          <w:rFonts w:cs="Times New Roman"/>
          <w:szCs w:val="24"/>
        </w:rPr>
        <w:fldChar w:fldCharType="end"/>
      </w:r>
      <w:r w:rsidR="00C9255A" w:rsidRPr="00D93D74">
        <w:rPr>
          <w:rFonts w:cs="Times New Roman"/>
          <w:szCs w:val="24"/>
        </w:rPr>
        <w:t xml:space="preserve">. </w:t>
      </w:r>
      <w:r w:rsidR="00606C72" w:rsidRPr="00D93D74">
        <w:rPr>
          <w:rFonts w:cs="Times New Roman"/>
          <w:szCs w:val="24"/>
        </w:rPr>
        <w:t>In addition, reads from all genomes were mapped to the annotated H00</w:t>
      </w:r>
      <w:r w:rsidR="0089030D">
        <w:rPr>
          <w:rFonts w:cs="Times New Roman"/>
          <w:szCs w:val="24"/>
        </w:rPr>
        <w:t>5</w:t>
      </w:r>
      <w:r w:rsidR="00606C72" w:rsidRPr="00D93D74">
        <w:rPr>
          <w:rFonts w:cs="Times New Roman"/>
          <w:szCs w:val="24"/>
        </w:rPr>
        <w:t>_</w:t>
      </w:r>
      <w:r w:rsidR="0089030D">
        <w:rPr>
          <w:rFonts w:cs="Times New Roman"/>
          <w:szCs w:val="24"/>
        </w:rPr>
        <w:t>98</w:t>
      </w:r>
      <w:r w:rsidR="00606C72" w:rsidRPr="00D93D74">
        <w:rPr>
          <w:rFonts w:cs="Times New Roman"/>
          <w:szCs w:val="24"/>
        </w:rPr>
        <w:t xml:space="preserve"> hybrid assembly with breseq v0.39.0 to detect and annotate genetic differences</w:t>
      </w:r>
      <w:r w:rsidR="0089030D">
        <w:rPr>
          <w:rFonts w:cs="Times New Roman"/>
          <w:szCs w:val="24"/>
        </w:rPr>
        <w:t xml:space="preserve">, </w:t>
      </w:r>
      <w:r w:rsidR="0089030D" w:rsidRPr="0089030D">
        <w:rPr>
          <w:rFonts w:cs="Times New Roman"/>
          <w:szCs w:val="24"/>
        </w:rPr>
        <w:t>such as large deletions and new junctions supported by mosaic reads including those produced by new mobile element insertions</w:t>
      </w:r>
      <w:r w:rsidR="00606C72" w:rsidRPr="00D93D74">
        <w:rPr>
          <w:rFonts w:cs="Times New Roman"/>
          <w:szCs w:val="24"/>
        </w:rPr>
        <w:t xml:space="preserve"> </w:t>
      </w:r>
      <w:r w:rsidR="00E54622" w:rsidRPr="00D93D74">
        <w:rPr>
          <w:rFonts w:cs="Times New Roman"/>
          <w:szCs w:val="24"/>
        </w:rPr>
        <w:fldChar w:fldCharType="begin"/>
      </w:r>
      <w:r w:rsidR="001C2A55">
        <w:rPr>
          <w:rFonts w:cs="Times New Roman"/>
          <w:szCs w:val="24"/>
        </w:rPr>
        <w:instrText xml:space="preserve"> ADDIN ZOTERO_ITEM CSL_CITATION {"citationID":"jZoWxV8q","properties":{"formattedCitation":"(Deatherage &amp; Barrick, 2014)","plainCitation":"(Deatherage &amp; Barrick, 2014)","noteIndex":0},"citationItems":[{"id":3200,"uris":["http://zotero.org/users/8873894/items/ARPADY5B"],"itemData":{"id":3200,"type":"article-journal","abstract":"Next-generation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Biol","page":"165-188","PMID":"24838886","PMCID":"PMC4239701","source":"PubMed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sidRPr="00D93D74">
        <w:rPr>
          <w:rFonts w:cs="Times New Roman"/>
          <w:szCs w:val="24"/>
        </w:rPr>
        <w:fldChar w:fldCharType="separate"/>
      </w:r>
      <w:r w:rsidR="00E54622" w:rsidRPr="00D93D74">
        <w:rPr>
          <w:rFonts w:cs="Times New Roman"/>
        </w:rPr>
        <w:t>(Deatherage &amp; Barrick, 2014)</w:t>
      </w:r>
      <w:r w:rsidR="00E54622" w:rsidRPr="00D93D74">
        <w:rPr>
          <w:rFonts w:cs="Times New Roman"/>
          <w:szCs w:val="24"/>
        </w:rPr>
        <w:fldChar w:fldCharType="end"/>
      </w:r>
      <w:r w:rsidR="00E54622" w:rsidRPr="00D93D74">
        <w:rPr>
          <w:rFonts w:cs="Times New Roman"/>
          <w:szCs w:val="24"/>
        </w:rPr>
        <w:t xml:space="preserve">. </w:t>
      </w:r>
      <w:r w:rsidR="0089030D" w:rsidRPr="0089030D">
        <w:rPr>
          <w:rFonts w:cs="Times New Roman"/>
          <w:szCs w:val="24"/>
        </w:rPr>
        <w:t>We used AMRfinder v4.0.3, db2025-07-16.1</w:t>
      </w:r>
      <w:r w:rsidR="0089030D">
        <w:rPr>
          <w:rFonts w:cs="Times New Roman"/>
          <w:szCs w:val="24"/>
        </w:rPr>
        <w:t xml:space="preserve"> on all </w:t>
      </w:r>
      <w:r w:rsidR="0089030D">
        <w:rPr>
          <w:rFonts w:cs="Times New Roman"/>
          <w:szCs w:val="24"/>
        </w:rPr>
        <w:lastRenderedPageBreak/>
        <w:t xml:space="preserve">assembled genomes </w:t>
      </w:r>
      <w:r w:rsidR="0089030D">
        <w:rPr>
          <w:rFonts w:cs="Times New Roman"/>
          <w:szCs w:val="24"/>
        </w:rPr>
        <w:fldChar w:fldCharType="begin"/>
      </w:r>
      <w:r w:rsidR="001C2A55">
        <w:rPr>
          <w:rFonts w:cs="Times New Roman"/>
          <w:szCs w:val="24"/>
        </w:rPr>
        <w:instrText xml:space="preserve"> ADDIN ZOTERO_ITEM CSL_CITATION {"citationID":"C5e1TIwa","properties":{"formattedCitation":"(Feldgarden et al., 2019, 2021)","plainCitation":"(Feldgarden et al., 2019, 2021)","noteIndex":0},"citationItems":[{"id":3226,"uris":["http://zotero.org/users/8873894/items/LIDDZD68"],"itemData":{"id":3226,"type":"article-journal","abstract":"Antimicrobial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P."},{"family":"Klimke","given":"William"}],"issued":{"date-parts":[["2019",10,22]]}}},{"id":3227,"uris":["http://zotero.org/users/8873894/items/AB86VQVC"],"itemData":{"id":3227,"type":"article-journal","abstract":"Antimicrobial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89030D">
        <w:rPr>
          <w:rFonts w:cs="Times New Roman"/>
          <w:szCs w:val="24"/>
        </w:rPr>
        <w:fldChar w:fldCharType="separate"/>
      </w:r>
      <w:r w:rsidR="0089030D" w:rsidRPr="0089030D">
        <w:rPr>
          <w:rFonts w:cs="Times New Roman"/>
        </w:rPr>
        <w:t>(Feldgarden et al., 2019, 2021)</w:t>
      </w:r>
      <w:r w:rsidR="0089030D">
        <w:rPr>
          <w:rFonts w:cs="Times New Roman"/>
          <w:szCs w:val="24"/>
        </w:rPr>
        <w:fldChar w:fldCharType="end"/>
      </w:r>
      <w:ins w:id="453" w:author="Urša Miklavčič" w:date="2026-04-28T20:06:00Z" w16du:dateUtc="2026-04-28T18:06:00Z">
        <w:r w:rsidR="00A77BF6">
          <w:rPr>
            <w:rFonts w:cs="Times New Roman"/>
            <w:szCs w:val="24"/>
          </w:rPr>
          <w:t xml:space="preserve"> and </w:t>
        </w:r>
      </w:ins>
      <w:ins w:id="454" w:author="Urša Miklavčič" w:date="2026-04-28T20:07:00Z" w16du:dateUtc="2026-04-28T18:07:00Z">
        <w:r w:rsidR="00A77BF6">
          <w:rPr>
            <w:rFonts w:cs="Times New Roman"/>
            <w:szCs w:val="24"/>
          </w:rPr>
          <w:t xml:space="preserve">geNomad to determine acquisition of any new bacteriophages. </w:t>
        </w:r>
      </w:ins>
      <w:del w:id="455" w:author="Urša Miklavčič" w:date="2026-04-28T20:06:00Z" w16du:dateUtc="2026-04-28T18:06:00Z">
        <w:r w:rsidR="0089030D" w:rsidDel="00A77BF6">
          <w:rPr>
            <w:rFonts w:cs="Times New Roman"/>
            <w:szCs w:val="24"/>
          </w:rPr>
          <w:delText xml:space="preserve">. </w:delText>
        </w:r>
      </w:del>
    </w:p>
    <w:p w14:paraId="003EE14E" w14:textId="77777777" w:rsidR="00D95346" w:rsidRPr="00D93D74" w:rsidRDefault="00D95346" w:rsidP="00CD77AB">
      <w:pPr>
        <w:rPr>
          <w:rFonts w:cs="Times New Roman"/>
          <w:szCs w:val="24"/>
        </w:rPr>
      </w:pPr>
    </w:p>
    <w:p w14:paraId="506283BA" w14:textId="45A4603F" w:rsidR="00B10359" w:rsidRPr="00D93D74" w:rsidRDefault="00ED0C51">
      <w:pPr>
        <w:pStyle w:val="Naslov4"/>
        <w:numPr>
          <w:ilvl w:val="3"/>
          <w:numId w:val="3"/>
        </w:numPr>
      </w:pPr>
      <w:r>
        <w:t xml:space="preserve">Determination of </w:t>
      </w:r>
      <w:r>
        <w:rPr>
          <w:i/>
          <w:iCs w:val="0"/>
        </w:rPr>
        <w:t xml:space="preserve">C. saudiense </w:t>
      </w:r>
      <w:r>
        <w:t xml:space="preserve">strains in metagenomic data </w:t>
      </w:r>
    </w:p>
    <w:p w14:paraId="5AD7BB77" w14:textId="7D71B237" w:rsidR="00ED0C51" w:rsidRPr="00A90451" w:rsidRDefault="00ED0C51" w:rsidP="00ED0C51">
      <w:pPr>
        <w:rPr>
          <w:rFonts w:cs="Times New Roman"/>
          <w:szCs w:val="24"/>
        </w:rPr>
      </w:pPr>
      <w:r w:rsidRPr="00A90451">
        <w:rPr>
          <w:rFonts w:cs="Times New Roman"/>
          <w:szCs w:val="24"/>
        </w:rPr>
        <w:t xml:space="preserve">Using two published tools and a novel approach using similar mindset, we compared </w:t>
      </w:r>
      <w:r>
        <w:rPr>
          <w:rFonts w:cs="Times New Roman"/>
          <w:szCs w:val="24"/>
        </w:rPr>
        <w:t xml:space="preserve">the </w:t>
      </w:r>
      <w:r w:rsidRPr="00A90451">
        <w:rPr>
          <w:rFonts w:cs="Times New Roman"/>
          <w:szCs w:val="24"/>
        </w:rPr>
        <w:t xml:space="preserve">determination of strain structure of </w:t>
      </w:r>
      <w:r w:rsidRPr="00A90451">
        <w:rPr>
          <w:rFonts w:cs="Times New Roman"/>
          <w:i/>
          <w:iCs/>
          <w:szCs w:val="24"/>
        </w:rPr>
        <w:t>C. saudiense</w:t>
      </w:r>
      <w:r w:rsidRPr="00A90451">
        <w:rPr>
          <w:rFonts w:cs="Times New Roman"/>
          <w:szCs w:val="24"/>
        </w:rPr>
        <w:t xml:space="preserve"> in shotgun metagenomic samples f</w:t>
      </w:r>
      <w:r>
        <w:rPr>
          <w:rFonts w:cs="Times New Roman"/>
          <w:szCs w:val="24"/>
        </w:rPr>
        <w:t>rom</w:t>
      </w:r>
      <w:r w:rsidRPr="00A90451">
        <w:rPr>
          <w:rFonts w:cs="Times New Roman"/>
          <w:szCs w:val="24"/>
        </w:rPr>
        <w:t xml:space="preserve"> participant H. </w:t>
      </w:r>
    </w:p>
    <w:p w14:paraId="213FA6D7" w14:textId="79D59295" w:rsidR="00ED0C51" w:rsidRPr="00A90451" w:rsidRDefault="00ED0C51" w:rsidP="00ED0C51">
      <w:pPr>
        <w:rPr>
          <w:rFonts w:cs="Times New Roman"/>
          <w:szCs w:val="24"/>
        </w:rPr>
      </w:pPr>
      <w:r w:rsidRPr="00A90451">
        <w:rPr>
          <w:rFonts w:cs="Times New Roman"/>
          <w:szCs w:val="24"/>
        </w:rPr>
        <w:t xml:space="preserve">We first used StrainPhlAn v4.1.1 to identify the dominant </w:t>
      </w:r>
      <w:r w:rsidRPr="00A90451">
        <w:rPr>
          <w:rFonts w:cs="Times New Roman"/>
          <w:i/>
          <w:iCs/>
          <w:szCs w:val="24"/>
        </w:rPr>
        <w:t xml:space="preserve">C. saudiense </w:t>
      </w:r>
      <w:r w:rsidRPr="00A90451">
        <w:rPr>
          <w:rFonts w:cs="Times New Roman"/>
          <w:szCs w:val="24"/>
        </w:rPr>
        <w:t xml:space="preserve">strain in </w:t>
      </w:r>
      <w:r>
        <w:rPr>
          <w:rFonts w:cs="Times New Roman"/>
          <w:szCs w:val="24"/>
        </w:rPr>
        <w:t>the</w:t>
      </w:r>
      <w:r w:rsidRPr="00A90451">
        <w:rPr>
          <w:rFonts w:cs="Times New Roman"/>
          <w:szCs w:val="24"/>
        </w:rPr>
        <w:t xml:space="preserve"> samples </w:t>
      </w:r>
      <w:r>
        <w:rPr>
          <w:rFonts w:cs="Times New Roman"/>
          <w:szCs w:val="24"/>
        </w:rPr>
        <w:t xml:space="preserve">from </w:t>
      </w:r>
      <w:r w:rsidRPr="00A90451">
        <w:rPr>
          <w:rFonts w:cs="Times New Roman"/>
          <w:szCs w:val="24"/>
        </w:rPr>
        <w:t xml:space="preserve">participant H and to construct a dendrogram based on average site substitutions between samples </w:t>
      </w:r>
      <w:r w:rsidRPr="00A90451">
        <w:rPr>
          <w:rFonts w:cs="Times New Roman"/>
          <w:szCs w:val="24"/>
        </w:rPr>
        <w:fldChar w:fldCharType="begin"/>
      </w:r>
      <w:r w:rsidR="001C2A55">
        <w:rPr>
          <w:rFonts w:cs="Times New Roman"/>
          <w:szCs w:val="24"/>
        </w:rPr>
        <w:instrText xml:space="preserve"> ADDIN ZOTERO_ITEM CSL_CITATION {"citationID":"vXBaKRdn","properties":{"formattedCitation":"(Blanco-M\\uc0\\u237{}guez et al., 2023b)","plainCitation":"(Blanco-Míguez et al., 2023b)","noteIndex":0},"citationItems":[{"id":2024,"uris":["http://zotero.org/users/8873894/items/NJE9Z5AS"],"itemData":{"id":2024,"type":"article-journal","abstract":"Metagenomic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A90451">
        <w:rPr>
          <w:rFonts w:cs="Times New Roman"/>
          <w:szCs w:val="24"/>
        </w:rPr>
        <w:fldChar w:fldCharType="separate"/>
      </w:r>
      <w:r w:rsidR="00AC672D" w:rsidRPr="00AC672D">
        <w:rPr>
          <w:rFonts w:cs="Times New Roman"/>
        </w:rPr>
        <w:t>(Blanco-Míguez et al., 2023b)</w:t>
      </w:r>
      <w:r w:rsidRPr="00A90451">
        <w:rPr>
          <w:rFonts w:cs="Times New Roman"/>
          <w:szCs w:val="24"/>
        </w:rPr>
        <w:fldChar w:fldCharType="end"/>
      </w:r>
      <w:r w:rsidRPr="00A90451">
        <w:rPr>
          <w:rFonts w:cs="Times New Roman"/>
          <w:szCs w:val="24"/>
        </w:rPr>
        <w:t>. This approach reconstructs only the dominant strain of a target species. It aligns all reads to species-specific marker genes and generates a multiple sequence alignment, which is then used by PhyloPhlAn to build a phylogenetic tree.</w:t>
      </w:r>
    </w:p>
    <w:p w14:paraId="21F03B15" w14:textId="11AA5BF3" w:rsidR="00ED0C51" w:rsidRPr="00A90451" w:rsidRDefault="00ED0C51" w:rsidP="00ED0C51">
      <w:pPr>
        <w:rPr>
          <w:rFonts w:cs="Times New Roman"/>
          <w:szCs w:val="24"/>
        </w:rPr>
      </w:pPr>
      <w:r>
        <w:rPr>
          <w:rFonts w:cs="Times New Roman"/>
          <w:szCs w:val="24"/>
        </w:rPr>
        <w:t>T</w:t>
      </w:r>
      <w:r w:rsidRPr="00A90451">
        <w:rPr>
          <w:rFonts w:cs="Times New Roman"/>
          <w:szCs w:val="24"/>
        </w:rPr>
        <w:t>o connect</w:t>
      </w:r>
      <w:r>
        <w:rPr>
          <w:rFonts w:cs="Times New Roman"/>
          <w:szCs w:val="24"/>
        </w:rPr>
        <w:t xml:space="preserve"> the</w:t>
      </w:r>
      <w:r w:rsidRPr="00A90451">
        <w:rPr>
          <w:rFonts w:cs="Times New Roman"/>
          <w:szCs w:val="24"/>
        </w:rPr>
        <w:t xml:space="preserve"> whole-genome dataset with </w:t>
      </w:r>
      <w:r>
        <w:rPr>
          <w:rFonts w:cs="Times New Roman"/>
          <w:szCs w:val="24"/>
        </w:rPr>
        <w:t xml:space="preserve">the </w:t>
      </w:r>
      <w:r w:rsidRPr="00A90451">
        <w:rPr>
          <w:rFonts w:cs="Times New Roman"/>
          <w:szCs w:val="24"/>
        </w:rPr>
        <w:t>shotgun metagenomic dataset</w:t>
      </w:r>
      <w:r>
        <w:rPr>
          <w:rFonts w:cs="Times New Roman"/>
          <w:szCs w:val="24"/>
        </w:rPr>
        <w:t>,</w:t>
      </w:r>
      <w:r w:rsidRPr="00A90451">
        <w:rPr>
          <w:rFonts w:cs="Times New Roman"/>
          <w:szCs w:val="24"/>
        </w:rPr>
        <w:t xml:space="preserve"> we also used StrainScan v1.0.14 </w:t>
      </w:r>
      <w:r w:rsidRPr="00A90451">
        <w:rPr>
          <w:rFonts w:cs="Times New Roman"/>
          <w:szCs w:val="24"/>
        </w:rPr>
        <w:fldChar w:fldCharType="begin"/>
      </w:r>
      <w:r w:rsidR="001C2A55">
        <w:rPr>
          <w:rFonts w:cs="Times New Roman"/>
          <w:szCs w:val="24"/>
        </w:rPr>
        <w:instrText xml:space="preserve"> ADDIN ZOTERO_ITEM CSL_CITATION {"citationID":"Ghn6XgjP","properties":{"formattedCitation":"(Liao et al., 2023)","plainCitation":"(Liao et al., 2023)","noteIndex":0},"citationItems":[{"id":3395,"uris":["http://zotero.org/users/8873894/items/LNZCK56N"],"itemData":{"id":3395,"type":"article-journal","abstract":"BACKGROUND: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Pr="00A90451">
        <w:rPr>
          <w:rFonts w:cs="Times New Roman"/>
          <w:szCs w:val="24"/>
        </w:rPr>
        <w:fldChar w:fldCharType="separate"/>
      </w:r>
      <w:r w:rsidRPr="00C65174">
        <w:rPr>
          <w:rFonts w:cs="Times New Roman"/>
        </w:rPr>
        <w:t>(Liao et al., 2023)</w:t>
      </w:r>
      <w:r w:rsidRPr="00A90451">
        <w:rPr>
          <w:rFonts w:cs="Times New Roman"/>
          <w:szCs w:val="24"/>
        </w:rPr>
        <w:fldChar w:fldCharType="end"/>
      </w:r>
      <w:r w:rsidRPr="00A90451">
        <w:rPr>
          <w:rFonts w:cs="Times New Roman"/>
          <w:szCs w:val="24"/>
        </w:rPr>
        <w:t>. StrainScan determine</w:t>
      </w:r>
      <w:r>
        <w:rPr>
          <w:rFonts w:cs="Times New Roman"/>
          <w:szCs w:val="24"/>
        </w:rPr>
        <w:t>s</w:t>
      </w:r>
      <w:r w:rsidRPr="00A90451">
        <w:rPr>
          <w:rFonts w:cs="Times New Roman"/>
          <w:szCs w:val="24"/>
        </w:rPr>
        <w:t xml:space="preserve"> strain structure based on hierarchical clustering of assembled genomes </w:t>
      </w:r>
      <w:r>
        <w:rPr>
          <w:rFonts w:cs="Times New Roman"/>
          <w:szCs w:val="24"/>
        </w:rPr>
        <w:t xml:space="preserve">of a species </w:t>
      </w:r>
      <w:r w:rsidRPr="00A90451">
        <w:rPr>
          <w:rFonts w:cs="Times New Roman"/>
          <w:szCs w:val="24"/>
        </w:rPr>
        <w:t>and finds strain-specific k-mers, to which it maps short reads from metageno</w:t>
      </w:r>
      <w:r>
        <w:rPr>
          <w:rFonts w:cs="Times New Roman"/>
          <w:szCs w:val="24"/>
        </w:rPr>
        <w:t>mic</w:t>
      </w:r>
      <w:r w:rsidRPr="00A90451">
        <w:rPr>
          <w:rFonts w:cs="Times New Roman"/>
          <w:szCs w:val="24"/>
        </w:rPr>
        <w:t xml:space="preserve"> samples </w:t>
      </w:r>
      <w:r>
        <w:rPr>
          <w:rFonts w:cs="Times New Roman"/>
          <w:szCs w:val="24"/>
        </w:rPr>
        <w:t>t</w:t>
      </w:r>
      <w:r w:rsidRPr="00A90451">
        <w:rPr>
          <w:rFonts w:cs="Times New Roman"/>
          <w:szCs w:val="24"/>
        </w:rPr>
        <w:t xml:space="preserve">o determine </w:t>
      </w:r>
      <w:r>
        <w:rPr>
          <w:rFonts w:cs="Times New Roman"/>
          <w:szCs w:val="24"/>
        </w:rPr>
        <w:t xml:space="preserve">the </w:t>
      </w:r>
      <w:r w:rsidRPr="00A90451">
        <w:rPr>
          <w:rFonts w:cs="Times New Roman"/>
          <w:szCs w:val="24"/>
        </w:rPr>
        <w:t>strain structure of each sample.</w:t>
      </w:r>
    </w:p>
    <w:p w14:paraId="77AC62E1" w14:textId="0EC8B8EB" w:rsidR="00BE6657" w:rsidRDefault="00ED0C51" w:rsidP="00ED0C51">
      <w:pPr>
        <w:rPr>
          <w:rFonts w:cs="Times New Roman"/>
          <w:szCs w:val="24"/>
        </w:rPr>
      </w:pPr>
      <w:r w:rsidRPr="00A90451">
        <w:rPr>
          <w:rFonts w:cs="Times New Roman"/>
          <w:szCs w:val="24"/>
        </w:rPr>
        <w:t xml:space="preserve">StrainScan could not determine strains in all metagenomic samples, </w:t>
      </w:r>
      <w:r>
        <w:rPr>
          <w:rFonts w:cs="Times New Roman"/>
          <w:szCs w:val="24"/>
        </w:rPr>
        <w:t xml:space="preserve">possibly </w:t>
      </w:r>
      <w:r w:rsidRPr="00A90451">
        <w:rPr>
          <w:rFonts w:cs="Times New Roman"/>
          <w:szCs w:val="24"/>
        </w:rPr>
        <w:t xml:space="preserve">due to low coverage and abundance of this species. We identified strain-specific genes for each strain determined </w:t>
      </w:r>
      <w:r>
        <w:rPr>
          <w:rFonts w:cs="Times New Roman"/>
          <w:szCs w:val="24"/>
        </w:rPr>
        <w:t>by</w:t>
      </w:r>
      <w:r w:rsidRPr="00A90451">
        <w:rPr>
          <w:rFonts w:cs="Times New Roman"/>
          <w:szCs w:val="24"/>
        </w:rPr>
        <w:t xml:space="preserve"> core SNPs and core-gene content. Shotgun metagenomic reads from all stool samples of participants H and A were mapped to these strain-specific genes with bowtie2 using the --very-sensitive flag </w:t>
      </w:r>
      <w:r w:rsidRPr="00A90451">
        <w:rPr>
          <w:rFonts w:cs="Times New Roman"/>
          <w:szCs w:val="24"/>
        </w:rPr>
        <w:fldChar w:fldCharType="begin"/>
      </w:r>
      <w:r w:rsidR="001C2A55">
        <w:rPr>
          <w:rFonts w:cs="Times New Roman"/>
          <w:szCs w:val="24"/>
        </w:rPr>
        <w:instrText xml:space="preserve"> ADDIN ZOTERO_ITEM CSL_CITATION {"citationID":"SAWqS38g","properties":{"formattedCitation":"(Langmead &amp; Salzberg, 2012)","plainCitation":"(Langmead &amp; Salzberg, 2012)","noteIndex":0},"citationItems":[{"id":3224,"uris":["http://zotero.org/users/8873894/items/4U5YNPWK"],"itemData":{"id":3224,"type":"article-journal","abstract":"As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A90451">
        <w:rPr>
          <w:rFonts w:cs="Times New Roman"/>
          <w:szCs w:val="24"/>
        </w:rPr>
        <w:fldChar w:fldCharType="separate"/>
      </w:r>
      <w:r w:rsidR="00AC672D" w:rsidRPr="00AC672D">
        <w:rPr>
          <w:rFonts w:cs="Times New Roman"/>
        </w:rPr>
        <w:t>(Langmead &amp; Salzberg, 2012)</w:t>
      </w:r>
      <w:r w:rsidRPr="00A90451">
        <w:rPr>
          <w:rFonts w:cs="Times New Roman"/>
          <w:szCs w:val="24"/>
        </w:rPr>
        <w:fldChar w:fldCharType="end"/>
      </w:r>
      <w:r w:rsidRPr="00A90451">
        <w:rPr>
          <w:rFonts w:cs="Times New Roman"/>
          <w:szCs w:val="24"/>
        </w:rPr>
        <w:t>. Participant A served as a negative control for this approach</w:t>
      </w:r>
      <w:r>
        <w:rPr>
          <w:rFonts w:cs="Times New Roman"/>
          <w:szCs w:val="24"/>
        </w:rPr>
        <w:t>. We detected</w:t>
      </w:r>
      <w:r w:rsidRPr="00A90451">
        <w:rPr>
          <w:rFonts w:cs="Times New Roman"/>
          <w:szCs w:val="24"/>
        </w:rPr>
        <w:t xml:space="preserve"> </w:t>
      </w:r>
      <w:r w:rsidRPr="00A90451">
        <w:rPr>
          <w:rFonts w:cs="Times New Roman"/>
          <w:i/>
          <w:iCs/>
          <w:szCs w:val="24"/>
        </w:rPr>
        <w:t>C. saudiense</w:t>
      </w:r>
      <w:r w:rsidRPr="00A90451">
        <w:rPr>
          <w:rFonts w:cs="Times New Roman"/>
          <w:szCs w:val="24"/>
        </w:rPr>
        <w:t xml:space="preserve"> at very low abundance in only one of his 12 samples</w:t>
      </w:r>
      <w:r>
        <w:rPr>
          <w:rFonts w:cs="Times New Roman"/>
          <w:szCs w:val="24"/>
        </w:rPr>
        <w:t>, this sample was not used</w:t>
      </w:r>
      <w:del w:id="456" w:author="Urša Miklavčič [2]" w:date="2026-04-21T13:19:00Z" w16du:dateUtc="2026-04-21T11:19:00Z">
        <w:r w:rsidDel="00554FAF">
          <w:rPr>
            <w:rFonts w:cs="Times New Roman"/>
            <w:szCs w:val="24"/>
          </w:rPr>
          <w:delText xml:space="preserve"> </w:delText>
        </w:r>
        <w:r w:rsidRPr="00A90451" w:rsidDel="00554FAF">
          <w:rPr>
            <w:rFonts w:cs="Times New Roman"/>
            <w:szCs w:val="24"/>
          </w:rPr>
          <w:delText xml:space="preserve">(Supplementary Figure </w:delText>
        </w:r>
        <w:r w:rsidDel="00554FAF">
          <w:rPr>
            <w:rFonts w:cs="Times New Roman"/>
            <w:szCs w:val="24"/>
          </w:rPr>
          <w:delText>20</w:delText>
        </w:r>
        <w:r w:rsidRPr="00A90451" w:rsidDel="00554FAF">
          <w:rPr>
            <w:rFonts w:cs="Times New Roman"/>
            <w:szCs w:val="24"/>
          </w:rPr>
          <w:delText>)</w:delText>
        </w:r>
      </w:del>
      <w:r w:rsidRPr="00A90451">
        <w:rPr>
          <w:rFonts w:cs="Times New Roman"/>
          <w:szCs w:val="24"/>
        </w:rPr>
        <w:t>. We normalized the number of reads mapped to each gene, by gene length and, for each strain, by the number of genes detected for that strain</w:t>
      </w:r>
      <w:r>
        <w:rPr>
          <w:rFonts w:cs="Times New Roman"/>
          <w:szCs w:val="24"/>
        </w:rPr>
        <w:t>,</w:t>
      </w:r>
      <w:r w:rsidRPr="00A90451">
        <w:rPr>
          <w:rFonts w:cs="Times New Roman"/>
          <w:szCs w:val="24"/>
        </w:rPr>
        <w:t xml:space="preserve"> and visualized the results in R</w:t>
      </w:r>
      <w:r>
        <w:rPr>
          <w:rFonts w:cs="Times New Roman"/>
          <w:szCs w:val="24"/>
        </w:rPr>
        <w:t xml:space="preserve">. </w:t>
      </w:r>
    </w:p>
    <w:p w14:paraId="7E116DE2" w14:textId="77777777" w:rsidR="00ED0C51" w:rsidRPr="00D93D74" w:rsidRDefault="00ED0C51" w:rsidP="00ED0C51"/>
    <w:p w14:paraId="3DD42118" w14:textId="3B9EAF99" w:rsidR="00CF5058" w:rsidRPr="00D93D74" w:rsidRDefault="00CF5058" w:rsidP="00BD2E54">
      <w:r w:rsidRPr="00D93D74">
        <w:br w:type="page"/>
      </w:r>
    </w:p>
    <w:p w14:paraId="5DC70B3A" w14:textId="3DAB9984" w:rsidR="00A0613C" w:rsidRPr="00D93D74" w:rsidRDefault="009B3EB0">
      <w:pPr>
        <w:pStyle w:val="Naslov1"/>
        <w:numPr>
          <w:ilvl w:val="0"/>
          <w:numId w:val="3"/>
        </w:numPr>
      </w:pPr>
      <w:bookmarkStart w:id="457" w:name="_Toc212712211"/>
      <w:bookmarkStart w:id="458" w:name="_Toc216099744"/>
      <w:bookmarkStart w:id="459" w:name="_Toc220932867"/>
      <w:bookmarkStart w:id="460" w:name="_Toc228252036"/>
      <w:r w:rsidRPr="00D93D74">
        <w:lastRenderedPageBreak/>
        <w:t>RESULTS</w:t>
      </w:r>
      <w:bookmarkEnd w:id="457"/>
      <w:bookmarkEnd w:id="458"/>
      <w:bookmarkEnd w:id="459"/>
      <w:bookmarkEnd w:id="460"/>
    </w:p>
    <w:p w14:paraId="3259460E" w14:textId="7250699A" w:rsidR="00CD77AB" w:rsidRPr="00D93D74" w:rsidRDefault="00EE3CC9">
      <w:pPr>
        <w:pStyle w:val="Naslov2"/>
        <w:numPr>
          <w:ilvl w:val="1"/>
          <w:numId w:val="3"/>
        </w:numPr>
      </w:pPr>
      <w:bookmarkStart w:id="461" w:name="_Toc212712213"/>
      <w:bookmarkStart w:id="462" w:name="_Toc216099745"/>
      <w:bookmarkStart w:id="463" w:name="_Toc220932868"/>
      <w:bookmarkStart w:id="464" w:name="_Toc228252037"/>
      <w:commentRangeStart w:id="465"/>
      <w:commentRangeStart w:id="466"/>
      <w:r w:rsidRPr="00D93D74">
        <w:t>COMPARISON OF ISOLATION PROTOCOLS FOR BACTERIAL DNA FROM HUMAN STOOL SAMPLES</w:t>
      </w:r>
      <w:bookmarkEnd w:id="461"/>
      <w:bookmarkEnd w:id="462"/>
      <w:bookmarkEnd w:id="464"/>
      <w:r w:rsidR="003D12EB" w:rsidRPr="00D93D74">
        <w:t xml:space="preserve"> </w:t>
      </w:r>
      <w:bookmarkEnd w:id="463"/>
      <w:commentRangeEnd w:id="465"/>
      <w:r w:rsidR="003031E8" w:rsidRPr="00D93D74">
        <w:rPr>
          <w:rStyle w:val="Pripombasklic"/>
          <w:sz w:val="24"/>
          <w:szCs w:val="22"/>
        </w:rPr>
        <w:commentReference w:id="465"/>
      </w:r>
      <w:commentRangeEnd w:id="466"/>
      <w:r w:rsidR="00494014" w:rsidRPr="00D93D74">
        <w:rPr>
          <w:rStyle w:val="Pripombasklic"/>
          <w:sz w:val="24"/>
          <w:szCs w:val="22"/>
        </w:rPr>
        <w:commentReference w:id="466"/>
      </w:r>
    </w:p>
    <w:p w14:paraId="3258E888" w14:textId="624BC882" w:rsidR="002E26D9" w:rsidRPr="00D93D74" w:rsidRDefault="002E26D9" w:rsidP="002E26D9">
      <w:pPr>
        <w:rPr>
          <w:rFonts w:cs="Times New Roman"/>
          <w:szCs w:val="24"/>
        </w:rPr>
      </w:pPr>
      <w:r w:rsidRPr="00D93D74">
        <w:rPr>
          <w:rFonts w:cs="Times New Roman"/>
          <w:szCs w:val="24"/>
        </w:rPr>
        <w:t xml:space="preserve">Four DNA isolation protocols </w:t>
      </w:r>
      <w:r w:rsidR="00CE61A7">
        <w:rPr>
          <w:rFonts w:cs="Times New Roman"/>
          <w:szCs w:val="24"/>
        </w:rPr>
        <w:t xml:space="preserve">for isolation of DNA from untreated stool samples </w:t>
      </w:r>
      <w:r w:rsidRPr="00D93D74">
        <w:rPr>
          <w:rFonts w:cs="Times New Roman"/>
          <w:szCs w:val="24"/>
        </w:rPr>
        <w:t xml:space="preserve">were compared </w:t>
      </w:r>
      <w:r w:rsidR="00643FE9" w:rsidRPr="00D93D74">
        <w:rPr>
          <w:rFonts w:cs="Times New Roman"/>
          <w:szCs w:val="24"/>
        </w:rPr>
        <w:t>using</w:t>
      </w:r>
      <w:r w:rsidRPr="00D93D74">
        <w:rPr>
          <w:rFonts w:cs="Times New Roman"/>
          <w:szCs w:val="24"/>
        </w:rPr>
        <w:t xml:space="preserve"> three stool samples and a negative control</w:t>
      </w:r>
      <w:r w:rsidR="001E2632" w:rsidRPr="00D93D74">
        <w:rPr>
          <w:rFonts w:cs="Times New Roman"/>
          <w:szCs w:val="24"/>
        </w:rPr>
        <w:t xml:space="preserve">, each processed </w:t>
      </w:r>
      <w:r w:rsidRPr="00D93D74">
        <w:rPr>
          <w:rFonts w:cs="Times New Roman"/>
          <w:szCs w:val="24"/>
        </w:rPr>
        <w:t xml:space="preserve">in triplicate. Amplicon sequencing of the V3-V4 region of the 16S rRNA gene was performed to </w:t>
      </w:r>
      <w:r w:rsidR="00643FE9" w:rsidRPr="00D93D74">
        <w:rPr>
          <w:rFonts w:cs="Times New Roman"/>
          <w:szCs w:val="24"/>
        </w:rPr>
        <w:t>assess</w:t>
      </w:r>
      <w:r w:rsidRPr="00D93D74">
        <w:rPr>
          <w:rFonts w:cs="Times New Roman"/>
          <w:szCs w:val="24"/>
        </w:rPr>
        <w:t xml:space="preserve"> the efficiency of each protocol</w:t>
      </w:r>
      <w:r w:rsidR="00EC5F83" w:rsidRPr="00D93D74">
        <w:rPr>
          <w:rFonts w:cs="Times New Roman"/>
          <w:szCs w:val="24"/>
        </w:rPr>
        <w:t xml:space="preserve"> (</w:t>
      </w:r>
      <w:commentRangeStart w:id="467"/>
      <w:commentRangeStart w:id="468"/>
      <w:r w:rsidR="00EC5F83" w:rsidRPr="00D93D74">
        <w:rPr>
          <w:rFonts w:cs="Times New Roman"/>
          <w:szCs w:val="24"/>
        </w:rPr>
        <w:t xml:space="preserve">Supplement Table </w:t>
      </w:r>
      <w:commentRangeEnd w:id="467"/>
      <w:r w:rsidR="0024495C" w:rsidRPr="00D93D74">
        <w:rPr>
          <w:rStyle w:val="Pripombasklic"/>
          <w:rFonts w:cs="Times New Roman"/>
          <w:sz w:val="24"/>
          <w:szCs w:val="24"/>
        </w:rPr>
        <w:commentReference w:id="467"/>
      </w:r>
      <w:commentRangeEnd w:id="468"/>
      <w:r w:rsidR="0024495C" w:rsidRPr="00D93D74">
        <w:rPr>
          <w:rStyle w:val="Pripombasklic"/>
          <w:rFonts w:cs="Times New Roman"/>
          <w:sz w:val="24"/>
          <w:szCs w:val="24"/>
        </w:rPr>
        <w:commentReference w:id="468"/>
      </w:r>
      <w:r w:rsidR="00494014" w:rsidRPr="00D93D74">
        <w:rPr>
          <w:rFonts w:cs="Times New Roman"/>
          <w:szCs w:val="24"/>
        </w:rPr>
        <w:t>3</w:t>
      </w:r>
      <w:r w:rsidR="00CE61A7">
        <w:rPr>
          <w:rFonts w:cs="Times New Roman"/>
          <w:szCs w:val="24"/>
        </w:rPr>
        <w:t>, 4</w:t>
      </w:r>
      <w:r w:rsidR="00EC5F83" w:rsidRPr="00D93D74">
        <w:rPr>
          <w:rFonts w:cs="Times New Roman"/>
          <w:szCs w:val="24"/>
        </w:rPr>
        <w:t>)</w:t>
      </w:r>
      <w:r w:rsidRPr="00D93D74">
        <w:rPr>
          <w:rFonts w:cs="Times New Roman"/>
          <w:szCs w:val="24"/>
        </w:rPr>
        <w:t xml:space="preserve">. </w:t>
      </w:r>
      <w:r w:rsidR="001E2632" w:rsidRPr="00D93D74">
        <w:rPr>
          <w:rFonts w:cs="Times New Roman"/>
          <w:szCs w:val="24"/>
        </w:rPr>
        <w:t>Selection of the best protocol was based on t</w:t>
      </w:r>
      <w:r w:rsidRPr="00D93D74">
        <w:rPr>
          <w:rFonts w:cs="Times New Roman"/>
          <w:szCs w:val="24"/>
        </w:rPr>
        <w:t>wo</w:t>
      </w:r>
      <w:r w:rsidR="00643FE9" w:rsidRPr="00D93D74">
        <w:rPr>
          <w:rFonts w:cs="Times New Roman"/>
          <w:szCs w:val="24"/>
        </w:rPr>
        <w:t xml:space="preserve"> criteria</w:t>
      </w:r>
      <w:r w:rsidRPr="00D93D74">
        <w:rPr>
          <w:rFonts w:cs="Times New Roman"/>
          <w:szCs w:val="24"/>
        </w:rPr>
        <w:t xml:space="preserve">: the highest DNA yield and the ability to </w:t>
      </w:r>
      <w:r w:rsidR="001E2632" w:rsidRPr="00D93D74">
        <w:rPr>
          <w:rFonts w:cs="Times New Roman"/>
          <w:szCs w:val="24"/>
        </w:rPr>
        <w:t>recover</w:t>
      </w:r>
      <w:r w:rsidRPr="00D93D74">
        <w:rPr>
          <w:rFonts w:cs="Times New Roman"/>
          <w:szCs w:val="24"/>
        </w:rPr>
        <w:t xml:space="preserve"> all bacterial phyla known to reside in the human gut </w:t>
      </w:r>
      <w:r w:rsidRPr="00D93D74">
        <w:rPr>
          <w:rFonts w:cs="Times New Roman"/>
          <w:szCs w:val="24"/>
        </w:rPr>
        <w:fldChar w:fldCharType="begin"/>
      </w:r>
      <w:r w:rsidR="001C2A55">
        <w:rPr>
          <w:rFonts w:cs="Times New Roman"/>
          <w:szCs w:val="24"/>
        </w:rPr>
        <w:instrText xml:space="preserve"> ADDIN ZOTERO_ITEM CSL_CITATION {"citationID":"92x3YAZZ","properties":{"formattedCitation":"(Martino et al., 2022)","plainCitation":"(Martino et al., 2022)","noteIndex":0},"citationItems":[{"id":1166,"uris":["http://zotero.org/users/8873894/items/VS3A8XM3"],"itemData":{"id":1166,"type":"article-journal","abstract":"Associations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rPr>
          <w:rFonts w:cs="Times New Roman"/>
          <w:szCs w:val="24"/>
        </w:rPr>
        <w:fldChar w:fldCharType="separate"/>
      </w:r>
      <w:r w:rsidRPr="00D93D74">
        <w:rPr>
          <w:rFonts w:cs="Times New Roman"/>
          <w:szCs w:val="24"/>
        </w:rPr>
        <w:t>(Martino et al., 2022)</w:t>
      </w:r>
      <w:r w:rsidRPr="00D93D74">
        <w:rPr>
          <w:rFonts w:cs="Times New Roman"/>
          <w:szCs w:val="24"/>
        </w:rPr>
        <w:fldChar w:fldCharType="end"/>
      </w:r>
      <w:r w:rsidRPr="00D93D74">
        <w:rPr>
          <w:rFonts w:cs="Times New Roman"/>
          <w:szCs w:val="24"/>
        </w:rPr>
        <w:t xml:space="preserve">. </w:t>
      </w:r>
    </w:p>
    <w:p w14:paraId="5064ABE2" w14:textId="523A18FD" w:rsidR="00CD77AB" w:rsidRPr="00D93D74" w:rsidRDefault="002E26D9" w:rsidP="00CD77AB">
      <w:pPr>
        <w:rPr>
          <w:rFonts w:cs="Times New Roman"/>
          <w:szCs w:val="24"/>
        </w:rPr>
      </w:pPr>
      <w:r w:rsidRPr="00D93D74">
        <w:rPr>
          <w:rFonts w:cs="Times New Roman"/>
          <w:szCs w:val="24"/>
        </w:rPr>
        <w:t xml:space="preserve">All four DNA isolation kits produced DNA concentrations sufficient for downstream molecular applications, with </w:t>
      </w:r>
      <w:r w:rsidR="001E2632" w:rsidRPr="00D93D74">
        <w:rPr>
          <w:rFonts w:cs="Times New Roman"/>
          <w:szCs w:val="24"/>
        </w:rPr>
        <w:t xml:space="preserve">the </w:t>
      </w:r>
      <w:r w:rsidRPr="00D93D74">
        <w:rPr>
          <w:rFonts w:cs="Times New Roman"/>
          <w:szCs w:val="24"/>
        </w:rPr>
        <w:t>PowerFecal</w:t>
      </w:r>
      <w:r w:rsidR="00643FE9" w:rsidRPr="00D93D74">
        <w:rPr>
          <w:rFonts w:cs="Times New Roman"/>
          <w:szCs w:val="24"/>
        </w:rPr>
        <w:t xml:space="preserve"> kit</w:t>
      </w:r>
      <w:r w:rsidRPr="00D93D74">
        <w:rPr>
          <w:rFonts w:cs="Times New Roman"/>
          <w:szCs w:val="24"/>
        </w:rPr>
        <w:t xml:space="preserve"> yielding approximately ten times higher </w:t>
      </w:r>
      <w:r w:rsidR="001E2632" w:rsidRPr="00D93D74">
        <w:rPr>
          <w:rFonts w:cs="Times New Roman"/>
          <w:szCs w:val="24"/>
        </w:rPr>
        <w:t xml:space="preserve">DNA </w:t>
      </w:r>
      <w:r w:rsidRPr="00D93D74">
        <w:rPr>
          <w:rFonts w:cs="Times New Roman"/>
          <w:szCs w:val="24"/>
        </w:rPr>
        <w:t>concentrations than the other protocols (paired t-test, p &lt; 0.001</w:t>
      </w:r>
      <w:r w:rsidR="001E2632" w:rsidRPr="00D93D74">
        <w:rPr>
          <w:rFonts w:cs="Times New Roman"/>
          <w:szCs w:val="24"/>
        </w:rPr>
        <w:t>;</w:t>
      </w:r>
      <w:r w:rsidRPr="00D93D74">
        <w:rPr>
          <w:rFonts w:cs="Times New Roman"/>
          <w:szCs w:val="24"/>
        </w:rPr>
        <w:t xml:space="preserve"> Figure 3A). The DNA concentration of negative controls was approximately 1 ng/µl, </w:t>
      </w:r>
      <w:r w:rsidR="001E2632" w:rsidRPr="00D93D74">
        <w:rPr>
          <w:rFonts w:cs="Times New Roman"/>
          <w:szCs w:val="24"/>
        </w:rPr>
        <w:t>with</w:t>
      </w:r>
      <w:r w:rsidRPr="00D93D74">
        <w:rPr>
          <w:rFonts w:cs="Times New Roman"/>
          <w:szCs w:val="24"/>
        </w:rPr>
        <w:t xml:space="preserve"> OTUs </w:t>
      </w:r>
      <w:r w:rsidR="001E2632" w:rsidRPr="00D93D74">
        <w:rPr>
          <w:rFonts w:cs="Times New Roman"/>
          <w:szCs w:val="24"/>
        </w:rPr>
        <w:t>averaging between</w:t>
      </w:r>
      <w:r w:rsidRPr="00D93D74">
        <w:rPr>
          <w:rFonts w:cs="Times New Roman"/>
          <w:szCs w:val="24"/>
        </w:rPr>
        <w:t xml:space="preserve"> 2 </w:t>
      </w:r>
      <w:r w:rsidR="001E2632" w:rsidRPr="00D93D74">
        <w:rPr>
          <w:rFonts w:cs="Times New Roman"/>
          <w:szCs w:val="24"/>
        </w:rPr>
        <w:t>and</w:t>
      </w:r>
      <w:r w:rsidRPr="00D93D74">
        <w:rPr>
          <w:rFonts w:cs="Times New Roman"/>
          <w:szCs w:val="24"/>
        </w:rPr>
        <w:t xml:space="preserve"> 5 reads </w:t>
      </w:r>
      <w:r w:rsidR="00494014" w:rsidRPr="00D93D74">
        <w:rPr>
          <w:rFonts w:cs="Times New Roman"/>
          <w:szCs w:val="24"/>
        </w:rPr>
        <w:t>per control</w:t>
      </w:r>
      <w:r w:rsidRPr="00D93D74">
        <w:rPr>
          <w:rFonts w:cs="Times New Roman"/>
          <w:szCs w:val="24"/>
        </w:rPr>
        <w:t>.</w:t>
      </w:r>
      <w:r w:rsidR="001E2632" w:rsidRPr="00D93D74">
        <w:rPr>
          <w:rFonts w:cs="Times New Roman"/>
          <w:szCs w:val="24"/>
        </w:rPr>
        <w:t xml:space="preserve"> Microbial community composition was significantly influenced by the DNA isolation protocol, </w:t>
      </w:r>
      <w:r w:rsidR="00571F06" w:rsidRPr="00D93D74">
        <w:rPr>
          <w:rFonts w:cs="Times New Roman"/>
          <w:szCs w:val="24"/>
        </w:rPr>
        <w:t>explaining 19% of variation (</w:t>
      </w:r>
      <w:r w:rsidR="001E2632" w:rsidRPr="00D93D74">
        <w:rPr>
          <w:rFonts w:cs="Times New Roman"/>
          <w:szCs w:val="24"/>
        </w:rPr>
        <w:t>PERMANOVA</w:t>
      </w:r>
      <w:r w:rsidR="00571F06" w:rsidRPr="00D93D74">
        <w:rPr>
          <w:rFonts w:cs="Times New Roman"/>
          <w:szCs w:val="24"/>
        </w:rPr>
        <w:t xml:space="preserve">, </w:t>
      </w:r>
      <w:r w:rsidR="001E2632" w:rsidRPr="00D93D74">
        <w:rPr>
          <w:rFonts w:cs="Times New Roman"/>
          <w:szCs w:val="24"/>
        </w:rPr>
        <w:t>p = 0.005</w:t>
      </w:r>
      <w:r w:rsidR="00571F06" w:rsidRPr="00D93D74">
        <w:rPr>
          <w:rFonts w:cs="Times New Roman"/>
          <w:szCs w:val="24"/>
        </w:rPr>
        <w:t xml:space="preserve">; </w:t>
      </w:r>
      <w:r w:rsidR="001E2632" w:rsidRPr="00D93D74">
        <w:rPr>
          <w:rFonts w:cs="Times New Roman"/>
          <w:szCs w:val="24"/>
        </w:rPr>
        <w:t xml:space="preserve">Figure 3B). </w:t>
      </w:r>
      <w:r w:rsidR="00EC5F83" w:rsidRPr="00D93D74">
        <w:rPr>
          <w:rFonts w:cs="Times New Roman"/>
          <w:szCs w:val="24"/>
        </w:rPr>
        <w:t xml:space="preserve">The DNeasy protocol </w:t>
      </w:r>
      <w:r w:rsidR="001E2632" w:rsidRPr="00D93D74">
        <w:rPr>
          <w:rFonts w:cs="Times New Roman"/>
          <w:szCs w:val="24"/>
        </w:rPr>
        <w:t>yielded</w:t>
      </w:r>
      <w:r w:rsidR="00EC5F83" w:rsidRPr="00D93D74">
        <w:rPr>
          <w:rFonts w:cs="Times New Roman"/>
          <w:szCs w:val="24"/>
        </w:rPr>
        <w:t xml:space="preserve"> significantly lower alpha diversity</w:t>
      </w:r>
      <w:r w:rsidR="001E2632" w:rsidRPr="00D93D74">
        <w:rPr>
          <w:rFonts w:cs="Times New Roman"/>
          <w:szCs w:val="24"/>
        </w:rPr>
        <w:t xml:space="preserve"> compared to the other three </w:t>
      </w:r>
      <w:r w:rsidR="00571F06" w:rsidRPr="00D93D74">
        <w:rPr>
          <w:rFonts w:cs="Times New Roman"/>
          <w:szCs w:val="24"/>
        </w:rPr>
        <w:t>protocols</w:t>
      </w:r>
      <w:r w:rsidR="00EC5F83" w:rsidRPr="00D93D74">
        <w:rPr>
          <w:rFonts w:cs="Times New Roman"/>
          <w:szCs w:val="24"/>
        </w:rPr>
        <w:t xml:space="preserve"> (</w:t>
      </w:r>
      <w:r w:rsidR="00571F06" w:rsidRPr="00D93D74">
        <w:rPr>
          <w:rFonts w:cs="Times New Roman"/>
          <w:szCs w:val="24"/>
        </w:rPr>
        <w:t xml:space="preserve">paired </w:t>
      </w:r>
      <w:r w:rsidR="00EC5F83" w:rsidRPr="00D93D74">
        <w:rPr>
          <w:rFonts w:cs="Times New Roman"/>
          <w:szCs w:val="24"/>
        </w:rPr>
        <w:t>t-test, p &lt; 0.005</w:t>
      </w:r>
      <w:r w:rsidR="00571F06" w:rsidRPr="00D93D74">
        <w:rPr>
          <w:rFonts w:cs="Times New Roman"/>
          <w:szCs w:val="24"/>
        </w:rPr>
        <w:t>;</w:t>
      </w:r>
      <w:r w:rsidR="00EC5F83" w:rsidRPr="00D93D74">
        <w:rPr>
          <w:rFonts w:cs="Times New Roman"/>
          <w:szCs w:val="24"/>
        </w:rPr>
        <w:t xml:space="preserve"> Figure 3</w:t>
      </w:r>
      <w:r w:rsidR="001E2632" w:rsidRPr="00D93D74">
        <w:rPr>
          <w:rFonts w:cs="Times New Roman"/>
          <w:szCs w:val="24"/>
        </w:rPr>
        <w:t>C</w:t>
      </w:r>
      <w:r w:rsidR="00EC5F83" w:rsidRPr="00D93D74">
        <w:rPr>
          <w:rFonts w:cs="Times New Roman"/>
          <w:szCs w:val="24"/>
        </w:rPr>
        <w:t>)</w:t>
      </w:r>
      <w:r w:rsidR="001E2632" w:rsidRPr="00D93D74">
        <w:rPr>
          <w:rFonts w:cs="Times New Roman"/>
          <w:szCs w:val="24"/>
        </w:rPr>
        <w:t xml:space="preserve">, largely due to its reduced efficiency in isolating bacteria from phylum </w:t>
      </w:r>
      <w:r w:rsidR="00CE61A7">
        <w:rPr>
          <w:rFonts w:cs="Times New Roman"/>
          <w:i/>
          <w:iCs/>
          <w:szCs w:val="24"/>
        </w:rPr>
        <w:t>Bacteroidota</w:t>
      </w:r>
      <w:r w:rsidR="00EC5F83" w:rsidRPr="00D93D74">
        <w:rPr>
          <w:rFonts w:cs="Times New Roman"/>
          <w:szCs w:val="24"/>
        </w:rPr>
        <w:t xml:space="preserve"> </w:t>
      </w:r>
      <w:r w:rsidR="0062246A" w:rsidRPr="00D93D74">
        <w:rPr>
          <w:rFonts w:cs="Times New Roman"/>
          <w:szCs w:val="24"/>
        </w:rPr>
        <w:t xml:space="preserve">(Figure 3D). </w:t>
      </w:r>
      <w:r w:rsidR="00643FE9" w:rsidRPr="00D93D74">
        <w:rPr>
          <w:rFonts w:cs="Times New Roman"/>
          <w:szCs w:val="24"/>
        </w:rPr>
        <w:t>The r</w:t>
      </w:r>
      <w:r w:rsidR="0062246A" w:rsidRPr="00D93D74">
        <w:rPr>
          <w:rFonts w:cs="Times New Roman"/>
          <w:szCs w:val="24"/>
        </w:rPr>
        <w:t xml:space="preserve">emaining three isolation protocols all </w:t>
      </w:r>
      <w:r w:rsidR="00643FE9" w:rsidRPr="00D93D74">
        <w:rPr>
          <w:rFonts w:cs="Times New Roman"/>
          <w:szCs w:val="24"/>
        </w:rPr>
        <w:t>produced</w:t>
      </w:r>
      <w:r w:rsidR="0062246A" w:rsidRPr="00D93D74">
        <w:rPr>
          <w:rFonts w:cs="Times New Roman"/>
          <w:szCs w:val="24"/>
        </w:rPr>
        <w:t xml:space="preserve"> distinct communities, which however did not significantly differ in alpha diversity metrics. </w:t>
      </w:r>
      <w:r w:rsidR="00695568" w:rsidRPr="00D93D74">
        <w:rPr>
          <w:rFonts w:cs="Times New Roman"/>
          <w:szCs w:val="24"/>
        </w:rPr>
        <w:t xml:space="preserve">Consequently, </w:t>
      </w:r>
      <w:r w:rsidR="0062246A" w:rsidRPr="00D93D74">
        <w:rPr>
          <w:rFonts w:cs="Times New Roman"/>
          <w:szCs w:val="24"/>
        </w:rPr>
        <w:t xml:space="preserve">the </w:t>
      </w:r>
      <w:r w:rsidR="00CD77AB" w:rsidRPr="00D93D74">
        <w:rPr>
          <w:rFonts w:cs="Times New Roman"/>
          <w:szCs w:val="24"/>
        </w:rPr>
        <w:t xml:space="preserve">PowerFecal protocol </w:t>
      </w:r>
      <w:r w:rsidR="00695568" w:rsidRPr="00D93D74">
        <w:rPr>
          <w:rFonts w:cs="Times New Roman"/>
          <w:szCs w:val="24"/>
        </w:rPr>
        <w:t xml:space="preserve">was </w:t>
      </w:r>
      <w:r w:rsidR="0062246A" w:rsidRPr="00D93D74">
        <w:rPr>
          <w:rFonts w:cs="Times New Roman"/>
          <w:szCs w:val="24"/>
        </w:rPr>
        <w:t xml:space="preserve">selected for subsequent analysis </w:t>
      </w:r>
      <w:r w:rsidR="00695568" w:rsidRPr="00D93D74">
        <w:rPr>
          <w:rFonts w:cs="Times New Roman"/>
          <w:szCs w:val="24"/>
        </w:rPr>
        <w:t xml:space="preserve">because </w:t>
      </w:r>
      <w:r w:rsidR="00643FE9" w:rsidRPr="00D93D74">
        <w:rPr>
          <w:rFonts w:cs="Times New Roman"/>
          <w:szCs w:val="24"/>
        </w:rPr>
        <w:t>it provided</w:t>
      </w:r>
      <w:r w:rsidR="00CD77AB" w:rsidRPr="00D93D74">
        <w:rPr>
          <w:rFonts w:cs="Times New Roman"/>
          <w:szCs w:val="24"/>
        </w:rPr>
        <w:t xml:space="preserve"> </w:t>
      </w:r>
      <w:r w:rsidR="00335FC4" w:rsidRPr="00D93D74">
        <w:rPr>
          <w:rFonts w:cs="Times New Roman"/>
          <w:szCs w:val="24"/>
        </w:rPr>
        <w:t xml:space="preserve">the </w:t>
      </w:r>
      <w:r w:rsidR="00CD77AB" w:rsidRPr="00D93D74">
        <w:rPr>
          <w:rFonts w:cs="Times New Roman"/>
          <w:szCs w:val="24"/>
        </w:rPr>
        <w:t>highest DNA yield</w:t>
      </w:r>
      <w:r w:rsidR="0062246A" w:rsidRPr="00D93D74">
        <w:rPr>
          <w:rFonts w:cs="Times New Roman"/>
          <w:szCs w:val="24"/>
        </w:rPr>
        <w:t xml:space="preserve"> and comprehensive bacterial recovery</w:t>
      </w:r>
      <w:r w:rsidR="00695568" w:rsidRPr="00D93D74">
        <w:rPr>
          <w:rFonts w:cs="Times New Roman"/>
          <w:szCs w:val="24"/>
        </w:rPr>
        <w:t>.</w:t>
      </w:r>
    </w:p>
    <w:p w14:paraId="7916B3A2" w14:textId="297436B6" w:rsidR="0062246A" w:rsidRPr="00D93D74" w:rsidRDefault="0062246A" w:rsidP="00CD77AB">
      <w:pPr>
        <w:rPr>
          <w:rFonts w:cs="Times New Roman"/>
          <w:szCs w:val="24"/>
        </w:rPr>
      </w:pPr>
      <w:r w:rsidRPr="00D93D74">
        <w:rPr>
          <w:rFonts w:cs="Times New Roman"/>
          <w:szCs w:val="24"/>
        </w:rPr>
        <w:t xml:space="preserve">These findings </w:t>
      </w:r>
      <w:r w:rsidR="00643FE9" w:rsidRPr="00D93D74">
        <w:rPr>
          <w:rFonts w:cs="Times New Roman"/>
          <w:szCs w:val="24"/>
        </w:rPr>
        <w:t>are consistent</w:t>
      </w:r>
      <w:r w:rsidRPr="00D93D74">
        <w:rPr>
          <w:rFonts w:cs="Times New Roman"/>
          <w:szCs w:val="24"/>
        </w:rPr>
        <w:t xml:space="preserve"> with published evaluations</w:t>
      </w:r>
      <w:r w:rsidR="00643FE9" w:rsidRPr="00D93D74">
        <w:rPr>
          <w:rFonts w:cs="Times New Roman"/>
          <w:szCs w:val="24"/>
        </w:rPr>
        <w:t xml:space="preserve"> reporting</w:t>
      </w:r>
      <w:r w:rsidRPr="00D93D74">
        <w:rPr>
          <w:rFonts w:cs="Times New Roman"/>
          <w:szCs w:val="24"/>
        </w:rPr>
        <w:t xml:space="preserve"> that the PowerFecal kit </w:t>
      </w:r>
      <w:r w:rsidR="00643FE9" w:rsidRPr="00D93D74">
        <w:rPr>
          <w:rFonts w:cs="Times New Roman"/>
          <w:szCs w:val="24"/>
        </w:rPr>
        <w:t>provides</w:t>
      </w:r>
      <w:r w:rsidRPr="00D93D74">
        <w:rPr>
          <w:rFonts w:cs="Times New Roman"/>
          <w:szCs w:val="24"/>
        </w:rPr>
        <w:t xml:space="preserve"> high DNA yields, efficient lysis particularly of Gram-positive bacteria, and recovery of high-quality DNA suitable for microbiome studies </w:t>
      </w:r>
      <w:r w:rsidRPr="00D93D74">
        <w:rPr>
          <w:rFonts w:cs="Times New Roman"/>
          <w:szCs w:val="24"/>
        </w:rPr>
        <w:fldChar w:fldCharType="begin"/>
      </w:r>
      <w:r w:rsidR="001C2A55">
        <w:rPr>
          <w:rFonts w:cs="Times New Roman"/>
          <w:szCs w:val="24"/>
        </w:rPr>
        <w:instrText xml:space="preserve"> ADDIN ZOTERO_ITEM CSL_CITATION {"citationID":"qLWX3dz5","properties":{"formattedCitation":"(Gall-David et al., 2023)","plainCitation":"(Gall-David et al., 2023)","noteIndex":0},"citationItems":[{"id":3187,"uris":["http://zotero.org/users/8873894/items/JHT4AWWT"],"itemData":{"id":3187,"type":"article-journal","abstract":"Aim: The current study investigated the performance of 4 widely used DNA extraction kits using different types of high (stool) and low biomass samples (chyme, broncho alveolar lavage and sputum). Methods: Qiagen Powerfecal Pro DNA kit, Macherey Nucleospin Soil kit, Macherey Nucleospin Tissue Kit and MagnaPure LC DNA isolation kit III were evaluated in terms of DNA quantity, quality, diversity and composition profiles. Results: The quantity and quality of DNA varied among the four kits. The microbiota of the stool samples showed similar diversity and compositional profiles for the 4 kits. Conclusion: Despite differences in DNA quality and quantity, the 4 kits yielded similar results for stool samples, while all kits were not sensitive enough for low biomass samples. DNA extraction is a major factor affecting the microbial profile of various samples. Considering that different kits are commonly used such as QIAamp PowerFecal Pro DNA kit (QPFPD, QIAGEN), Macherey Nucleospin Soil (MNS, MACHEREY-NAGEL) Macherey Nucleospin Tissue (MNT, MACHEREY-NAGEL) and MagnaPure LC DNA isolation kit III (MPLCD, ROCHE), this study aimed to assess their performance using high (feces) and low-biomass samples. The kits were equally effective for feces samples but not sensitive enough for low biomass samples (chyme, bronchoalveolar lavage fluid and sputum).","container-title":"Future Science OA","DOI":"10.2144/fsoa-2022-0072","ISSN":"null","issue":"1","note":"_eprint: https://doi.org/10.2144/fsoa-2022-0072","page":"FSO837","PMID":"37006230","publisher":"Taylor &amp; Francis","source":"Taylor and Francis+NEJM","title":"Comparison of Four DNA Extraction Kits Efficiency for 16SrDNA Microbiota Profiling of Diverse Human Samples","volume":"9","author":[{"family":"Gall-David","given":"Sandrine Le"},{"family":"Boudry","given":"Gaëlle"},{"family":"Buffet-Bataillon","given":"Sylvie"}],"issued":{"date-parts":[["2023",1,1]]}}}],"schema":"https://github.com/citation-style-language/schema/raw/master/csl-citation.json"} </w:instrText>
      </w:r>
      <w:r w:rsidRPr="00D93D74">
        <w:rPr>
          <w:rFonts w:cs="Times New Roman"/>
          <w:szCs w:val="24"/>
        </w:rPr>
        <w:fldChar w:fldCharType="separate"/>
      </w:r>
      <w:r w:rsidRPr="00D93D74">
        <w:rPr>
          <w:rFonts w:cs="Times New Roman"/>
        </w:rPr>
        <w:t>(Gall-David et al., 2023)</w:t>
      </w:r>
      <w:r w:rsidRPr="00D93D74">
        <w:rPr>
          <w:rFonts w:cs="Times New Roman"/>
          <w:szCs w:val="24"/>
        </w:rPr>
        <w:fldChar w:fldCharType="end"/>
      </w:r>
      <w:r w:rsidRPr="00D93D74">
        <w:rPr>
          <w:rFonts w:cs="Times New Roman"/>
          <w:szCs w:val="24"/>
        </w:rPr>
        <w:t>.</w:t>
      </w:r>
    </w:p>
    <w:p w14:paraId="458F1F69" w14:textId="462DA5EF" w:rsidR="00801198" w:rsidRPr="00D93D74" w:rsidRDefault="00BB7F49" w:rsidP="00801198">
      <w:pPr>
        <w:keepNext/>
      </w:pPr>
      <w:r>
        <w:rPr>
          <w:rFonts w:cs="Times New Roman"/>
          <w:noProof/>
          <w:szCs w:val="24"/>
        </w:rPr>
        <w:lastRenderedPageBreak/>
        <w:drawing>
          <wp:inline distT="0" distB="0" distL="0" distR="0" wp14:anchorId="79E6C8EA" wp14:editId="40C40819">
            <wp:extent cx="5939790" cy="4969510"/>
            <wp:effectExtent l="0" t="0" r="3810" b="2540"/>
            <wp:docPr id="1185946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4969510"/>
                    </a:xfrm>
                    <a:prstGeom prst="rect">
                      <a:avLst/>
                    </a:prstGeom>
                    <a:noFill/>
                    <a:ln>
                      <a:noFill/>
                    </a:ln>
                  </pic:spPr>
                </pic:pic>
              </a:graphicData>
            </a:graphic>
          </wp:inline>
        </w:drawing>
      </w:r>
    </w:p>
    <w:p w14:paraId="23F80B6A" w14:textId="6568622D" w:rsidR="00C2620A" w:rsidRPr="00D93D74" w:rsidRDefault="00801198" w:rsidP="00801198">
      <w:pPr>
        <w:pStyle w:val="Napis"/>
        <w:rPr>
          <w:b w:val="0"/>
          <w:bCs/>
        </w:rPr>
      </w:pPr>
      <w:bookmarkStart w:id="469" w:name="_Hlk219364750"/>
      <w:bookmarkStart w:id="470" w:name="_Toc216101617"/>
      <w:r w:rsidRPr="00D93D74">
        <w:t xml:space="preserve">Figure </w:t>
      </w:r>
      <w:r w:rsidRPr="00D93D74">
        <w:fldChar w:fldCharType="begin"/>
      </w:r>
      <w:r w:rsidRPr="00D93D74">
        <w:instrText xml:space="preserve"> SEQ Figure \* ARABIC </w:instrText>
      </w:r>
      <w:r w:rsidRPr="00D93D74">
        <w:fldChar w:fldCharType="separate"/>
      </w:r>
      <w:r w:rsidR="00610A40">
        <w:rPr>
          <w:noProof/>
        </w:rPr>
        <w:t>3</w:t>
      </w:r>
      <w:r w:rsidRPr="00D93D74">
        <w:fldChar w:fldCharType="end"/>
      </w:r>
      <w:r w:rsidRPr="00D93D74">
        <w:t xml:space="preserve">. Comparison of DNA concentration, alpha and beta diversity, and the number of unique OTUs </w:t>
      </w:r>
      <w:r w:rsidR="00CE61A7">
        <w:t xml:space="preserve">recovered </w:t>
      </w:r>
      <w:r w:rsidRPr="00D93D74">
        <w:t>from three human stool samples using four different DNA isolation protocols.</w:t>
      </w:r>
      <w:bookmarkStart w:id="471" w:name="_Toc184220363"/>
      <w:r w:rsidRPr="00D93D74">
        <w:t xml:space="preserve"> </w:t>
      </w:r>
      <w:bookmarkEnd w:id="469"/>
      <w:r w:rsidR="00643FE9" w:rsidRPr="00D93D74">
        <w:rPr>
          <w:b w:val="0"/>
          <w:bCs/>
        </w:rPr>
        <w:t>A) DNA concentrations [ng/µl] after isolation, measured with the Quant-iT™ PicoGreen™ dsDNA Assay and dsDNA Reagents (Invitrogen™</w:t>
      </w:r>
      <w:r w:rsidR="00571F06" w:rsidRPr="00D93D74">
        <w:rPr>
          <w:b w:val="0"/>
          <w:bCs/>
        </w:rPr>
        <w:t>, USA</w:t>
      </w:r>
      <w:r w:rsidR="00643FE9" w:rsidRPr="00D93D74">
        <w:rPr>
          <w:b w:val="0"/>
          <w:bCs/>
        </w:rPr>
        <w:t>)</w:t>
      </w:r>
      <w:r w:rsidR="00571F06" w:rsidRPr="00D93D74">
        <w:rPr>
          <w:b w:val="0"/>
          <w:bCs/>
        </w:rPr>
        <w:t>, with p</w:t>
      </w:r>
      <w:r w:rsidR="00643FE9" w:rsidRPr="00D93D74">
        <w:rPr>
          <w:b w:val="0"/>
          <w:bCs/>
        </w:rPr>
        <w:t xml:space="preserve">-values above the connecting boxplots from paired t-tests. B) Non-metric multidimensional scaling (NMDS) ordination based on Bray–Curtis distances, with permutational multivariate analysis of variance used to assess differences between </w:t>
      </w:r>
      <w:r w:rsidR="00CE61A7">
        <w:rPr>
          <w:b w:val="0"/>
          <w:bCs/>
        </w:rPr>
        <w:t>protocols</w:t>
      </w:r>
      <w:r w:rsidR="00643FE9" w:rsidRPr="00D93D74">
        <w:rPr>
          <w:b w:val="0"/>
          <w:bCs/>
        </w:rPr>
        <w:t xml:space="preserve"> (PERMANOVA). C) Shannon</w:t>
      </w:r>
      <w:r w:rsidR="00CE61A7">
        <w:rPr>
          <w:b w:val="0"/>
          <w:bCs/>
        </w:rPr>
        <w:t>’s diversity</w:t>
      </w:r>
      <w:r w:rsidR="00643FE9" w:rsidRPr="00D93D74">
        <w:rPr>
          <w:b w:val="0"/>
          <w:bCs/>
        </w:rPr>
        <w:t xml:space="preserve"> index, with p-values above the connecting boxplots from paired t-tests. D) Number of </w:t>
      </w:r>
      <w:r w:rsidR="00571F06" w:rsidRPr="00D93D74">
        <w:rPr>
          <w:b w:val="0"/>
          <w:bCs/>
        </w:rPr>
        <w:t xml:space="preserve">unique </w:t>
      </w:r>
      <w:r w:rsidR="00643FE9" w:rsidRPr="00D93D74">
        <w:rPr>
          <w:b w:val="0"/>
          <w:bCs/>
        </w:rPr>
        <w:t xml:space="preserve">OTUs in each bacterial phylum across samples for each DNA isolation protocol, </w:t>
      </w:r>
      <w:r w:rsidR="00571F06" w:rsidRPr="00D93D74">
        <w:rPr>
          <w:b w:val="0"/>
          <w:bCs/>
        </w:rPr>
        <w:t>concatenating</w:t>
      </w:r>
      <w:r w:rsidR="00643FE9" w:rsidRPr="00D93D74">
        <w:rPr>
          <w:b w:val="0"/>
          <w:bCs/>
        </w:rPr>
        <w:t xml:space="preserve"> phyla with fewer than 5 OTUs</w:t>
      </w:r>
      <w:r w:rsidR="00571F06" w:rsidRPr="00D93D74">
        <w:rPr>
          <w:b w:val="0"/>
          <w:bCs/>
        </w:rPr>
        <w:t xml:space="preserve"> into one group (&lt; 5 OTUs)</w:t>
      </w:r>
      <w:r w:rsidR="00643FE9" w:rsidRPr="00D93D74">
        <w:rPr>
          <w:b w:val="0"/>
          <w:bCs/>
        </w:rPr>
        <w:t>. Legend: FastDNA: QIAamp Fast DNA Stool Mini Kit; NucleoSpin: NucleoSpin Soil Mini Kit, PowerFecal: QIAamp PowerFecal Pro DNA Kit; DNAeasy: in-house protocol based on the DNeasy Blood &amp; Tissue protocol.</w:t>
      </w:r>
      <w:bookmarkEnd w:id="470"/>
    </w:p>
    <w:p w14:paraId="34E966E5" w14:textId="6D05CC89" w:rsidR="00801198" w:rsidRPr="00D93D74" w:rsidRDefault="00801198">
      <w:pPr>
        <w:spacing w:line="259" w:lineRule="auto"/>
        <w:jc w:val="left"/>
      </w:pPr>
      <w:r w:rsidRPr="00D93D74">
        <w:br w:type="page"/>
      </w:r>
    </w:p>
    <w:p w14:paraId="7E8114A3" w14:textId="11556A9B" w:rsidR="0002799D" w:rsidRPr="00D93D74" w:rsidRDefault="00EE3CC9">
      <w:pPr>
        <w:pStyle w:val="Naslov2"/>
        <w:numPr>
          <w:ilvl w:val="1"/>
          <w:numId w:val="3"/>
        </w:numPr>
      </w:pPr>
      <w:bookmarkStart w:id="472" w:name="_Hlk184885377"/>
      <w:bookmarkStart w:id="473" w:name="_Toc216099746"/>
      <w:bookmarkStart w:id="474" w:name="_Toc220932869"/>
      <w:bookmarkStart w:id="475" w:name="_Toc228252038"/>
      <w:bookmarkEnd w:id="471"/>
      <w:r w:rsidRPr="00D93D74">
        <w:lastRenderedPageBreak/>
        <w:t xml:space="preserve">OPTIMIZATION OF </w:t>
      </w:r>
      <w:r w:rsidR="006C2546">
        <w:t xml:space="preserve">REMOVAL OF VEGETATIVE CELLS AND THEIR DNA FROM </w:t>
      </w:r>
      <w:r w:rsidRPr="00D93D74">
        <w:t>STOOL SAMPLE</w:t>
      </w:r>
      <w:bookmarkEnd w:id="472"/>
      <w:r w:rsidRPr="00D93D74">
        <w:t>S</w:t>
      </w:r>
      <w:bookmarkEnd w:id="473"/>
      <w:bookmarkEnd w:id="474"/>
      <w:bookmarkEnd w:id="475"/>
    </w:p>
    <w:p w14:paraId="2360B20B" w14:textId="39D8FBC2" w:rsidR="004A20A8" w:rsidRPr="00D93D74" w:rsidRDefault="00C50FA4" w:rsidP="00643FE9">
      <w:r w:rsidRPr="00D93D74">
        <w:t xml:space="preserve">The experiment included two stool samples, each treated in duplicate with either ethanol shock using 70% ethanol for 24 hours or heat shock at 80 °C for 30 minutes (selected based on previous experiments, see Supplement Text 1). Free DNA and DNA in </w:t>
      </w:r>
      <w:r w:rsidR="00661A5E">
        <w:t>damaged</w:t>
      </w:r>
      <w:r w:rsidRPr="00D93D74">
        <w:t xml:space="preserve"> cells</w:t>
      </w:r>
      <w:r w:rsidR="00661A5E">
        <w:t xml:space="preserve"> from either ethanol or heat shock,</w:t>
      </w:r>
      <w:r w:rsidRPr="00D93D74">
        <w:t xml:space="preserve"> were subsequently removed by ethidium bromide monoazide (EMA) treatment with illumination times</w:t>
      </w:r>
      <w:r w:rsidR="00C62B09" w:rsidRPr="00D93D74">
        <w:t xml:space="preserve"> of 5, 10, or 15 minutes</w:t>
      </w:r>
      <w:r w:rsidRPr="00D93D74">
        <w:t>. Negative controls included a water sample treated alongside the stool</w:t>
      </w:r>
      <w:r w:rsidR="00643FE9" w:rsidRPr="00D93D74">
        <w:t xml:space="preserve"> samples</w:t>
      </w:r>
      <w:r w:rsidRPr="00D93D74">
        <w:t xml:space="preserve">, </w:t>
      </w:r>
      <w:r w:rsidR="00C62B09" w:rsidRPr="00D93D74">
        <w:t xml:space="preserve">which was </w:t>
      </w:r>
      <w:r w:rsidRPr="00D93D74">
        <w:t xml:space="preserve">not sequenced due to low DNA concentration. </w:t>
      </w:r>
      <w:r w:rsidR="00C62B09" w:rsidRPr="00D93D74">
        <w:t>Additional controls comprised an untreated stool sample</w:t>
      </w:r>
      <w:r w:rsidR="004A20A8" w:rsidRPr="00D93D74">
        <w:t>, used to assess the fraction of the community removed by shock,</w:t>
      </w:r>
      <w:r w:rsidR="00C62B09" w:rsidRPr="00D93D74">
        <w:t xml:space="preserve"> </w:t>
      </w:r>
      <w:r w:rsidR="00661A5E">
        <w:t>or/and</w:t>
      </w:r>
      <w:r w:rsidR="004A20A8" w:rsidRPr="00D93D74">
        <w:t xml:space="preserve"> ethanol- and heat-shocked samples washed only with </w:t>
      </w:r>
      <w:r w:rsidR="007B5A5E" w:rsidRPr="00D93D74">
        <w:t>nuclease-free</w:t>
      </w:r>
      <w:r w:rsidR="004A20A8" w:rsidRPr="00D93D74">
        <w:t xml:space="preserve"> water (without EMA),</w:t>
      </w:r>
      <w:r w:rsidR="00C62B09" w:rsidRPr="00D93D74">
        <w:t xml:space="preserve"> as EMA-efficiency contro</w:t>
      </w:r>
      <w:r w:rsidR="004A20A8" w:rsidRPr="00D93D74">
        <w:t>ls</w:t>
      </w:r>
      <w:r w:rsidR="00C62B09" w:rsidRPr="00D93D74">
        <w:t xml:space="preserve">. </w:t>
      </w:r>
    </w:p>
    <w:p w14:paraId="58C9DF89" w14:textId="6089125A" w:rsidR="004A20A8" w:rsidRPr="00D93D74" w:rsidRDefault="004A20A8" w:rsidP="00643FE9">
      <w:r w:rsidRPr="00D93D74">
        <w:t xml:space="preserve">Removal efficiency of non-spore-forming bacteria was evaluated using amplicon sequencing, focusing on </w:t>
      </w:r>
      <w:r w:rsidR="00661A5E">
        <w:t>taxa</w:t>
      </w:r>
      <w:r w:rsidRPr="00D93D74">
        <w:t xml:space="preserve"> </w:t>
      </w:r>
      <w:r w:rsidR="00C62B09" w:rsidRPr="00D93D74">
        <w:t xml:space="preserve">known </w:t>
      </w:r>
      <w:r w:rsidRPr="00D93D74">
        <w:t xml:space="preserve">to form </w:t>
      </w:r>
      <w:r w:rsidR="00C62B09" w:rsidRPr="00D93D74">
        <w:t>spore</w:t>
      </w:r>
      <w:r w:rsidRPr="00D93D74">
        <w:t>s</w:t>
      </w:r>
      <w:r w:rsidR="00C62B09" w:rsidRPr="00D93D74">
        <w:t xml:space="preserve"> </w:t>
      </w:r>
      <w:r w:rsidRPr="00D93D74">
        <w:t>according to</w:t>
      </w:r>
      <w:r w:rsidR="00C62B09" w:rsidRPr="00D93D74">
        <w:t xml:space="preserve"> the literature</w:t>
      </w:r>
      <w:r w:rsidR="00571F06" w:rsidRPr="00D93D74">
        <w:t xml:space="preserve"> (Figure 4)</w:t>
      </w:r>
      <w:r w:rsidR="00C62B09" w:rsidRPr="00D93D74">
        <w:t xml:space="preserve">. </w:t>
      </w:r>
      <w:r w:rsidR="00571F06" w:rsidRPr="00D93D74">
        <w:t xml:space="preserve">Number of unique OTUs for each of the most abundant </w:t>
      </w:r>
      <w:r w:rsidR="00C62B09" w:rsidRPr="00D93D74">
        <w:t>bacterial phyla were calculated across biological replicates for each treatment and compared</w:t>
      </w:r>
      <w:r w:rsidRPr="00D93D74">
        <w:t xml:space="preserve"> with</w:t>
      </w:r>
      <w:r w:rsidR="00C62B09" w:rsidRPr="00D93D74">
        <w:t xml:space="preserve"> the untreated stool sample</w:t>
      </w:r>
      <w:r w:rsidRPr="00D93D74">
        <w:t xml:space="preserve"> and the</w:t>
      </w:r>
      <w:r w:rsidR="00C62B09" w:rsidRPr="00D93D74">
        <w:t xml:space="preserve"> EMA-efficiency control</w:t>
      </w:r>
      <w:r w:rsidRPr="00D93D74">
        <w:t>s</w:t>
      </w:r>
      <w:r w:rsidR="00C62B09" w:rsidRPr="00D93D74">
        <w:t xml:space="preserve">. </w:t>
      </w:r>
      <w:r w:rsidR="00C50FA4" w:rsidRPr="00D93D74">
        <w:t xml:space="preserve">Both ethanol shock and heat shock enriched </w:t>
      </w:r>
      <w:r w:rsidR="00571F06" w:rsidRPr="00D93D74">
        <w:t xml:space="preserve">for </w:t>
      </w:r>
      <w:r w:rsidR="00C50FA4" w:rsidRPr="00D93D74">
        <w:t xml:space="preserve">OTUs </w:t>
      </w:r>
      <w:r w:rsidRPr="00D93D74">
        <w:t xml:space="preserve">belonging to the </w:t>
      </w:r>
      <w:r w:rsidR="00C50FA4" w:rsidRPr="00D93D74">
        <w:t xml:space="preserve">phylum </w:t>
      </w:r>
      <w:r w:rsidR="00C50FA4" w:rsidRPr="00D93D74">
        <w:rPr>
          <w:i/>
          <w:iCs/>
        </w:rPr>
        <w:t>Bacillota</w:t>
      </w:r>
      <w:r w:rsidR="00C50FA4" w:rsidRPr="00D93D74">
        <w:t xml:space="preserve"> and reduced the </w:t>
      </w:r>
      <w:r w:rsidRPr="00D93D74">
        <w:t xml:space="preserve">number </w:t>
      </w:r>
      <w:r w:rsidR="00C50FA4" w:rsidRPr="00D93D74">
        <w:t xml:space="preserve">of </w:t>
      </w:r>
      <w:r w:rsidRPr="00D93D74">
        <w:t xml:space="preserve">OTUs from </w:t>
      </w:r>
      <w:r w:rsidR="00C50FA4" w:rsidRPr="00D93D74">
        <w:t xml:space="preserve">other phyla compared to the original stool sample and </w:t>
      </w:r>
      <w:r w:rsidR="00695568" w:rsidRPr="00D93D74">
        <w:t>EMA-efficiency controls</w:t>
      </w:r>
      <w:r w:rsidR="00C50FA4" w:rsidRPr="00D93D74">
        <w:t xml:space="preserve">. The 15-minute </w:t>
      </w:r>
      <w:r w:rsidRPr="00D93D74">
        <w:t xml:space="preserve">EMA </w:t>
      </w:r>
      <w:r w:rsidR="00C50FA4" w:rsidRPr="00D93D74">
        <w:t>illumination</w:t>
      </w:r>
      <w:r w:rsidRPr="00D93D74">
        <w:t xml:space="preserve"> </w:t>
      </w:r>
      <w:r w:rsidR="00571F06" w:rsidRPr="00D93D74">
        <w:t>resulted in</w:t>
      </w:r>
      <w:r w:rsidRPr="00D93D74">
        <w:t xml:space="preserve"> the strongest depletion of non-spore-forming </w:t>
      </w:r>
      <w:r w:rsidR="00571F06" w:rsidRPr="00D93D74">
        <w:t>phyla but</w:t>
      </w:r>
      <w:r w:rsidRPr="00D93D74">
        <w:t xml:space="preserve"> </w:t>
      </w:r>
      <w:r w:rsidR="00571F06" w:rsidRPr="00D93D74">
        <w:t xml:space="preserve">had </w:t>
      </w:r>
      <w:r w:rsidRPr="00D93D74">
        <w:t>a low success rate of DNA isolation</w:t>
      </w:r>
      <w:r w:rsidR="00571F06" w:rsidRPr="00D93D74">
        <w:t xml:space="preserve">. Only 5 out of 16 samples had DNA of sufficient concentration and quality for </w:t>
      </w:r>
      <w:r w:rsidR="005330D0" w:rsidRPr="00D93D74">
        <w:t>sequencing</w:t>
      </w:r>
      <w:r w:rsidR="00571F06" w:rsidRPr="00D93D74">
        <w:t xml:space="preserve">, compared to </w:t>
      </w:r>
      <w:r w:rsidRPr="00D93D74">
        <w:t xml:space="preserve">5 minutes (14/16) and 10 minutes (8/16). </w:t>
      </w:r>
      <w:r w:rsidR="00C50FA4" w:rsidRPr="00D93D74">
        <w:t xml:space="preserve"> </w:t>
      </w:r>
    </w:p>
    <w:p w14:paraId="5BE0251E" w14:textId="77777777" w:rsidR="00801198" w:rsidRPr="00D93D74" w:rsidRDefault="00C50FA4" w:rsidP="00CD77AB">
      <w:r w:rsidRPr="00D93D74">
        <w:t xml:space="preserve">For isolation of DNA from spores in human stool samples, </w:t>
      </w:r>
      <w:r w:rsidR="004A20A8" w:rsidRPr="00D93D74">
        <w:t xml:space="preserve">ethanol shock combined with EMA treatment and 10-minute illumination was selected as the optimal compromise between selectivity and sequencing success rate. </w:t>
      </w:r>
    </w:p>
    <w:p w14:paraId="07E17AA7" w14:textId="5E0C0524" w:rsidR="00801198" w:rsidRPr="00D93D74" w:rsidRDefault="00BB7F49" w:rsidP="00801198">
      <w:pPr>
        <w:keepNext/>
      </w:pPr>
      <w:r>
        <w:rPr>
          <w:rFonts w:cs="Times New Roman"/>
          <w:noProof/>
          <w:szCs w:val="24"/>
        </w:rPr>
        <w:lastRenderedPageBreak/>
        <w:drawing>
          <wp:inline distT="0" distB="0" distL="0" distR="0" wp14:anchorId="139CEAB9" wp14:editId="086FB6CA">
            <wp:extent cx="5939790" cy="4548146"/>
            <wp:effectExtent l="0" t="0" r="3810" b="5080"/>
            <wp:docPr id="76101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7438"/>
                    <a:stretch>
                      <a:fillRect/>
                    </a:stretch>
                  </pic:blipFill>
                  <pic:spPr bwMode="auto">
                    <a:xfrm>
                      <a:off x="0" y="0"/>
                      <a:ext cx="5939790" cy="4548146"/>
                    </a:xfrm>
                    <a:prstGeom prst="rect">
                      <a:avLst/>
                    </a:prstGeom>
                    <a:noFill/>
                    <a:ln>
                      <a:noFill/>
                    </a:ln>
                    <a:extLst>
                      <a:ext uri="{53640926-AAD7-44D8-BBD7-CCE9431645EC}">
                        <a14:shadowObscured xmlns:a14="http://schemas.microsoft.com/office/drawing/2010/main"/>
                      </a:ext>
                    </a:extLst>
                  </pic:spPr>
                </pic:pic>
              </a:graphicData>
            </a:graphic>
          </wp:inline>
        </w:drawing>
      </w:r>
    </w:p>
    <w:p w14:paraId="074B9F2C" w14:textId="3DE21568" w:rsidR="00D2438A" w:rsidRPr="00D93D74" w:rsidRDefault="00801198" w:rsidP="00801198">
      <w:pPr>
        <w:pStyle w:val="Napis"/>
        <w:rPr>
          <w:b w:val="0"/>
          <w:bCs/>
          <w:szCs w:val="22"/>
        </w:rPr>
      </w:pPr>
      <w:bookmarkStart w:id="476" w:name="_Toc216101618"/>
      <w:r w:rsidRPr="00D93D74">
        <w:t xml:space="preserve">Figure </w:t>
      </w:r>
      <w:r w:rsidRPr="00D93D74">
        <w:fldChar w:fldCharType="begin"/>
      </w:r>
      <w:r w:rsidRPr="00D93D74">
        <w:instrText xml:space="preserve"> SEQ Figure \* ARABIC </w:instrText>
      </w:r>
      <w:r w:rsidRPr="00D93D74">
        <w:fldChar w:fldCharType="separate"/>
      </w:r>
      <w:r w:rsidR="00610A40">
        <w:rPr>
          <w:noProof/>
        </w:rPr>
        <w:t>4</w:t>
      </w:r>
      <w:r w:rsidRPr="00D93D74">
        <w:fldChar w:fldCharType="end"/>
      </w:r>
      <w:r w:rsidRPr="00D93D74">
        <w:t xml:space="preserve">. Efficiency of lysis and subsequent removal of free DNA and DNA in lysed cells by EMA treatment after heat or ethanol shock. </w:t>
      </w:r>
      <w:r w:rsidR="00571F06" w:rsidRPr="00D93D74">
        <w:rPr>
          <w:b w:val="0"/>
          <w:bCs/>
        </w:rPr>
        <w:t>Each plot represents</w:t>
      </w:r>
      <w:r w:rsidR="00571F06" w:rsidRPr="00D93D74">
        <w:t xml:space="preserve"> </w:t>
      </w:r>
      <w:r w:rsidR="00571F06" w:rsidRPr="00D93D74">
        <w:rPr>
          <w:b w:val="0"/>
          <w:bCs/>
        </w:rPr>
        <w:t xml:space="preserve">one of the most abundant phyla in stool samples. </w:t>
      </w:r>
      <w:r w:rsidR="00643FE9" w:rsidRPr="00D93D74">
        <w:rPr>
          <w:b w:val="0"/>
          <w:bCs/>
        </w:rPr>
        <w:t>Number of OTUs</w:t>
      </w:r>
      <w:r w:rsidR="00571F06" w:rsidRPr="00D93D74">
        <w:rPr>
          <w:b w:val="0"/>
          <w:bCs/>
        </w:rPr>
        <w:t xml:space="preserve"> is represented on the y-axis</w:t>
      </w:r>
      <w:r w:rsidR="00BC2437" w:rsidRPr="00D93D74">
        <w:rPr>
          <w:b w:val="0"/>
          <w:bCs/>
        </w:rPr>
        <w:t>. The boxplots are colour-coded by</w:t>
      </w:r>
      <w:r w:rsidR="00643FE9" w:rsidRPr="00D93D74">
        <w:rPr>
          <w:b w:val="0"/>
          <w:bCs/>
        </w:rPr>
        <w:t xml:space="preserve"> non-treated stool (blue), stool samples treated with ethanol shock (red), or heat shock (green), with different illumination times after EMA treatment (only water, 5 min, 10 min, and 15 min).</w:t>
      </w:r>
      <w:bookmarkEnd w:id="476"/>
      <w:r w:rsidR="00643FE9" w:rsidRPr="00D93D74">
        <w:rPr>
          <w:b w:val="0"/>
          <w:bCs/>
        </w:rPr>
        <w:t xml:space="preserve"> </w:t>
      </w:r>
    </w:p>
    <w:p w14:paraId="01D7A073" w14:textId="0512F14F" w:rsidR="00BC2437" w:rsidRPr="00D93D74" w:rsidRDefault="00BC2437">
      <w:pPr>
        <w:spacing w:line="259" w:lineRule="auto"/>
        <w:jc w:val="left"/>
      </w:pPr>
      <w:r w:rsidRPr="00D93D74">
        <w:br w:type="page"/>
      </w:r>
    </w:p>
    <w:p w14:paraId="1C122AE1" w14:textId="0759C682" w:rsidR="0052596E" w:rsidRPr="00D93D74" w:rsidRDefault="001E1E8D">
      <w:pPr>
        <w:pStyle w:val="Naslov2"/>
        <w:numPr>
          <w:ilvl w:val="1"/>
          <w:numId w:val="3"/>
        </w:numPr>
      </w:pPr>
      <w:bookmarkStart w:id="477" w:name="_Toc216099747"/>
      <w:bookmarkStart w:id="478" w:name="_Toc220932870"/>
      <w:bookmarkStart w:id="479" w:name="_Toc228252039"/>
      <w:r w:rsidRPr="00D93D74">
        <w:lastRenderedPageBreak/>
        <w:t>DESCRIPTION AND COMPARISON OF THE TEMPORAL STABILITY OF THE GUT MICROBIOTA AND SPOROBIOTA IN HEALTHY INDIVIDUALS</w:t>
      </w:r>
      <w:bookmarkEnd w:id="477"/>
      <w:bookmarkEnd w:id="478"/>
      <w:bookmarkEnd w:id="479"/>
    </w:p>
    <w:p w14:paraId="14827DDD" w14:textId="7C45F395" w:rsidR="0054400D" w:rsidRPr="00D93D74" w:rsidRDefault="0054400D" w:rsidP="0054400D">
      <w:r w:rsidRPr="00D93D74">
        <w:t>The population consisted of nine healthy adult males (</w:t>
      </w:r>
      <w:r w:rsidR="00661A5E">
        <w:t xml:space="preserve">anonymized with letters </w:t>
      </w:r>
      <w:r w:rsidRPr="00D93D74">
        <w:t>A to I), with a BMI between 18 and 33. All except one individual followed an omnivorous diet (participant I followed a lactose-free omnivorous diet). All participants reported regular digestion, with Bristol stool types ranging from 2 to 4. The use of regular food supplements varies, including omega-3 (A, I), protein powder (C, D, G), and probiotic yoghurt (D). Only participant I consistently consumed probiotics (Vivomox, EkoŠkrnicl Unibiotic Strong)</w:t>
      </w:r>
      <w:r w:rsidR="00661A5E">
        <w:t xml:space="preserve"> (Supplement Table 2)</w:t>
      </w:r>
      <w:r w:rsidRPr="00D93D74">
        <w:t>. Others reported probiotic supplementation overlapping with antibiotic use, travel, or food poisoning. Participants E and H consumed antibiotics during the study, doxycycline and amoxicillin, respectively. Participants reported only travel longer than three days outside their country of residence. Most reported visits were to other European countries: Croatia (A, B, F, G, H), the UK (C), Switzerland and the Netherlands (D). However, one individual (B) also travelled to Tanzania and Kenya during the study</w:t>
      </w:r>
      <w:r w:rsidR="00661A5E">
        <w:t xml:space="preserve"> (Supplement Table 1)</w:t>
      </w:r>
      <w:r w:rsidRPr="00D93D74">
        <w:t>.</w:t>
      </w:r>
    </w:p>
    <w:p w14:paraId="21902791" w14:textId="77777777" w:rsidR="0054400D" w:rsidRPr="00D93D74" w:rsidRDefault="0054400D" w:rsidP="0054400D"/>
    <w:p w14:paraId="3A31C6D4" w14:textId="5F98D80B" w:rsidR="0054400D" w:rsidRPr="00D93D74" w:rsidRDefault="0054400D">
      <w:pPr>
        <w:pStyle w:val="Naslov3"/>
        <w:numPr>
          <w:ilvl w:val="2"/>
          <w:numId w:val="3"/>
        </w:numPr>
      </w:pPr>
      <w:bookmarkStart w:id="480" w:name="_Toc228252040"/>
      <w:r w:rsidRPr="00D93D74">
        <w:t>Comparison of 16S amplicon and metagenomic sequencing approaches</w:t>
      </w:r>
      <w:bookmarkEnd w:id="480"/>
    </w:p>
    <w:p w14:paraId="450AFBCE" w14:textId="330829E0" w:rsidR="0054400D" w:rsidRPr="00D93D74" w:rsidRDefault="0054400D" w:rsidP="0054400D">
      <w:r w:rsidRPr="00D93D74">
        <w:t>We obtained at least 12 stool samples (ranging 12 to 14) from each participant over a six-month period, obtaining 117 samples all together</w:t>
      </w:r>
      <w:del w:id="481" w:author="Urša Miklavčič [2]" w:date="2026-04-21T13:20:00Z" w16du:dateUtc="2026-04-21T11:20:00Z">
        <w:r w:rsidR="00104BF2" w:rsidDel="00554FAF">
          <w:delText xml:space="preserve"> (Supplement Table 1)</w:delText>
        </w:r>
      </w:del>
      <w:r w:rsidRPr="00D93D74">
        <w:t xml:space="preserve">. DNA was isolated from untreated and ethanol treated stool samples. Of all 234 samples (117 untreated and 117 ethanol treated samples) we successfully sequenced 201 samples using metagenomic sequencing and 230 samples using 16S amplicon sequencing (16S AS). </w:t>
      </w:r>
    </w:p>
    <w:p w14:paraId="516AD64A" w14:textId="0EDBE4EC" w:rsidR="0054400D" w:rsidRPr="00D93D74" w:rsidRDefault="0054400D" w:rsidP="0054400D">
      <w:r w:rsidRPr="00D93D74">
        <w:t xml:space="preserve">Using MetaPhlAn4.1 we detected marker genes for 1027 bacterial species across all metagenomic samples. Of these, 527 were assigned to a named NCBI species, while the remainder (n = 500) were classified </w:t>
      </w:r>
      <w:r w:rsidR="00104BF2">
        <w:t>at higher taxonomic</w:t>
      </w:r>
      <w:r w:rsidRPr="00D93D74">
        <w:t xml:space="preserve"> level. In 16S AS data, 2572 OTUs were detected across all samples. 16S amplicon sequencing detected more OTUs than sequencing species in untreated stool samples. </w:t>
      </w:r>
      <w:r w:rsidR="00104BF2" w:rsidRPr="00104BF2">
        <w:t>The combined use of 16S AS and metagenomic sequencing enabled comprehensive analysis of both community composition and longitudinal dynamics, with the 16S AS approach providing higher sensitivity for low-abundance taxa and metagenomic data supporting improved taxonomic resolution and inference of sporulation ability (</w:t>
      </w:r>
      <w:r w:rsidR="00104BF2">
        <w:t>Supplement Figure 9</w:t>
      </w:r>
      <w:r w:rsidR="00104BF2" w:rsidRPr="00104BF2">
        <w:t>).</w:t>
      </w:r>
    </w:p>
    <w:p w14:paraId="3435C247" w14:textId="66BD792A" w:rsidR="00104BF2" w:rsidRDefault="00104BF2" w:rsidP="0054400D">
      <w:r w:rsidRPr="00104BF2">
        <w:t xml:space="preserve">Community richness and evenness for both OTU-level (16S AS) and species-level (metagenomic) data revealed highly synchronized and stable within-individual temporal patterns (Figure </w:t>
      </w:r>
      <w:r>
        <w:t>5</w:t>
      </w:r>
      <w:r w:rsidRPr="00104BF2">
        <w:t xml:space="preserve">, repeated-measures correlation p &lt; 0.001 for both). </w:t>
      </w:r>
      <w:r w:rsidR="0054400D" w:rsidRPr="00D93D74">
        <w:t>Longitudinal trajectories varied substantially between individuals, with some participants maintaining relatively monotonic trajectories (A, B, C, F), and others experiencing large</w:t>
      </w:r>
      <w:r>
        <w:t>r</w:t>
      </w:r>
      <w:r w:rsidR="0054400D" w:rsidRPr="00D93D74">
        <w:t xml:space="preserve"> shifts (D, E, G, H). </w:t>
      </w:r>
      <w:r>
        <w:t xml:space="preserve">Antibiotic treatment in both participant E and H could be linked to reduced bacterial diversity. Many individuals travelled during the study, not all events could be connected to a reduction in bacterial diversity, as sometimes it </w:t>
      </w:r>
      <w:r w:rsidR="00293187">
        <w:t>led</w:t>
      </w:r>
      <w:r>
        <w:t xml:space="preserve"> to increase in bacterial richness</w:t>
      </w:r>
      <w:r w:rsidR="00293187">
        <w:t xml:space="preserve"> (A) and a reduction in evenness (D). The number of reported pre-defined events was too small for significant correlations and are thus reported as observational. </w:t>
      </w:r>
    </w:p>
    <w:p w14:paraId="52790A2E" w14:textId="07B90471" w:rsidR="0054400D" w:rsidRPr="00D93D74" w:rsidRDefault="00DF434D" w:rsidP="0054400D">
      <w:r>
        <w:rPr>
          <w:noProof/>
        </w:rPr>
        <w:lastRenderedPageBreak/>
        <w:drawing>
          <wp:inline distT="0" distB="0" distL="0" distR="0" wp14:anchorId="48A8AF8D" wp14:editId="5429AA39">
            <wp:extent cx="5939790" cy="6750685"/>
            <wp:effectExtent l="0" t="0" r="3810" b="0"/>
            <wp:docPr id="15099286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790" cy="6750685"/>
                    </a:xfrm>
                    <a:prstGeom prst="rect">
                      <a:avLst/>
                    </a:prstGeom>
                    <a:noFill/>
                    <a:ln>
                      <a:noFill/>
                    </a:ln>
                  </pic:spPr>
                </pic:pic>
              </a:graphicData>
            </a:graphic>
          </wp:inline>
        </w:drawing>
      </w:r>
      <w:commentRangeStart w:id="482"/>
      <w:commentRangeEnd w:id="482"/>
      <w:r w:rsidR="0034031C" w:rsidRPr="00D93D74">
        <w:rPr>
          <w:rStyle w:val="Pripombasklic"/>
          <w:sz w:val="24"/>
          <w:szCs w:val="22"/>
        </w:rPr>
        <w:commentReference w:id="482"/>
      </w:r>
    </w:p>
    <w:p w14:paraId="31A236FD" w14:textId="2C72493E" w:rsidR="0054400D" w:rsidRPr="00293187" w:rsidRDefault="0054400D" w:rsidP="00293187">
      <w:pPr>
        <w:pStyle w:val="FigureTable"/>
        <w:rPr>
          <w:bCs w:val="0"/>
        </w:rPr>
      </w:pPr>
      <w:r w:rsidRPr="00293187">
        <w:rPr>
          <w:b/>
          <w:bCs w:val="0"/>
        </w:rPr>
        <w:t>Figure 5. Richness and evenness based on OTU-</w:t>
      </w:r>
      <w:ins w:id="483" w:author="Urša Miklavčič [2]" w:date="2026-04-17T16:03:00Z" w16du:dateUtc="2026-04-17T14:03:00Z">
        <w:r w:rsidR="00BA6345">
          <w:rPr>
            <w:b/>
            <w:bCs w:val="0"/>
          </w:rPr>
          <w:t xml:space="preserve"> (16S AS)</w:t>
        </w:r>
      </w:ins>
      <w:r w:rsidRPr="00293187">
        <w:rPr>
          <w:b/>
          <w:bCs w:val="0"/>
        </w:rPr>
        <w:t xml:space="preserve"> and species-level </w:t>
      </w:r>
      <w:ins w:id="484" w:author="Urša Miklavčič [2]" w:date="2026-04-17T16:03:00Z" w16du:dateUtc="2026-04-17T14:03:00Z">
        <w:r w:rsidR="00BA6345">
          <w:rPr>
            <w:b/>
            <w:bCs w:val="0"/>
          </w:rPr>
          <w:t xml:space="preserve">(metagenomic) </w:t>
        </w:r>
      </w:ins>
      <w:r w:rsidRPr="00293187">
        <w:rPr>
          <w:b/>
          <w:bCs w:val="0"/>
        </w:rPr>
        <w:t>data for untreated samples.</w:t>
      </w:r>
      <w:r w:rsidRPr="00D93D74">
        <w:t xml:space="preserve"> </w:t>
      </w:r>
      <w:r w:rsidR="00293187" w:rsidRPr="00293187">
        <w:rPr>
          <w:bCs w:val="0"/>
        </w:rPr>
        <w:t>Richness and evenness estimated from 16S AS data were positively associated with</w:t>
      </w:r>
      <w:r w:rsidR="00293187">
        <w:rPr>
          <w:bCs w:val="0"/>
        </w:rPr>
        <w:t xml:space="preserve"> </w:t>
      </w:r>
      <w:r w:rsidR="00293187" w:rsidRPr="00293187">
        <w:rPr>
          <w:bCs w:val="0"/>
        </w:rPr>
        <w:t>those derived from</w:t>
      </w:r>
      <w:r w:rsidR="00293187">
        <w:rPr>
          <w:bCs w:val="0"/>
        </w:rPr>
        <w:t xml:space="preserve"> </w:t>
      </w:r>
      <w:r w:rsidR="00293187" w:rsidRPr="00293187">
        <w:rPr>
          <w:bCs w:val="0"/>
        </w:rPr>
        <w:t>metagenomic data across individuals</w:t>
      </w:r>
      <w:r w:rsidR="00143307">
        <w:rPr>
          <w:bCs w:val="0"/>
        </w:rPr>
        <w:t>. L</w:t>
      </w:r>
      <w:r w:rsidR="00354218" w:rsidRPr="00354218">
        <w:rPr>
          <w:bCs w:val="0"/>
        </w:rPr>
        <w:t>inear mixed-effects models with participant included as a random intercept</w:t>
      </w:r>
      <w:r w:rsidR="00354218">
        <w:rPr>
          <w:bCs w:val="0"/>
        </w:rPr>
        <w:t>; r</w:t>
      </w:r>
      <w:r w:rsidR="00354218" w:rsidRPr="00354218">
        <w:rPr>
          <w:bCs w:val="0"/>
        </w:rPr>
        <w:t>ichness p &lt;</w:t>
      </w:r>
      <w:r w:rsidR="00354218">
        <w:rPr>
          <w:bCs w:val="0"/>
        </w:rPr>
        <w:t xml:space="preserve"> 0.001;</w:t>
      </w:r>
      <w:r w:rsidR="00354218" w:rsidRPr="00354218">
        <w:rPr>
          <w:bCs w:val="0"/>
        </w:rPr>
        <w:t xml:space="preserve"> evenness p &lt; </w:t>
      </w:r>
      <w:r w:rsidR="00354218">
        <w:rPr>
          <w:bCs w:val="0"/>
        </w:rPr>
        <w:t>0.001.</w:t>
      </w:r>
      <w:r w:rsidR="00354218" w:rsidRPr="00354218">
        <w:rPr>
          <w:bCs w:val="0"/>
        </w:rPr>
        <w:t xml:space="preserve"> No significant effect of time was observed for richness (p = 0.77) or evenness (p = 0.79). </w:t>
      </w:r>
      <w:del w:id="485" w:author="Urša Miklavčič [2]" w:date="2026-04-17T16:04:00Z" w16du:dateUtc="2026-04-17T14:04:00Z">
        <w:r w:rsidR="00354218" w:rsidRPr="00354218" w:rsidDel="00BA6345">
          <w:rPr>
            <w:bCs w:val="0"/>
          </w:rPr>
          <w:delText>Inclusion of random slopes for time resulted in singular fits, indicating no detectable inter-individual variation in temporal trend</w:delText>
        </w:r>
        <w:r w:rsidR="00354218" w:rsidDel="00BA6345">
          <w:rPr>
            <w:bCs w:val="0"/>
          </w:rPr>
          <w:delText>s</w:delText>
        </w:r>
        <w:r w:rsidR="00354218" w:rsidRPr="00354218" w:rsidDel="00BA6345">
          <w:rPr>
            <w:bCs w:val="0"/>
          </w:rPr>
          <w:delText>, final models included only random intercepts.</w:delText>
        </w:r>
      </w:del>
    </w:p>
    <w:p w14:paraId="1FB6FBE6" w14:textId="2A899380" w:rsidR="00BA6345" w:rsidRDefault="00C06F8C" w:rsidP="00BA6345">
      <w:pPr>
        <w:rPr>
          <w:ins w:id="486" w:author="Urša Miklavčič [2]" w:date="2026-04-17T16:04:00Z" w16du:dateUtc="2026-04-17T14:04:00Z"/>
        </w:rPr>
      </w:pPr>
      <w:r w:rsidRPr="00104BF2">
        <w:lastRenderedPageBreak/>
        <w:t xml:space="preserve">In both, 16S AS and metagenomic data, 73.0% and 73.5% of variation, respectively was explained by participant identity (Figure </w:t>
      </w:r>
      <w:r>
        <w:t>6</w:t>
      </w:r>
      <w:r w:rsidRPr="00104BF2">
        <w:t xml:space="preserve">, PERMANOVA, 999 permutations, p = 0.001 for both </w:t>
      </w:r>
      <w:r>
        <w:t>data types</w:t>
      </w:r>
      <w:r w:rsidRPr="00104BF2">
        <w:t xml:space="preserve">). </w:t>
      </w:r>
      <w:ins w:id="487" w:author="Urša Miklavčič [2]" w:date="2026-04-17T16:04:00Z" w16du:dateUtc="2026-04-17T14:04:00Z">
        <w:r w:rsidR="00BA6345">
          <w:t xml:space="preserve">Comparison of environmental fitting of metadata onto the NMDS ordination based on OTU- or species-level data identified several individual-related variables significantly associated with microbial community structure. The strongest predictor of microbiome composition were food supplements, while lower but consistent predictors across both data types were also height, weight, age, stress and consumption of pre- and probiotics (Supplement Table </w:t>
        </w:r>
      </w:ins>
      <w:ins w:id="488" w:author="Urša Miklavčič [2]" w:date="2026-04-21T13:22:00Z" w16du:dateUtc="2026-04-21T11:22:00Z">
        <w:r w:rsidR="00554FAF">
          <w:t>7</w:t>
        </w:r>
      </w:ins>
      <w:ins w:id="489" w:author="Urša Miklavčič [2]" w:date="2026-04-17T16:04:00Z" w16du:dateUtc="2026-04-17T14:04:00Z">
        <w:r w:rsidR="00BA6345">
          <w:t xml:space="preserve">). While seasonality had no effect on microbiota composition. </w:t>
        </w:r>
      </w:ins>
    </w:p>
    <w:p w14:paraId="6A015AA2" w14:textId="3074D571" w:rsidR="00C06F8C" w:rsidRDefault="00C06F8C" w:rsidP="00C06F8C">
      <w:pPr>
        <w:rPr>
          <w:ins w:id="490" w:author="Urša Miklavčič [2]" w:date="2026-04-17T14:58:00Z" w16du:dateUtc="2026-04-17T12:58:00Z"/>
        </w:rPr>
      </w:pPr>
      <w:r w:rsidRPr="00104BF2">
        <w:t xml:space="preserve">Spatial separation in NMDS ordination space was maintained between the two sequencing methods, indicating a robust individual-specific microbiome signatures (Figure </w:t>
      </w:r>
      <w:r>
        <w:t>6</w:t>
      </w:r>
      <w:r w:rsidRPr="00104BF2">
        <w:t xml:space="preserve">, symmetric Procrustes analysis, r = 0.94, 999 permutations, p = 0.001). </w:t>
      </w:r>
    </w:p>
    <w:p w14:paraId="06715842" w14:textId="3192FCB8" w:rsidR="00DE02A8" w:rsidDel="00201CA6" w:rsidRDefault="00DE02A8" w:rsidP="00DE02A8">
      <w:pPr>
        <w:rPr>
          <w:del w:id="491" w:author="Urša Miklavčič [2]" w:date="2026-04-17T15:42:00Z" w16du:dateUtc="2026-04-17T13:42:00Z"/>
        </w:rPr>
      </w:pPr>
    </w:p>
    <w:p w14:paraId="139E2D26" w14:textId="5B22B8E3" w:rsidR="00DE02A8" w:rsidRPr="00D93D74" w:rsidDel="00DE02A8" w:rsidRDefault="00DE02A8" w:rsidP="00DE02A8">
      <w:pPr>
        <w:rPr>
          <w:del w:id="492" w:author="Urša Miklavčič [2]" w:date="2026-04-17T14:58:00Z" w16du:dateUtc="2026-04-17T12:58:00Z"/>
        </w:rPr>
      </w:pPr>
      <w:commentRangeStart w:id="493"/>
      <w:del w:id="494" w:author="Urša Miklavčič [2]" w:date="2026-04-17T14:58:00Z" w16du:dateUtc="2026-04-17T12:58:00Z">
        <w:r w:rsidRPr="00D93D74" w:rsidDel="00DE02A8">
          <w:delText>Other shifts did not correlate with predetermined events collected in metadata.</w:delText>
        </w:r>
        <w:commentRangeEnd w:id="493"/>
        <w:r w:rsidRPr="00D93D74" w:rsidDel="00DE02A8">
          <w:rPr>
            <w:rStyle w:val="Pripombasklic"/>
            <w:sz w:val="24"/>
            <w:szCs w:val="22"/>
          </w:rPr>
          <w:commentReference w:id="493"/>
        </w:r>
      </w:del>
    </w:p>
    <w:p w14:paraId="0D1D1EB9" w14:textId="562E78CC" w:rsidR="00DE02A8" w:rsidDel="00331E34" w:rsidRDefault="00DE02A8" w:rsidP="00C06F8C">
      <w:pPr>
        <w:rPr>
          <w:del w:id="495" w:author="Urša Miklavčič [2]" w:date="2026-04-17T15:03:00Z" w16du:dateUtc="2026-04-17T13:03:00Z"/>
        </w:rPr>
      </w:pPr>
    </w:p>
    <w:p w14:paraId="7A4F5CBD" w14:textId="77777777" w:rsidR="0096278F" w:rsidRPr="00D93D74" w:rsidRDefault="0096278F" w:rsidP="0096278F"/>
    <w:p w14:paraId="51A5B86B" w14:textId="53654ECC" w:rsidR="0096278F" w:rsidRPr="00D93D74" w:rsidRDefault="0034031C" w:rsidP="0096278F">
      <w:commentRangeStart w:id="496"/>
      <w:commentRangeEnd w:id="496"/>
      <w:r>
        <w:rPr>
          <w:rStyle w:val="Pripombasklic"/>
          <w:noProof/>
          <w:sz w:val="24"/>
          <w:szCs w:val="22"/>
        </w:rPr>
        <w:commentReference w:id="496"/>
      </w:r>
      <w:r w:rsidR="00345C53">
        <w:rPr>
          <w:noProof/>
        </w:rPr>
        <w:drawing>
          <wp:inline distT="0" distB="0" distL="0" distR="0" wp14:anchorId="6032E9D0" wp14:editId="5AA80FA7">
            <wp:extent cx="5931535" cy="2846705"/>
            <wp:effectExtent l="0" t="0" r="0" b="0"/>
            <wp:docPr id="563882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1535" cy="2846705"/>
                    </a:xfrm>
                    <a:prstGeom prst="rect">
                      <a:avLst/>
                    </a:prstGeom>
                    <a:noFill/>
                    <a:ln>
                      <a:noFill/>
                    </a:ln>
                  </pic:spPr>
                </pic:pic>
              </a:graphicData>
            </a:graphic>
          </wp:inline>
        </w:drawing>
      </w:r>
    </w:p>
    <w:p w14:paraId="5DA0C127" w14:textId="35423FA7" w:rsidR="0096278F" w:rsidRPr="00D93D74" w:rsidRDefault="0096278F" w:rsidP="00C06F8C">
      <w:pPr>
        <w:rPr>
          <w:sz w:val="22"/>
        </w:rPr>
      </w:pPr>
      <w:r w:rsidRPr="00D93D74">
        <w:rPr>
          <w:b/>
          <w:bCs/>
          <w:sz w:val="22"/>
        </w:rPr>
        <w:t xml:space="preserve">Figure 6. </w:t>
      </w:r>
      <w:r w:rsidR="00C06F8C">
        <w:rPr>
          <w:b/>
          <w:bCs/>
          <w:sz w:val="22"/>
        </w:rPr>
        <w:t>Beta diversity of untreated stool samples based on 16S amplicon (left) and metagenomic data (right)</w:t>
      </w:r>
      <w:r w:rsidRPr="00D93D74">
        <w:rPr>
          <w:b/>
          <w:bCs/>
          <w:sz w:val="22"/>
        </w:rPr>
        <w:t>.</w:t>
      </w:r>
      <w:r w:rsidRPr="00D93D74">
        <w:rPr>
          <w:sz w:val="22"/>
        </w:rPr>
        <w:t xml:space="preserve"> </w:t>
      </w:r>
      <w:r w:rsidR="00C06F8C" w:rsidRPr="00055836">
        <w:rPr>
          <w:rFonts w:cs="Times New Roman"/>
        </w:rPr>
        <w:t>NMDS ordinations based on Bray-Curtis dissimilarity of untreated samples derived from 16S amplicon (OTU-level) and metagenomic (species-level) relative abundances.</w:t>
      </w:r>
      <w:ins w:id="497" w:author="Urša Miklavčič [2]" w:date="2026-04-17T16:05:00Z" w16du:dateUtc="2026-04-17T14:05:00Z">
        <w:r w:rsidR="00BA6345">
          <w:rPr>
            <w:rFonts w:cs="Times New Roman"/>
          </w:rPr>
          <w:t xml:space="preserve"> </w:t>
        </w:r>
      </w:ins>
      <w:r w:rsidRPr="00D93D74">
        <w:rPr>
          <w:sz w:val="22"/>
        </w:rPr>
        <w:t xml:space="preserve">Colours indicate participants. </w:t>
      </w:r>
    </w:p>
    <w:p w14:paraId="1EF6DCE5" w14:textId="77777777" w:rsidR="0096278F" w:rsidRPr="00D93D74" w:rsidRDefault="0096278F" w:rsidP="0096278F"/>
    <w:p w14:paraId="7B1EDEAA" w14:textId="02DE2324" w:rsidR="0096278F" w:rsidRPr="00D93D74" w:rsidRDefault="0096278F" w:rsidP="0096278F">
      <w:r w:rsidRPr="00D93D74">
        <w:t xml:space="preserve">16S AS and metagenomic sequencing produced broadly consistent phylum-level profiles, with </w:t>
      </w:r>
      <w:r w:rsidRPr="00D93D74">
        <w:rPr>
          <w:i/>
          <w:iCs/>
        </w:rPr>
        <w:t>Bacillota</w:t>
      </w:r>
      <w:r w:rsidRPr="00D93D74">
        <w:t xml:space="preserve"> dominating all sample types (Figure 7). In untreated stool samples, 16S AS data showed a higher relative abundance of </w:t>
      </w:r>
      <w:r w:rsidRPr="00D93D74">
        <w:rPr>
          <w:i/>
          <w:iCs/>
        </w:rPr>
        <w:t>Bacteroidota</w:t>
      </w:r>
      <w:r w:rsidRPr="00D93D74">
        <w:t xml:space="preserve"> and </w:t>
      </w:r>
      <w:r w:rsidRPr="00D93D74">
        <w:rPr>
          <w:i/>
          <w:iCs/>
        </w:rPr>
        <w:t>Actinomycetota</w:t>
      </w:r>
      <w:r w:rsidRPr="00D93D74">
        <w:t xml:space="preserve"> phylum, whereas metagenomic data were more strongly dominated by </w:t>
      </w:r>
      <w:r w:rsidRPr="00D93D74">
        <w:rPr>
          <w:i/>
          <w:iCs/>
        </w:rPr>
        <w:t>Bacillota</w:t>
      </w:r>
      <w:r w:rsidRPr="00D93D74">
        <w:t xml:space="preserve">. In ethanol treated samples, both methods showed an even stronger enrichment of </w:t>
      </w:r>
      <w:r w:rsidRPr="00D93D74">
        <w:rPr>
          <w:i/>
          <w:iCs/>
        </w:rPr>
        <w:t>Bacillota</w:t>
      </w:r>
      <w:r w:rsidRPr="00D93D74">
        <w:t xml:space="preserve"> and a marked depletion of other phyla, consistent with selective retention of ethanol‑resistant taxa.</w:t>
      </w:r>
    </w:p>
    <w:p w14:paraId="6A51165E" w14:textId="51E54108" w:rsidR="0096278F" w:rsidRPr="00D93D74" w:rsidRDefault="00FB6810" w:rsidP="0096278F">
      <w:r>
        <w:rPr>
          <w:noProof/>
        </w:rPr>
        <w:lastRenderedPageBreak/>
        <w:drawing>
          <wp:inline distT="0" distB="0" distL="0" distR="0" wp14:anchorId="752A1393" wp14:editId="79749DBF">
            <wp:extent cx="5939790" cy="3625850"/>
            <wp:effectExtent l="0" t="0" r="3810" b="0"/>
            <wp:docPr id="11916114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3625850"/>
                    </a:xfrm>
                    <a:prstGeom prst="rect">
                      <a:avLst/>
                    </a:prstGeom>
                    <a:noFill/>
                    <a:ln>
                      <a:noFill/>
                    </a:ln>
                  </pic:spPr>
                </pic:pic>
              </a:graphicData>
            </a:graphic>
          </wp:inline>
        </w:drawing>
      </w:r>
      <w:commentRangeStart w:id="498"/>
      <w:commentRangeEnd w:id="498"/>
      <w:r w:rsidR="0034031C" w:rsidRPr="00D93D74">
        <w:rPr>
          <w:rStyle w:val="Pripombasklic"/>
          <w:sz w:val="24"/>
          <w:szCs w:val="22"/>
        </w:rPr>
        <w:commentReference w:id="498"/>
      </w:r>
    </w:p>
    <w:p w14:paraId="43D402AB" w14:textId="4C3A0CA7" w:rsidR="0096278F" w:rsidRPr="00D93D74" w:rsidRDefault="0096278F" w:rsidP="0096278F">
      <w:pPr>
        <w:ind w:left="360"/>
        <w:rPr>
          <w:sz w:val="22"/>
        </w:rPr>
      </w:pPr>
      <w:r w:rsidRPr="00D93D74">
        <w:rPr>
          <w:b/>
          <w:bCs/>
          <w:sz w:val="22"/>
        </w:rPr>
        <w:t xml:space="preserve">Figure 7. Relative abundance of bacterial phyla across samples for 16S AS and metagenomic </w:t>
      </w:r>
      <w:del w:id="499" w:author="Urša Miklavčič [2]" w:date="2026-04-17T16:12:00Z" w16du:dateUtc="2026-04-17T14:12:00Z">
        <w:r w:rsidRPr="00D93D74" w:rsidDel="00FB6810">
          <w:rPr>
            <w:b/>
            <w:bCs/>
            <w:sz w:val="22"/>
          </w:rPr>
          <w:delText>sequencing</w:delText>
        </w:r>
      </w:del>
      <w:ins w:id="500" w:author="Urša Miklavčič [2]" w:date="2026-04-17T16:12:00Z" w16du:dateUtc="2026-04-17T14:12:00Z">
        <w:r w:rsidR="00FB6810">
          <w:rPr>
            <w:b/>
            <w:bCs/>
            <w:sz w:val="22"/>
          </w:rPr>
          <w:t>data</w:t>
        </w:r>
      </w:ins>
      <w:r w:rsidRPr="00D93D74">
        <w:rPr>
          <w:b/>
          <w:bCs/>
          <w:sz w:val="22"/>
        </w:rPr>
        <w:t>.</w:t>
      </w:r>
      <w:r w:rsidRPr="00D93D74">
        <w:rPr>
          <w:sz w:val="22"/>
        </w:rPr>
        <w:t xml:space="preserve"> </w:t>
      </w:r>
    </w:p>
    <w:p w14:paraId="44CB29BA" w14:textId="77777777" w:rsidR="0054400D" w:rsidRPr="00D93D74" w:rsidRDefault="0054400D" w:rsidP="0054400D"/>
    <w:p w14:paraId="1CD040B5" w14:textId="6C0F44E8" w:rsidR="0054400D" w:rsidRPr="00D93D74" w:rsidRDefault="005E294F">
      <w:pPr>
        <w:pStyle w:val="Naslov3"/>
        <w:numPr>
          <w:ilvl w:val="2"/>
          <w:numId w:val="6"/>
        </w:numPr>
      </w:pPr>
      <w:bookmarkStart w:id="501" w:name="_Toc216099748"/>
      <w:bookmarkStart w:id="502" w:name="_Toc220932871"/>
      <w:bookmarkStart w:id="503" w:name="_Toc228252041"/>
      <w:commentRangeStart w:id="504"/>
      <w:r w:rsidRPr="00D93D74">
        <w:t>Composition, abundance and diversity of human gut microbiota</w:t>
      </w:r>
      <w:bookmarkEnd w:id="501"/>
      <w:bookmarkEnd w:id="502"/>
      <w:bookmarkEnd w:id="503"/>
      <w:r w:rsidRPr="00D93D74">
        <w:t xml:space="preserve"> </w:t>
      </w:r>
      <w:commentRangeEnd w:id="504"/>
      <w:r w:rsidR="00C64662" w:rsidRPr="00D93D74">
        <w:rPr>
          <w:rStyle w:val="Pripombasklic"/>
          <w:sz w:val="24"/>
          <w:szCs w:val="22"/>
        </w:rPr>
        <w:commentReference w:id="504"/>
      </w:r>
    </w:p>
    <w:p w14:paraId="276BA41A" w14:textId="751168D8" w:rsidR="00723A85" w:rsidRPr="00D93D74" w:rsidRDefault="00723A85" w:rsidP="00723A85">
      <w:r w:rsidRPr="00D93D74">
        <w:t xml:space="preserve">In the metagenomic dataset, </w:t>
      </w:r>
      <w:del w:id="505" w:author="Urša Miklavčič [2]" w:date="2026-04-17T11:34:00Z" w16du:dateUtc="2026-04-17T09:34:00Z">
        <w:r w:rsidRPr="00D93D74" w:rsidDel="00D95368">
          <w:delText xml:space="preserve">based on sequence alignment and the </w:delText>
        </w:r>
        <w:commentRangeStart w:id="506"/>
        <w:r w:rsidRPr="00D93D74" w:rsidDel="00D95368">
          <w:delText xml:space="preserve">last common ancestor (LCA) </w:delText>
        </w:r>
        <w:commentRangeEnd w:id="506"/>
        <w:r w:rsidR="00C64662" w:rsidRPr="00D93D74" w:rsidDel="00D95368">
          <w:rPr>
            <w:rStyle w:val="Pripombasklic"/>
            <w:sz w:val="24"/>
            <w:szCs w:val="22"/>
          </w:rPr>
          <w:commentReference w:id="506"/>
        </w:r>
        <w:r w:rsidRPr="00D93D74" w:rsidDel="00D95368">
          <w:delText>algorithm we determined the taxonomy of approximately 97% of contigs</w:delText>
        </w:r>
        <w:commentRangeStart w:id="507"/>
        <w:r w:rsidRPr="00D93D74" w:rsidDel="00D95368">
          <w:delText>. Nearly 92% of contigs were of bacterial origin, 3% were viral, and around 1% were fungi and other eukaryotes, while less than 0.4% were of archaeal ancestry across all samples.</w:delText>
        </w:r>
        <w:commentRangeEnd w:id="507"/>
        <w:r w:rsidR="00C64662" w:rsidRPr="00D93D74" w:rsidDel="00D95368">
          <w:rPr>
            <w:rStyle w:val="Pripombasklic"/>
            <w:sz w:val="24"/>
            <w:szCs w:val="22"/>
          </w:rPr>
          <w:commentReference w:id="507"/>
        </w:r>
        <w:r w:rsidRPr="00D93D74" w:rsidDel="00D95368">
          <w:delText xml:space="preserve"> For a more reliable analysis </w:delText>
        </w:r>
      </w:del>
      <w:r w:rsidRPr="00D93D74">
        <w:t xml:space="preserve">we determined the taxonomy using MetaPhlAn, which aligns reads to a database of highly curated marker genes. MetaPhlAn determined </w:t>
      </w:r>
      <w:ins w:id="508" w:author="Urša Miklavčič [2]" w:date="2026-04-17T11:51:00Z" w16du:dateUtc="2026-04-17T09:51:00Z">
        <w:r w:rsidR="00AD5011">
          <w:t>96.8</w:t>
        </w:r>
      </w:ins>
      <w:del w:id="509" w:author="Urša Miklavčič [2]" w:date="2026-04-17T11:51:00Z" w16du:dateUtc="2026-04-17T09:51:00Z">
        <w:r w:rsidR="00C64662" w:rsidRPr="00D93D74" w:rsidDel="00AD5011">
          <w:delText>??</w:delText>
        </w:r>
      </w:del>
      <w:r w:rsidRPr="00D93D74">
        <w:t>% to be of bacterial</w:t>
      </w:r>
      <w:del w:id="510" w:author="Urša Miklavčič [2]" w:date="2026-04-17T11:52:00Z" w16du:dateUtc="2026-04-17T09:52:00Z">
        <w:r w:rsidRPr="00D93D74" w:rsidDel="00AD5011">
          <w:delText xml:space="preserve"> origin</w:delText>
        </w:r>
      </w:del>
      <w:r w:rsidRPr="00D93D74">
        <w:t xml:space="preserve">, </w:t>
      </w:r>
      <w:del w:id="511" w:author="Urša Miklavčič [2]" w:date="2026-04-17T11:51:00Z" w16du:dateUtc="2026-04-17T09:51:00Z">
        <w:r w:rsidRPr="00D93D74" w:rsidDel="00AD5011">
          <w:delText xml:space="preserve">while </w:delText>
        </w:r>
      </w:del>
      <w:ins w:id="512" w:author="Urša Miklavčič [2]" w:date="2026-04-17T11:51:00Z" w16du:dateUtc="2026-04-17T09:51:00Z">
        <w:r w:rsidR="00AD5011">
          <w:t>0.26</w:t>
        </w:r>
        <w:r w:rsidR="00AD5011" w:rsidRPr="00D93D74">
          <w:t xml:space="preserve"> </w:t>
        </w:r>
      </w:ins>
      <w:r w:rsidRPr="00D93D74">
        <w:t xml:space="preserve">% of archaeal, </w:t>
      </w:r>
      <w:ins w:id="513" w:author="Urša Miklavčič [2]" w:date="2026-04-17T11:51:00Z" w16du:dateUtc="2026-04-17T09:51:00Z">
        <w:r w:rsidR="00AD5011">
          <w:t xml:space="preserve">and </w:t>
        </w:r>
      </w:ins>
      <w:ins w:id="514" w:author="Urša Miklavčič [2]" w:date="2026-04-17T11:52:00Z" w16du:dateUtc="2026-04-17T09:52:00Z">
        <w:r w:rsidR="00AD5011">
          <w:t xml:space="preserve">0.01% eukaryotic origin </w:t>
        </w:r>
      </w:ins>
      <w:r w:rsidRPr="00D93D74">
        <w:t xml:space="preserve">but it does not determine </w:t>
      </w:r>
      <w:del w:id="515" w:author="Urša Miklavčič [2]" w:date="2026-04-17T11:52:00Z" w16du:dateUtc="2026-04-17T09:52:00Z">
        <w:r w:rsidRPr="00D93D74" w:rsidDel="00AD5011">
          <w:delText xml:space="preserve">eukaryotic or </w:delText>
        </w:r>
      </w:del>
      <w:r w:rsidRPr="00D93D74">
        <w:t xml:space="preserve">viral sequences. </w:t>
      </w:r>
      <w:commentRangeStart w:id="516"/>
      <w:del w:id="517" w:author="Urša Miklavčič [2]" w:date="2026-04-17T11:52:00Z" w16du:dateUtc="2026-04-17T09:52:00Z">
        <w:r w:rsidRPr="00D93D74" w:rsidDel="00AD5011">
          <w:delText xml:space="preserve">These two approaches differ in reliability, </w:delText>
        </w:r>
        <w:commentRangeEnd w:id="516"/>
        <w:r w:rsidR="00C64662" w:rsidRPr="00D93D74" w:rsidDel="00AD5011">
          <w:rPr>
            <w:rStyle w:val="Pripombasklic"/>
            <w:sz w:val="24"/>
            <w:szCs w:val="22"/>
          </w:rPr>
          <w:commentReference w:id="516"/>
        </w:r>
        <w:r w:rsidRPr="00D93D74" w:rsidDel="00AD5011">
          <w:delText xml:space="preserve">MetaPhlAn’s curated database has higher accuracy but can miss taxa not present in the database, while a non-curated </w:delText>
        </w:r>
        <w:commentRangeStart w:id="518"/>
        <w:r w:rsidRPr="00D93D74" w:rsidDel="00AD5011">
          <w:delText xml:space="preserve">database such as NCBI </w:delText>
        </w:r>
        <w:commentRangeEnd w:id="518"/>
        <w:r w:rsidR="00C64662" w:rsidRPr="00D93D74" w:rsidDel="00AD5011">
          <w:rPr>
            <w:rStyle w:val="Pripombasklic"/>
            <w:sz w:val="24"/>
            <w:szCs w:val="22"/>
          </w:rPr>
          <w:commentReference w:id="518"/>
        </w:r>
        <w:r w:rsidRPr="00D93D74" w:rsidDel="00AD5011">
          <w:delText xml:space="preserve">can report false positive determinations. We decided to use MetaPhlAn results due to higher reliability. </w:delText>
        </w:r>
      </w:del>
    </w:p>
    <w:p w14:paraId="67833157" w14:textId="066F106E" w:rsidR="00723A85" w:rsidRPr="00D93D74" w:rsidRDefault="00723A85" w:rsidP="00723A85">
      <w:r w:rsidRPr="00D93D74">
        <w:t xml:space="preserve">Archaea were detected in 5 out of 9 individuals in our cohort. The genus </w:t>
      </w:r>
      <w:r w:rsidRPr="00D93D74">
        <w:rPr>
          <w:i/>
          <w:iCs/>
        </w:rPr>
        <w:t>Methanobrevibacter</w:t>
      </w:r>
      <w:r w:rsidRPr="00D93D74">
        <w:t xml:space="preserve"> was present in all five individuals, while </w:t>
      </w:r>
      <w:r w:rsidRPr="00D93D74">
        <w:rPr>
          <w:i/>
          <w:iCs/>
        </w:rPr>
        <w:t>Methanosphera</w:t>
      </w:r>
      <w:r w:rsidRPr="00D93D74">
        <w:t xml:space="preserve"> were found in only two (Figure 8). </w:t>
      </w:r>
      <w:r w:rsidRPr="00D93D74">
        <w:rPr>
          <w:i/>
          <w:iCs/>
        </w:rPr>
        <w:t>Methanobrevibacter smithii</w:t>
      </w:r>
      <w:r w:rsidRPr="00D93D74">
        <w:t xml:space="preserve"> exhibited oscillatory abundance within participants over time, while </w:t>
      </w:r>
      <w:r w:rsidRPr="00D93D74">
        <w:rPr>
          <w:i/>
          <w:iCs/>
        </w:rPr>
        <w:t>Methanosphera stadmanae</w:t>
      </w:r>
      <w:r w:rsidRPr="00D93D74">
        <w:t xml:space="preserve"> was present at a lower relative abundance in a more equal abundance through time. Their abundance changes could not be connected to selected events from participants questionnaires. </w:t>
      </w:r>
    </w:p>
    <w:p w14:paraId="1E45C3E8" w14:textId="7BF99CA4" w:rsidR="004271D5" w:rsidRPr="00D93D74" w:rsidRDefault="004271D5" w:rsidP="007C0931">
      <w:pPr>
        <w:rPr>
          <w:szCs w:val="20"/>
        </w:rPr>
      </w:pPr>
    </w:p>
    <w:p w14:paraId="7D12386F" w14:textId="77777777" w:rsidR="00801198" w:rsidRPr="00D93D74" w:rsidRDefault="0004536B" w:rsidP="00801198">
      <w:pPr>
        <w:keepNext/>
      </w:pPr>
      <w:r w:rsidRPr="00D93D74">
        <w:rPr>
          <w:rFonts w:cs="Times New Roman"/>
          <w:noProof/>
          <w:szCs w:val="24"/>
        </w:rPr>
        <w:lastRenderedPageBreak/>
        <w:drawing>
          <wp:inline distT="0" distB="0" distL="0" distR="0" wp14:anchorId="479802E8" wp14:editId="62F1D857">
            <wp:extent cx="5902088" cy="2979420"/>
            <wp:effectExtent l="0" t="0" r="3810" b="0"/>
            <wp:docPr id="13482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b="11517"/>
                    <a:stretch/>
                  </pic:blipFill>
                  <pic:spPr bwMode="auto">
                    <a:xfrm>
                      <a:off x="0" y="0"/>
                      <a:ext cx="5913540" cy="2985201"/>
                    </a:xfrm>
                    <a:prstGeom prst="rect">
                      <a:avLst/>
                    </a:prstGeom>
                    <a:noFill/>
                    <a:ln>
                      <a:noFill/>
                    </a:ln>
                    <a:extLst>
                      <a:ext uri="{53640926-AAD7-44D8-BBD7-CCE9431645EC}">
                        <a14:shadowObscured xmlns:a14="http://schemas.microsoft.com/office/drawing/2010/main"/>
                      </a:ext>
                    </a:extLst>
                  </pic:spPr>
                </pic:pic>
              </a:graphicData>
            </a:graphic>
          </wp:inline>
        </w:drawing>
      </w:r>
    </w:p>
    <w:p w14:paraId="54F16434" w14:textId="6A98C281" w:rsidR="00BC2437" w:rsidRPr="00D93D74" w:rsidRDefault="00801198" w:rsidP="00BC2437">
      <w:pPr>
        <w:pStyle w:val="Napis"/>
        <w:rPr>
          <w:rFonts w:cs="Times New Roman"/>
          <w:b w:val="0"/>
          <w:bCs/>
          <w:szCs w:val="24"/>
        </w:rPr>
      </w:pPr>
      <w:bookmarkStart w:id="519" w:name="_Toc216101620"/>
      <w:r w:rsidRPr="00D93D74">
        <w:t xml:space="preserve">Figure </w:t>
      </w:r>
      <w:r w:rsidR="00723A85" w:rsidRPr="00D93D74">
        <w:t>8</w:t>
      </w:r>
      <w:r w:rsidRPr="00D93D74">
        <w:t xml:space="preserve">. Relative abundance and persistence of archaeal species in participants gut microbiota. </w:t>
      </w:r>
      <w:r w:rsidRPr="00D93D74">
        <w:rPr>
          <w:b w:val="0"/>
          <w:bCs/>
        </w:rPr>
        <w:t>Species were determined using MetaPhlAn.</w:t>
      </w:r>
      <w:r w:rsidRPr="00D93D74">
        <w:t xml:space="preserve"> </w:t>
      </w:r>
      <w:r w:rsidR="007C0931" w:rsidRPr="00D93D74">
        <w:rPr>
          <w:b w:val="0"/>
          <w:bCs/>
        </w:rPr>
        <w:t xml:space="preserve">Each plot </w:t>
      </w:r>
      <w:r w:rsidR="00BC2437" w:rsidRPr="00D93D74">
        <w:rPr>
          <w:b w:val="0"/>
          <w:bCs/>
        </w:rPr>
        <w:t>depicts one</w:t>
      </w:r>
      <w:r w:rsidR="007C0931" w:rsidRPr="00D93D74">
        <w:rPr>
          <w:b w:val="0"/>
          <w:bCs/>
        </w:rPr>
        <w:t xml:space="preserve"> participant (labelled with capital letters</w:t>
      </w:r>
      <w:r w:rsidR="00BC2437" w:rsidRPr="00D93D74">
        <w:rPr>
          <w:b w:val="0"/>
          <w:bCs/>
        </w:rPr>
        <w:t xml:space="preserve"> A to I</w:t>
      </w:r>
      <w:r w:rsidR="007C0931" w:rsidRPr="00D93D74">
        <w:rPr>
          <w:b w:val="0"/>
          <w:bCs/>
        </w:rPr>
        <w:t xml:space="preserve">), with days </w:t>
      </w:r>
      <w:r w:rsidR="00BC2437" w:rsidRPr="00D93D74">
        <w:rPr>
          <w:b w:val="0"/>
          <w:bCs/>
        </w:rPr>
        <w:t xml:space="preserve">on the x-axis </w:t>
      </w:r>
      <w:r w:rsidR="007C0931" w:rsidRPr="00D93D74">
        <w:rPr>
          <w:b w:val="0"/>
          <w:bCs/>
        </w:rPr>
        <w:t>indicating when the stool samples were collected.</w:t>
      </w:r>
      <w:bookmarkEnd w:id="519"/>
      <w:r w:rsidR="00BC2437" w:rsidRPr="00D93D74">
        <w:rPr>
          <w:b w:val="0"/>
          <w:bCs/>
        </w:rPr>
        <w:t xml:space="preserve"> Vertical coloured lines indicate out-of-the-ordinary events reported by participants in their questionnaires.  </w:t>
      </w:r>
    </w:p>
    <w:p w14:paraId="7A5138DD" w14:textId="77777777" w:rsidR="00BC2437" w:rsidRPr="00D93D74" w:rsidRDefault="00BC2437" w:rsidP="005E294F">
      <w:pPr>
        <w:rPr>
          <w:rFonts w:cs="Times New Roman"/>
          <w:szCs w:val="24"/>
        </w:rPr>
      </w:pPr>
    </w:p>
    <w:p w14:paraId="17630BDB" w14:textId="1D6D5B6F" w:rsidR="00AD5011" w:rsidRDefault="005E294F" w:rsidP="00AD5011">
      <w:pPr>
        <w:rPr>
          <w:ins w:id="520" w:author="Urša Miklavčič [2]" w:date="2026-04-17T11:54:00Z" w16du:dateUtc="2026-04-17T09:54:00Z"/>
        </w:rPr>
      </w:pPr>
      <w:commentRangeStart w:id="521"/>
      <w:commentRangeStart w:id="522"/>
      <w:commentRangeStart w:id="523"/>
      <w:r w:rsidRPr="00D93D74">
        <w:rPr>
          <w:rFonts w:cs="Times New Roman"/>
          <w:szCs w:val="24"/>
        </w:rPr>
        <w:t xml:space="preserve">Eukaryotes were </w:t>
      </w:r>
      <w:commentRangeEnd w:id="521"/>
      <w:r w:rsidR="00962877" w:rsidRPr="00D93D74">
        <w:rPr>
          <w:rStyle w:val="Pripombasklic"/>
          <w:rFonts w:cs="Times New Roman"/>
          <w:sz w:val="24"/>
          <w:szCs w:val="24"/>
        </w:rPr>
        <w:commentReference w:id="521"/>
      </w:r>
      <w:commentRangeEnd w:id="522"/>
      <w:r w:rsidR="00962877" w:rsidRPr="00D93D74">
        <w:rPr>
          <w:rStyle w:val="Pripombasklic"/>
          <w:rFonts w:cs="Times New Roman"/>
          <w:sz w:val="24"/>
          <w:szCs w:val="24"/>
        </w:rPr>
        <w:commentReference w:id="522"/>
      </w:r>
      <w:commentRangeEnd w:id="523"/>
      <w:r w:rsidR="00F950DC" w:rsidRPr="00D93D74">
        <w:rPr>
          <w:rStyle w:val="Pripombasklic"/>
          <w:rFonts w:cs="Times New Roman"/>
          <w:sz w:val="24"/>
          <w:szCs w:val="24"/>
        </w:rPr>
        <w:commentReference w:id="523"/>
      </w:r>
      <w:r w:rsidRPr="00D93D74">
        <w:rPr>
          <w:rFonts w:cs="Times New Roman"/>
          <w:szCs w:val="24"/>
        </w:rPr>
        <w:t xml:space="preserve">detected </w:t>
      </w:r>
      <w:ins w:id="524" w:author="Urša Miklavčič [2]" w:date="2026-04-17T11:54:00Z" w16du:dateUtc="2026-04-17T09:54:00Z">
        <w:r w:rsidR="00AD5011">
          <w:t>using</w:t>
        </w:r>
        <w:r w:rsidR="00AD5011" w:rsidRPr="00E9389E">
          <w:t xml:space="preserve"> EukDetect</w:t>
        </w:r>
        <w:r w:rsidR="00AD5011">
          <w:t xml:space="preserve"> program, as program MetaPhlAn only detected 2 eukaryotic species (</w:t>
        </w:r>
        <w:r w:rsidR="00AD5011" w:rsidRPr="005301D3">
          <w:rPr>
            <w:i/>
            <w:iCs/>
          </w:rPr>
          <w:t>Blastocystis</w:t>
        </w:r>
        <w:r w:rsidR="00AD5011">
          <w:t xml:space="preserve"> sp. and </w:t>
        </w:r>
        <w:r w:rsidR="00AD5011" w:rsidRPr="00E9389E">
          <w:rPr>
            <w:i/>
            <w:iCs/>
          </w:rPr>
          <w:t>Saccharomyces cerevisiae</w:t>
        </w:r>
        <w:r w:rsidR="00AD5011">
          <w:t>)</w:t>
        </w:r>
        <w:r w:rsidR="00AD5011" w:rsidRPr="00E9389E">
          <w:t xml:space="preserve"> (Table </w:t>
        </w:r>
      </w:ins>
      <w:ins w:id="525" w:author="Urša Miklavčič [2]" w:date="2026-04-17T11:55:00Z" w16du:dateUtc="2026-04-17T09:55:00Z">
        <w:r w:rsidR="00AD5011">
          <w:t>1</w:t>
        </w:r>
      </w:ins>
      <w:ins w:id="526" w:author="Urša Miklavčič [2]" w:date="2026-04-17T11:54:00Z" w16du:dateUtc="2026-04-17T09:54:00Z">
        <w:r w:rsidR="00AD5011" w:rsidRPr="00E9389E">
          <w:t xml:space="preserve">). </w:t>
        </w:r>
        <w:r w:rsidR="00AD5011">
          <w:t xml:space="preserve">Using EukDetect </w:t>
        </w:r>
        <w:r w:rsidR="00AD5011" w:rsidRPr="00E9389E">
          <w:rPr>
            <w:i/>
            <w:iCs/>
          </w:rPr>
          <w:t>Blastocystis</w:t>
        </w:r>
        <w:r w:rsidR="00AD5011" w:rsidRPr="00E9389E">
          <w:t xml:space="preserve"> sp. was</w:t>
        </w:r>
        <w:r w:rsidR="00AD5011">
          <w:t xml:space="preserve"> </w:t>
        </w:r>
        <w:r w:rsidR="00AD5011" w:rsidRPr="00E9389E">
          <w:t>the most abundant eukaryotic species detected</w:t>
        </w:r>
        <w:r w:rsidR="00AD5011">
          <w:t xml:space="preserve"> (Figure </w:t>
        </w:r>
      </w:ins>
      <w:ins w:id="527" w:author="Urša Miklavčič [2]" w:date="2026-04-17T11:55:00Z" w16du:dateUtc="2026-04-17T09:55:00Z">
        <w:r w:rsidR="00AD5011">
          <w:t>9</w:t>
        </w:r>
      </w:ins>
      <w:ins w:id="528" w:author="Urša Miklavčič [2]" w:date="2026-04-17T11:54:00Z" w16du:dateUtc="2026-04-17T09:54:00Z">
        <w:r w:rsidR="00AD5011">
          <w:t xml:space="preserve">). Besides this monocellular eukaryote we also detected an </w:t>
        </w:r>
        <w:r w:rsidR="00AD5011" w:rsidRPr="00E9389E">
          <w:t xml:space="preserve">amoeba </w:t>
        </w:r>
        <w:r w:rsidR="00AD5011" w:rsidRPr="00E9389E">
          <w:rPr>
            <w:i/>
            <w:iCs/>
          </w:rPr>
          <w:t>Entamoeba dispar</w:t>
        </w:r>
        <w:r w:rsidR="00AD5011">
          <w:t xml:space="preserve"> and roundworm </w:t>
        </w:r>
        <w:r w:rsidR="00AD5011" w:rsidRPr="00E9389E">
          <w:rPr>
            <w:i/>
            <w:iCs/>
          </w:rPr>
          <w:t>Caenorhabditis elegans</w:t>
        </w:r>
        <w:r w:rsidR="00AD5011">
          <w:t xml:space="preserve"> in one sample of participant H. </w:t>
        </w:r>
      </w:ins>
    </w:p>
    <w:p w14:paraId="4DCA9FFB" w14:textId="3B16C63C" w:rsidR="00AD5011" w:rsidRPr="005301D3" w:rsidRDefault="00AD5011" w:rsidP="00AD5011">
      <w:pPr>
        <w:rPr>
          <w:ins w:id="529" w:author="Urša Miklavčič [2]" w:date="2026-04-17T11:54:00Z" w16du:dateUtc="2026-04-17T09:54:00Z"/>
          <w:i/>
          <w:iCs/>
        </w:rPr>
      </w:pPr>
      <w:ins w:id="530" w:author="Urša Miklavčič [2]" w:date="2026-04-17T11:54:00Z" w16du:dateUtc="2026-04-17T09:54:00Z">
        <w:r w:rsidRPr="00E9389E">
          <w:t xml:space="preserve">The most abundant </w:t>
        </w:r>
        <w:r w:rsidRPr="00AD5011">
          <w:t>fungal</w:t>
        </w:r>
        <w:r w:rsidRPr="00E9389E">
          <w:t xml:space="preserve"> species was </w:t>
        </w:r>
        <w:r w:rsidRPr="00E9389E">
          <w:rPr>
            <w:i/>
            <w:iCs/>
          </w:rPr>
          <w:t>Saccharomyces cerevisiae</w:t>
        </w:r>
        <w:r w:rsidRPr="00E9389E">
          <w:t xml:space="preserve">, followed by </w:t>
        </w:r>
        <w:r w:rsidRPr="00E9389E">
          <w:rPr>
            <w:i/>
            <w:iCs/>
          </w:rPr>
          <w:t>Debaryomyces hansenii</w:t>
        </w:r>
        <w:r w:rsidRPr="00E9389E">
          <w:t xml:space="preserve"> also from the </w:t>
        </w:r>
        <w:r w:rsidRPr="00E9389E">
          <w:rPr>
            <w:i/>
            <w:iCs/>
          </w:rPr>
          <w:t>Saccharomycetaceae</w:t>
        </w:r>
        <w:r w:rsidRPr="00E9389E">
          <w:t xml:space="preserve"> family, the difference between their abundance being 10-fold</w:t>
        </w:r>
        <w:r>
          <w:t xml:space="preserve"> (Figure </w:t>
        </w:r>
      </w:ins>
      <w:ins w:id="531" w:author="Urša Miklavčič [2]" w:date="2026-04-17T11:55:00Z" w16du:dateUtc="2026-04-17T09:55:00Z">
        <w:r>
          <w:t>9</w:t>
        </w:r>
      </w:ins>
      <w:ins w:id="532" w:author="Urša Miklavčič [2]" w:date="2026-04-17T11:54:00Z" w16du:dateUtc="2026-04-17T09:54:00Z">
        <w:r>
          <w:t>)</w:t>
        </w:r>
        <w:r w:rsidRPr="00E9389E">
          <w:t>. All other fungal species represented less than 0.0001 % of reads in all samples combine</w:t>
        </w:r>
        <w:r>
          <w:t xml:space="preserve">d and were mainly from the </w:t>
        </w:r>
        <w:r w:rsidRPr="00E9389E">
          <w:t xml:space="preserve">phylum </w:t>
        </w:r>
        <w:r w:rsidRPr="00E9389E">
          <w:rPr>
            <w:i/>
            <w:iCs/>
          </w:rPr>
          <w:t>Ascomycetota</w:t>
        </w:r>
        <w:r w:rsidRPr="00E9389E">
          <w:t xml:space="preserve"> such as </w:t>
        </w:r>
        <w:r w:rsidRPr="00E9389E">
          <w:rPr>
            <w:i/>
            <w:iCs/>
          </w:rPr>
          <w:t>Penicillium nalgiovense</w:t>
        </w:r>
        <w:r w:rsidRPr="00E9389E">
          <w:t xml:space="preserve">, </w:t>
        </w:r>
        <w:r w:rsidRPr="00E9389E">
          <w:rPr>
            <w:i/>
            <w:iCs/>
          </w:rPr>
          <w:t>Candida albicans</w:t>
        </w:r>
        <w:r w:rsidRPr="00E9389E">
          <w:t xml:space="preserve">, </w:t>
        </w:r>
        <w:r w:rsidRPr="00E9389E">
          <w:rPr>
            <w:i/>
            <w:iCs/>
          </w:rPr>
          <w:t>Candida sake</w:t>
        </w:r>
        <w:r w:rsidRPr="00E9389E">
          <w:t xml:space="preserve">, </w:t>
        </w:r>
        <w:r w:rsidRPr="00E9389E">
          <w:rPr>
            <w:i/>
            <w:iCs/>
          </w:rPr>
          <w:t>Yarrowia lipolytica</w:t>
        </w:r>
        <w:r w:rsidRPr="00E9389E">
          <w:t xml:space="preserve"> </w:t>
        </w:r>
        <w:r>
          <w:t>and</w:t>
        </w:r>
        <w:r w:rsidRPr="00E9389E">
          <w:t xml:space="preserve"> </w:t>
        </w:r>
        <w:r w:rsidRPr="00E9389E">
          <w:rPr>
            <w:i/>
            <w:iCs/>
          </w:rPr>
          <w:t>Saccharomyces cerevisiae</w:t>
        </w:r>
        <w:r w:rsidRPr="00E9389E">
          <w:t xml:space="preserve"> (Figure </w:t>
        </w:r>
      </w:ins>
      <w:ins w:id="533" w:author="Urša Miklavčič [2]" w:date="2026-04-17T11:55:00Z" w16du:dateUtc="2026-04-17T09:55:00Z">
        <w:r>
          <w:t>9</w:t>
        </w:r>
      </w:ins>
      <w:ins w:id="534" w:author="Urša Miklavčič [2]" w:date="2026-04-17T11:54:00Z" w16du:dateUtc="2026-04-17T09:54:00Z">
        <w:r w:rsidRPr="00E9389E">
          <w:t xml:space="preserve">). We also detected one fungal species outside </w:t>
        </w:r>
        <w:r w:rsidRPr="00E9389E">
          <w:rPr>
            <w:i/>
            <w:iCs/>
          </w:rPr>
          <w:t>Ascomycetota</w:t>
        </w:r>
        <w:r w:rsidRPr="00E9389E">
          <w:t xml:space="preserve"> phylum </w:t>
        </w:r>
        <w:r w:rsidRPr="00E9389E">
          <w:rPr>
            <w:i/>
            <w:iCs/>
          </w:rPr>
          <w:t>Wallemia mellicola</w:t>
        </w:r>
        <w:r>
          <w:t xml:space="preserve">. </w:t>
        </w:r>
      </w:ins>
    </w:p>
    <w:p w14:paraId="41526ED3" w14:textId="60337353" w:rsidR="00591EA4" w:rsidRDefault="005E294F" w:rsidP="00AD5011">
      <w:pPr>
        <w:rPr>
          <w:ins w:id="535" w:author="Urša Miklavčič [2]" w:date="2026-04-17T11:56:00Z" w16du:dateUtc="2026-04-17T09:56:00Z"/>
          <w:rFonts w:cs="Times New Roman"/>
          <w:szCs w:val="24"/>
        </w:rPr>
      </w:pPr>
      <w:del w:id="536" w:author="Urša Miklavčič [2]" w:date="2026-04-17T11:54:00Z" w16du:dateUtc="2026-04-17T09:54:00Z">
        <w:r w:rsidRPr="00D93D74" w:rsidDel="00AD5011">
          <w:rPr>
            <w:rFonts w:cs="Times New Roman"/>
            <w:szCs w:val="24"/>
          </w:rPr>
          <w:delText>in 8</w:delText>
        </w:r>
        <w:r w:rsidR="007C0931" w:rsidRPr="00D93D74" w:rsidDel="00AD5011">
          <w:rPr>
            <w:rFonts w:cs="Times New Roman"/>
            <w:szCs w:val="24"/>
          </w:rPr>
          <w:delText xml:space="preserve"> out of </w:delText>
        </w:r>
        <w:r w:rsidRPr="00D93D74" w:rsidDel="00AD5011">
          <w:rPr>
            <w:rFonts w:cs="Times New Roman"/>
            <w:szCs w:val="24"/>
          </w:rPr>
          <w:delText>9 individuals in ou</w:delText>
        </w:r>
        <w:r w:rsidR="007C0931" w:rsidRPr="00D93D74" w:rsidDel="00AD5011">
          <w:rPr>
            <w:rFonts w:cs="Times New Roman"/>
            <w:szCs w:val="24"/>
          </w:rPr>
          <w:delText>r</w:delText>
        </w:r>
        <w:r w:rsidRPr="00D93D74" w:rsidDel="00AD5011">
          <w:rPr>
            <w:rFonts w:cs="Times New Roman"/>
            <w:szCs w:val="24"/>
          </w:rPr>
          <w:delText xml:space="preserve"> cohort</w:delText>
        </w:r>
        <w:r w:rsidR="00EC1414" w:rsidRPr="00D93D74" w:rsidDel="00AD5011">
          <w:rPr>
            <w:rFonts w:cs="Times New Roman"/>
            <w:szCs w:val="24"/>
          </w:rPr>
          <w:delText xml:space="preserve">, but not persistently throughout the </w:delText>
        </w:r>
        <w:r w:rsidR="007C0931" w:rsidRPr="00D93D74" w:rsidDel="00AD5011">
          <w:rPr>
            <w:rFonts w:cs="Times New Roman"/>
            <w:szCs w:val="24"/>
          </w:rPr>
          <w:delText xml:space="preserve">study </w:delText>
        </w:r>
        <w:r w:rsidR="00EC1414" w:rsidRPr="00D93D74" w:rsidDel="00AD5011">
          <w:rPr>
            <w:rFonts w:cs="Times New Roman"/>
            <w:szCs w:val="24"/>
          </w:rPr>
          <w:delText xml:space="preserve">duration </w:delText>
        </w:r>
        <w:r w:rsidR="00591EA4" w:rsidRPr="00D93D74" w:rsidDel="00AD5011">
          <w:rPr>
            <w:rFonts w:cs="Times New Roman"/>
            <w:szCs w:val="24"/>
          </w:rPr>
          <w:delText>as detected by MetaPhlAn</w:delText>
        </w:r>
        <w:r w:rsidRPr="00D93D74" w:rsidDel="00AD5011">
          <w:rPr>
            <w:rFonts w:cs="Times New Roman"/>
            <w:szCs w:val="24"/>
          </w:rPr>
          <w:delText xml:space="preserve">. </w:delText>
        </w:r>
        <w:r w:rsidR="0097501B" w:rsidRPr="00D93D74" w:rsidDel="00AD5011">
          <w:rPr>
            <w:rFonts w:cs="Times New Roman"/>
            <w:szCs w:val="24"/>
          </w:rPr>
          <w:delText xml:space="preserve">In 7 out of 9 individuals (B, C, D, E, F, G, H, I), we detected fungal species </w:delText>
        </w:r>
        <w:r w:rsidR="0097501B" w:rsidRPr="00D93D74" w:rsidDel="00AD5011">
          <w:rPr>
            <w:rFonts w:cs="Times New Roman"/>
            <w:i/>
            <w:iCs/>
            <w:szCs w:val="24"/>
          </w:rPr>
          <w:delText>Saccharomyces cerevisiae</w:delText>
        </w:r>
        <w:r w:rsidR="0097501B" w:rsidRPr="00D93D74" w:rsidDel="00AD5011">
          <w:rPr>
            <w:rFonts w:cs="Times New Roman"/>
            <w:szCs w:val="24"/>
          </w:rPr>
          <w:delText xml:space="preserve"> but not consistently though out the study and in </w:delText>
        </w:r>
        <w:r w:rsidR="006A3531" w:rsidRPr="00D93D74" w:rsidDel="00AD5011">
          <w:rPr>
            <w:rFonts w:cs="Times New Roman"/>
            <w:szCs w:val="24"/>
          </w:rPr>
          <w:delText xml:space="preserve">4 out of 9 individuals (C, D, E, H), we detected the genus </w:delText>
        </w:r>
        <w:r w:rsidR="006A3531" w:rsidRPr="00D93D74" w:rsidDel="00AD5011">
          <w:rPr>
            <w:rFonts w:cs="Times New Roman"/>
            <w:i/>
            <w:iCs/>
            <w:szCs w:val="24"/>
          </w:rPr>
          <w:delText xml:space="preserve">Blastocystis </w:delText>
        </w:r>
        <w:r w:rsidR="006A3531" w:rsidRPr="00D93D74" w:rsidDel="00AD5011">
          <w:rPr>
            <w:rFonts w:cs="Times New Roman"/>
            <w:szCs w:val="24"/>
          </w:rPr>
          <w:delText>at low abundances (0.01 to 0.6% of total relative abundance)</w:delText>
        </w:r>
        <w:r w:rsidR="0097501B" w:rsidRPr="00D93D74" w:rsidDel="00AD5011">
          <w:rPr>
            <w:rFonts w:cs="Times New Roman"/>
            <w:szCs w:val="24"/>
          </w:rPr>
          <w:delText xml:space="preserve">. </w:delText>
        </w:r>
        <w:r w:rsidR="00723A85" w:rsidRPr="00D93D74" w:rsidDel="00AD5011">
          <w:rPr>
            <w:rFonts w:cs="Times New Roman"/>
            <w:szCs w:val="24"/>
          </w:rPr>
          <w:delText>9</w:delText>
        </w:r>
      </w:del>
    </w:p>
    <w:p w14:paraId="6F6AFB7A" w14:textId="7EDF984C" w:rsidR="00AD5011" w:rsidRPr="00DF434D" w:rsidRDefault="00AD5011" w:rsidP="00AD5011">
      <w:pPr>
        <w:rPr>
          <w:ins w:id="537" w:author="Urša Miklavčič [2]" w:date="2026-04-17T11:56:00Z" w16du:dateUtc="2026-04-17T09:56:00Z"/>
          <w:sz w:val="22"/>
          <w:rPrChange w:id="538" w:author="Urša Miklavčič [2]" w:date="2026-04-17T16:14:00Z" w16du:dateUtc="2026-04-17T14:14:00Z">
            <w:rPr>
              <w:ins w:id="539" w:author="Urša Miklavčič [2]" w:date="2026-04-17T11:56:00Z" w16du:dateUtc="2026-04-17T09:56:00Z"/>
            </w:rPr>
          </w:rPrChange>
        </w:rPr>
      </w:pPr>
      <w:ins w:id="540" w:author="Urša Miklavčič [2]" w:date="2026-04-17T11:56:00Z" w16du:dateUtc="2026-04-17T09:56:00Z">
        <w:r w:rsidRPr="00DF434D">
          <w:rPr>
            <w:sz w:val="22"/>
            <w:rPrChange w:id="541" w:author="Urša Miklavčič [2]" w:date="2026-04-17T16:14:00Z" w16du:dateUtc="2026-04-17T14:14:00Z">
              <w:rPr/>
            </w:rPrChange>
          </w:rPr>
          <w:t xml:space="preserve">Table 1. Eukaryotic species detected with MetaPhlAn and EukDetect. </w:t>
        </w:r>
      </w:ins>
    </w:p>
    <w:tbl>
      <w:tblPr>
        <w:tblW w:w="6663" w:type="dxa"/>
        <w:tblCellMar>
          <w:left w:w="70" w:type="dxa"/>
          <w:right w:w="70" w:type="dxa"/>
        </w:tblCellMar>
        <w:tblLook w:val="04A0" w:firstRow="1" w:lastRow="0" w:firstColumn="1" w:lastColumn="0" w:noHBand="0" w:noVBand="1"/>
        <w:tblPrChange w:id="542" w:author="Urša Miklavčič [2]" w:date="2026-04-17T16:14:00Z" w16du:dateUtc="2026-04-17T14:14:00Z">
          <w:tblPr>
            <w:tblW w:w="6663" w:type="dxa"/>
            <w:tblCellMar>
              <w:left w:w="70" w:type="dxa"/>
              <w:right w:w="70" w:type="dxa"/>
            </w:tblCellMar>
            <w:tblLook w:val="04A0" w:firstRow="1" w:lastRow="0" w:firstColumn="1" w:lastColumn="0" w:noHBand="0" w:noVBand="1"/>
          </w:tblPr>
        </w:tblPrChange>
      </w:tblPr>
      <w:tblGrid>
        <w:gridCol w:w="3261"/>
        <w:gridCol w:w="1984"/>
        <w:gridCol w:w="1418"/>
        <w:tblGridChange w:id="543">
          <w:tblGrid>
            <w:gridCol w:w="3261"/>
            <w:gridCol w:w="1984"/>
            <w:gridCol w:w="1418"/>
          </w:tblGrid>
        </w:tblGridChange>
      </w:tblGrid>
      <w:tr w:rsidR="00AD5011" w:rsidRPr="00E9389E" w14:paraId="6D5E2D29" w14:textId="77777777" w:rsidTr="00DF434D">
        <w:trPr>
          <w:trHeight w:val="300"/>
          <w:tblHeader/>
          <w:ins w:id="544" w:author="Urša Miklavčič [2]" w:date="2026-04-17T11:56:00Z"/>
          <w:trPrChange w:id="545" w:author="Urša Miklavčič [2]" w:date="2026-04-17T16:14:00Z" w16du:dateUtc="2026-04-17T14:14:00Z">
            <w:trPr>
              <w:trHeight w:val="300"/>
            </w:trPr>
          </w:trPrChange>
        </w:trPr>
        <w:tc>
          <w:tcPr>
            <w:tcW w:w="3261" w:type="dxa"/>
            <w:tcBorders>
              <w:top w:val="single" w:sz="4" w:space="0" w:color="auto"/>
              <w:left w:val="nil"/>
              <w:bottom w:val="single" w:sz="4" w:space="0" w:color="auto"/>
              <w:right w:val="nil"/>
            </w:tcBorders>
            <w:noWrap/>
            <w:vAlign w:val="bottom"/>
            <w:hideMark/>
            <w:tcPrChange w:id="546" w:author="Urša Miklavčič [2]" w:date="2026-04-17T16:14:00Z" w16du:dateUtc="2026-04-17T14:14:00Z">
              <w:tcPr>
                <w:tcW w:w="3261" w:type="dxa"/>
                <w:tcBorders>
                  <w:top w:val="single" w:sz="4" w:space="0" w:color="auto"/>
                  <w:left w:val="nil"/>
                  <w:bottom w:val="single" w:sz="4" w:space="0" w:color="auto"/>
                  <w:right w:val="nil"/>
                </w:tcBorders>
                <w:noWrap/>
                <w:vAlign w:val="bottom"/>
                <w:hideMark/>
              </w:tcPr>
            </w:tcPrChange>
          </w:tcPr>
          <w:p w14:paraId="763E5E6B" w14:textId="77777777" w:rsidR="00AD5011" w:rsidRPr="00DF434D" w:rsidRDefault="00AD5011" w:rsidP="009D2E7E">
            <w:pPr>
              <w:spacing w:after="0" w:line="240" w:lineRule="auto"/>
              <w:jc w:val="left"/>
              <w:rPr>
                <w:ins w:id="547" w:author="Urša Miklavčič [2]" w:date="2026-04-17T11:56:00Z" w16du:dateUtc="2026-04-17T09:56:00Z"/>
                <w:rFonts w:eastAsia="Times New Roman"/>
                <w:b/>
                <w:bCs/>
                <w:color w:val="000000"/>
                <w:sz w:val="22"/>
                <w:lang w:eastAsia="sl-SI"/>
              </w:rPr>
            </w:pPr>
            <w:ins w:id="548" w:author="Urša Miklavčič [2]" w:date="2026-04-17T11:56:00Z" w16du:dateUtc="2026-04-17T09:56:00Z">
              <w:r w:rsidRPr="00DF434D">
                <w:rPr>
                  <w:rFonts w:eastAsia="Times New Roman"/>
                  <w:b/>
                  <w:bCs/>
                  <w:color w:val="000000"/>
                  <w:sz w:val="22"/>
                  <w:lang w:eastAsia="sl-SI"/>
                </w:rPr>
                <w:t xml:space="preserve">Eukaryotes </w:t>
              </w:r>
            </w:ins>
          </w:p>
        </w:tc>
        <w:tc>
          <w:tcPr>
            <w:tcW w:w="1984" w:type="dxa"/>
            <w:tcBorders>
              <w:top w:val="single" w:sz="4" w:space="0" w:color="auto"/>
              <w:left w:val="nil"/>
              <w:bottom w:val="single" w:sz="4" w:space="0" w:color="auto"/>
              <w:right w:val="nil"/>
            </w:tcBorders>
            <w:noWrap/>
            <w:vAlign w:val="bottom"/>
            <w:hideMark/>
            <w:tcPrChange w:id="549" w:author="Urša Miklavčič [2]" w:date="2026-04-17T16:14:00Z" w16du:dateUtc="2026-04-17T14:14:00Z">
              <w:tcPr>
                <w:tcW w:w="1984" w:type="dxa"/>
                <w:tcBorders>
                  <w:top w:val="single" w:sz="4" w:space="0" w:color="auto"/>
                  <w:left w:val="nil"/>
                  <w:bottom w:val="single" w:sz="4" w:space="0" w:color="auto"/>
                  <w:right w:val="nil"/>
                </w:tcBorders>
                <w:noWrap/>
                <w:vAlign w:val="bottom"/>
                <w:hideMark/>
              </w:tcPr>
            </w:tcPrChange>
          </w:tcPr>
          <w:p w14:paraId="51B92CAD" w14:textId="77777777" w:rsidR="00AD5011" w:rsidRPr="00DF434D" w:rsidRDefault="00AD5011" w:rsidP="009D2E7E">
            <w:pPr>
              <w:spacing w:after="0" w:line="240" w:lineRule="auto"/>
              <w:jc w:val="left"/>
              <w:rPr>
                <w:ins w:id="550" w:author="Urša Miklavčič [2]" w:date="2026-04-17T11:56:00Z" w16du:dateUtc="2026-04-17T09:56:00Z"/>
                <w:rFonts w:eastAsia="Times New Roman"/>
                <w:b/>
                <w:bCs/>
                <w:color w:val="000000"/>
                <w:sz w:val="22"/>
                <w:lang w:eastAsia="sl-SI"/>
              </w:rPr>
            </w:pPr>
            <w:ins w:id="551" w:author="Urša Miklavčič [2]" w:date="2026-04-17T11:56:00Z" w16du:dateUtc="2026-04-17T09:56:00Z">
              <w:r w:rsidRPr="00DF434D">
                <w:rPr>
                  <w:rFonts w:eastAsia="Times New Roman"/>
                  <w:b/>
                  <w:bCs/>
                  <w:color w:val="000000"/>
                  <w:sz w:val="22"/>
                  <w:lang w:eastAsia="sl-SI"/>
                </w:rPr>
                <w:t>MetaPhlAn</w:t>
              </w:r>
            </w:ins>
          </w:p>
        </w:tc>
        <w:tc>
          <w:tcPr>
            <w:tcW w:w="1418" w:type="dxa"/>
            <w:tcBorders>
              <w:top w:val="single" w:sz="4" w:space="0" w:color="auto"/>
              <w:left w:val="nil"/>
              <w:bottom w:val="single" w:sz="4" w:space="0" w:color="auto"/>
              <w:right w:val="nil"/>
            </w:tcBorders>
            <w:noWrap/>
            <w:vAlign w:val="bottom"/>
            <w:hideMark/>
            <w:tcPrChange w:id="552" w:author="Urša Miklavčič [2]" w:date="2026-04-17T16:14:00Z" w16du:dateUtc="2026-04-17T14:14:00Z">
              <w:tcPr>
                <w:tcW w:w="1418" w:type="dxa"/>
                <w:tcBorders>
                  <w:top w:val="single" w:sz="4" w:space="0" w:color="auto"/>
                  <w:left w:val="nil"/>
                  <w:bottom w:val="single" w:sz="4" w:space="0" w:color="auto"/>
                  <w:right w:val="nil"/>
                </w:tcBorders>
                <w:noWrap/>
                <w:vAlign w:val="bottom"/>
                <w:hideMark/>
              </w:tcPr>
            </w:tcPrChange>
          </w:tcPr>
          <w:p w14:paraId="47F3C1CA" w14:textId="77777777" w:rsidR="00AD5011" w:rsidRPr="00DF434D" w:rsidRDefault="00AD5011" w:rsidP="009D2E7E">
            <w:pPr>
              <w:spacing w:after="0" w:line="240" w:lineRule="auto"/>
              <w:jc w:val="left"/>
              <w:rPr>
                <w:ins w:id="553" w:author="Urša Miklavčič [2]" w:date="2026-04-17T11:56:00Z" w16du:dateUtc="2026-04-17T09:56:00Z"/>
                <w:rFonts w:eastAsia="Times New Roman"/>
                <w:b/>
                <w:bCs/>
                <w:color w:val="000000"/>
                <w:sz w:val="22"/>
                <w:lang w:eastAsia="sl-SI"/>
              </w:rPr>
            </w:pPr>
            <w:ins w:id="554" w:author="Urša Miklavčič [2]" w:date="2026-04-17T11:56:00Z" w16du:dateUtc="2026-04-17T09:56:00Z">
              <w:r w:rsidRPr="00DF434D">
                <w:rPr>
                  <w:rFonts w:eastAsia="Times New Roman"/>
                  <w:b/>
                  <w:bCs/>
                  <w:color w:val="000000"/>
                  <w:sz w:val="22"/>
                  <w:lang w:eastAsia="sl-SI"/>
                </w:rPr>
                <w:t>EukDetect</w:t>
              </w:r>
            </w:ins>
          </w:p>
        </w:tc>
      </w:tr>
      <w:tr w:rsidR="00AD5011" w:rsidRPr="00E9389E" w14:paraId="0A1BB8F6" w14:textId="77777777" w:rsidTr="009D2E7E">
        <w:trPr>
          <w:trHeight w:val="300"/>
          <w:ins w:id="555" w:author="Urša Miklavčič [2]" w:date="2026-04-17T11:56:00Z"/>
        </w:trPr>
        <w:tc>
          <w:tcPr>
            <w:tcW w:w="3261" w:type="dxa"/>
            <w:tcBorders>
              <w:top w:val="nil"/>
              <w:left w:val="nil"/>
              <w:bottom w:val="single" w:sz="4" w:space="0" w:color="auto"/>
              <w:right w:val="nil"/>
            </w:tcBorders>
            <w:noWrap/>
            <w:vAlign w:val="bottom"/>
            <w:hideMark/>
          </w:tcPr>
          <w:p w14:paraId="50F7625F" w14:textId="77777777" w:rsidR="00AD5011" w:rsidRPr="00DF434D" w:rsidRDefault="00AD5011" w:rsidP="009D2E7E">
            <w:pPr>
              <w:spacing w:after="0" w:line="240" w:lineRule="auto"/>
              <w:jc w:val="left"/>
              <w:rPr>
                <w:ins w:id="556" w:author="Urša Miklavčič [2]" w:date="2026-04-17T11:56:00Z" w16du:dateUtc="2026-04-17T09:56:00Z"/>
                <w:rFonts w:eastAsia="Times New Roman"/>
                <w:b/>
                <w:bCs/>
                <w:color w:val="000000"/>
                <w:sz w:val="22"/>
                <w:lang w:eastAsia="sl-SI"/>
              </w:rPr>
            </w:pPr>
            <w:ins w:id="557" w:author="Urša Miklavčič [2]" w:date="2026-04-17T11:56:00Z" w16du:dateUtc="2026-04-17T09:56:00Z">
              <w:r w:rsidRPr="00DF434D">
                <w:rPr>
                  <w:rFonts w:eastAsia="Times New Roman"/>
                  <w:b/>
                  <w:bCs/>
                  <w:color w:val="000000"/>
                  <w:sz w:val="22"/>
                  <w:lang w:eastAsia="sl-SI"/>
                </w:rPr>
                <w:t xml:space="preserve">Fungal species </w:t>
              </w:r>
            </w:ins>
          </w:p>
        </w:tc>
        <w:tc>
          <w:tcPr>
            <w:tcW w:w="1984" w:type="dxa"/>
            <w:tcBorders>
              <w:top w:val="nil"/>
              <w:left w:val="nil"/>
              <w:bottom w:val="single" w:sz="4" w:space="0" w:color="auto"/>
              <w:right w:val="nil"/>
            </w:tcBorders>
            <w:noWrap/>
            <w:vAlign w:val="bottom"/>
            <w:hideMark/>
          </w:tcPr>
          <w:p w14:paraId="3D85C6AE" w14:textId="77777777" w:rsidR="00AD5011" w:rsidRPr="00DF434D" w:rsidRDefault="00AD5011" w:rsidP="009D2E7E">
            <w:pPr>
              <w:spacing w:after="0" w:line="240" w:lineRule="auto"/>
              <w:jc w:val="left"/>
              <w:rPr>
                <w:ins w:id="558" w:author="Urša Miklavčič [2]" w:date="2026-04-17T11:56:00Z" w16du:dateUtc="2026-04-17T09:56:00Z"/>
                <w:rFonts w:eastAsia="Times New Roman"/>
                <w:b/>
                <w:bCs/>
                <w:color w:val="000000"/>
                <w:sz w:val="22"/>
                <w:lang w:eastAsia="sl-SI"/>
              </w:rPr>
            </w:pPr>
            <w:ins w:id="559" w:author="Urša Miklavčič [2]" w:date="2026-04-17T11:56:00Z" w16du:dateUtc="2026-04-17T09:56:00Z">
              <w:r w:rsidRPr="00DF434D">
                <w:rPr>
                  <w:rFonts w:eastAsia="Times New Roman"/>
                  <w:b/>
                  <w:bCs/>
                  <w:color w:val="000000"/>
                  <w:sz w:val="22"/>
                  <w:lang w:eastAsia="sl-SI"/>
                </w:rPr>
                <w:t> </w:t>
              </w:r>
            </w:ins>
          </w:p>
        </w:tc>
        <w:tc>
          <w:tcPr>
            <w:tcW w:w="1418" w:type="dxa"/>
            <w:tcBorders>
              <w:top w:val="nil"/>
              <w:left w:val="nil"/>
              <w:bottom w:val="single" w:sz="4" w:space="0" w:color="auto"/>
              <w:right w:val="nil"/>
            </w:tcBorders>
            <w:noWrap/>
            <w:vAlign w:val="bottom"/>
            <w:hideMark/>
          </w:tcPr>
          <w:p w14:paraId="5023D7D4" w14:textId="77777777" w:rsidR="00AD5011" w:rsidRPr="00DF434D" w:rsidRDefault="00AD5011" w:rsidP="009D2E7E">
            <w:pPr>
              <w:spacing w:after="0" w:line="240" w:lineRule="auto"/>
              <w:jc w:val="left"/>
              <w:rPr>
                <w:ins w:id="560" w:author="Urša Miklavčič [2]" w:date="2026-04-17T11:56:00Z" w16du:dateUtc="2026-04-17T09:56:00Z"/>
                <w:rFonts w:eastAsia="Times New Roman"/>
                <w:b/>
                <w:bCs/>
                <w:color w:val="000000"/>
                <w:sz w:val="22"/>
                <w:lang w:eastAsia="sl-SI"/>
              </w:rPr>
            </w:pPr>
            <w:ins w:id="561" w:author="Urša Miklavčič [2]" w:date="2026-04-17T11:56:00Z" w16du:dateUtc="2026-04-17T09:56:00Z">
              <w:r w:rsidRPr="00DF434D">
                <w:rPr>
                  <w:rFonts w:eastAsia="Times New Roman"/>
                  <w:b/>
                  <w:bCs/>
                  <w:color w:val="000000"/>
                  <w:sz w:val="22"/>
                  <w:lang w:eastAsia="sl-SI"/>
                </w:rPr>
                <w:t> </w:t>
              </w:r>
            </w:ins>
          </w:p>
        </w:tc>
      </w:tr>
      <w:tr w:rsidR="00AD5011" w:rsidRPr="00E9389E" w14:paraId="6A140F10" w14:textId="77777777" w:rsidTr="009D2E7E">
        <w:trPr>
          <w:trHeight w:val="300"/>
          <w:ins w:id="562" w:author="Urša Miklavčič [2]" w:date="2026-04-17T11:56:00Z"/>
        </w:trPr>
        <w:tc>
          <w:tcPr>
            <w:tcW w:w="3261" w:type="dxa"/>
            <w:tcBorders>
              <w:top w:val="nil"/>
              <w:left w:val="nil"/>
              <w:bottom w:val="nil"/>
              <w:right w:val="nil"/>
            </w:tcBorders>
            <w:noWrap/>
            <w:vAlign w:val="bottom"/>
            <w:hideMark/>
          </w:tcPr>
          <w:p w14:paraId="649359C8" w14:textId="77777777" w:rsidR="00AD5011" w:rsidRPr="00DF434D" w:rsidRDefault="00AD5011" w:rsidP="009D2E7E">
            <w:pPr>
              <w:spacing w:after="0" w:line="240" w:lineRule="auto"/>
              <w:jc w:val="left"/>
              <w:rPr>
                <w:ins w:id="563" w:author="Urša Miklavčič [2]" w:date="2026-04-17T11:56:00Z" w16du:dateUtc="2026-04-17T09:56:00Z"/>
                <w:rFonts w:eastAsia="Times New Roman"/>
                <w:i/>
                <w:iCs/>
                <w:color w:val="000000"/>
                <w:sz w:val="22"/>
                <w:lang w:eastAsia="sl-SI"/>
              </w:rPr>
            </w:pPr>
            <w:ins w:id="564" w:author="Urša Miklavčič [2]" w:date="2026-04-17T11:56:00Z" w16du:dateUtc="2026-04-17T09:56:00Z">
              <w:r w:rsidRPr="00DF434D">
                <w:rPr>
                  <w:rFonts w:eastAsia="Times New Roman"/>
                  <w:i/>
                  <w:iCs/>
                  <w:color w:val="000000"/>
                  <w:sz w:val="22"/>
                  <w:lang w:eastAsia="sl-SI"/>
                </w:rPr>
                <w:t>Saccharomyces cerevisiae</w:t>
              </w:r>
              <w:r w:rsidRPr="00DF434D">
                <w:rPr>
                  <w:rFonts w:eastAsia="Times New Roman"/>
                  <w:color w:val="000000"/>
                  <w:sz w:val="22"/>
                  <w:lang w:eastAsia="sl-SI"/>
                </w:rPr>
                <w:t xml:space="preserve"> </w:t>
              </w:r>
            </w:ins>
          </w:p>
        </w:tc>
        <w:tc>
          <w:tcPr>
            <w:tcW w:w="1984" w:type="dxa"/>
            <w:tcBorders>
              <w:top w:val="nil"/>
              <w:left w:val="nil"/>
              <w:bottom w:val="nil"/>
              <w:right w:val="nil"/>
            </w:tcBorders>
            <w:noWrap/>
            <w:vAlign w:val="bottom"/>
            <w:hideMark/>
          </w:tcPr>
          <w:p w14:paraId="03E83224" w14:textId="77777777" w:rsidR="00AD5011" w:rsidRPr="00DF434D" w:rsidRDefault="00AD5011" w:rsidP="009D2E7E">
            <w:pPr>
              <w:spacing w:after="0" w:line="240" w:lineRule="auto"/>
              <w:jc w:val="left"/>
              <w:rPr>
                <w:ins w:id="565" w:author="Urša Miklavčič [2]" w:date="2026-04-17T11:56:00Z" w16du:dateUtc="2026-04-17T09:56:00Z"/>
                <w:rFonts w:eastAsia="Times New Roman"/>
                <w:color w:val="000000"/>
                <w:sz w:val="22"/>
                <w:lang w:eastAsia="sl-SI"/>
              </w:rPr>
            </w:pPr>
            <w:ins w:id="566" w:author="Urša Miklavčič [2]"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noWrap/>
            <w:vAlign w:val="bottom"/>
            <w:hideMark/>
          </w:tcPr>
          <w:p w14:paraId="7DD83271" w14:textId="77777777" w:rsidR="00AD5011" w:rsidRPr="00DF434D" w:rsidRDefault="00AD5011" w:rsidP="009D2E7E">
            <w:pPr>
              <w:spacing w:after="0" w:line="240" w:lineRule="auto"/>
              <w:jc w:val="left"/>
              <w:rPr>
                <w:ins w:id="567" w:author="Urša Miklavčič [2]" w:date="2026-04-17T11:56:00Z" w16du:dateUtc="2026-04-17T09:56:00Z"/>
                <w:rFonts w:eastAsia="Times New Roman"/>
                <w:color w:val="000000"/>
                <w:sz w:val="22"/>
                <w:lang w:eastAsia="sl-SI"/>
              </w:rPr>
            </w:pPr>
            <w:ins w:id="568" w:author="Urša Miklavčič [2]" w:date="2026-04-17T11:56:00Z" w16du:dateUtc="2026-04-17T09:56:00Z">
              <w:r w:rsidRPr="00DF434D">
                <w:rPr>
                  <w:rFonts w:eastAsia="Times New Roman"/>
                  <w:color w:val="000000"/>
                  <w:sz w:val="22"/>
                  <w:lang w:eastAsia="sl-SI"/>
                </w:rPr>
                <w:t>detected</w:t>
              </w:r>
            </w:ins>
          </w:p>
        </w:tc>
      </w:tr>
      <w:tr w:rsidR="00AD5011" w:rsidRPr="00E9389E" w14:paraId="2F5FF9DC" w14:textId="77777777" w:rsidTr="009D2E7E">
        <w:trPr>
          <w:trHeight w:val="300"/>
          <w:ins w:id="569" w:author="Urša Miklavčič [2]" w:date="2026-04-17T11:56:00Z"/>
        </w:trPr>
        <w:tc>
          <w:tcPr>
            <w:tcW w:w="3261" w:type="dxa"/>
            <w:tcBorders>
              <w:top w:val="nil"/>
              <w:left w:val="nil"/>
              <w:bottom w:val="nil"/>
              <w:right w:val="nil"/>
            </w:tcBorders>
            <w:noWrap/>
            <w:vAlign w:val="bottom"/>
            <w:hideMark/>
          </w:tcPr>
          <w:p w14:paraId="1E92B5F3" w14:textId="77777777" w:rsidR="00AD5011" w:rsidRPr="00DF434D" w:rsidRDefault="00AD5011" w:rsidP="009D2E7E">
            <w:pPr>
              <w:spacing w:after="0" w:line="240" w:lineRule="auto"/>
              <w:jc w:val="left"/>
              <w:rPr>
                <w:ins w:id="570" w:author="Urša Miklavčič [2]" w:date="2026-04-17T11:56:00Z" w16du:dateUtc="2026-04-17T09:56:00Z"/>
                <w:rFonts w:eastAsia="Times New Roman"/>
                <w:i/>
                <w:iCs/>
                <w:color w:val="000000"/>
                <w:sz w:val="22"/>
                <w:lang w:eastAsia="sl-SI"/>
              </w:rPr>
            </w:pPr>
            <w:ins w:id="571" w:author="Urša Miklavčič [2]" w:date="2026-04-17T11:56:00Z" w16du:dateUtc="2026-04-17T09:56:00Z">
              <w:r w:rsidRPr="00DF434D">
                <w:rPr>
                  <w:rFonts w:eastAsia="Times New Roman"/>
                  <w:i/>
                  <w:iCs/>
                  <w:color w:val="000000"/>
                  <w:sz w:val="22"/>
                  <w:lang w:eastAsia="sl-SI"/>
                </w:rPr>
                <w:t>Penicillium nalgiovense</w:t>
              </w:r>
            </w:ins>
          </w:p>
        </w:tc>
        <w:tc>
          <w:tcPr>
            <w:tcW w:w="1984" w:type="dxa"/>
            <w:tcBorders>
              <w:top w:val="nil"/>
              <w:left w:val="nil"/>
              <w:bottom w:val="nil"/>
              <w:right w:val="nil"/>
            </w:tcBorders>
            <w:noWrap/>
            <w:vAlign w:val="bottom"/>
            <w:hideMark/>
          </w:tcPr>
          <w:p w14:paraId="7D5AFCA5" w14:textId="77777777" w:rsidR="00AD5011" w:rsidRPr="00DF434D" w:rsidRDefault="00AD5011" w:rsidP="009D2E7E">
            <w:pPr>
              <w:spacing w:after="0" w:line="240" w:lineRule="auto"/>
              <w:jc w:val="left"/>
              <w:rPr>
                <w:ins w:id="572"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269B5030" w14:textId="77777777" w:rsidR="00AD5011" w:rsidRPr="00DF434D" w:rsidRDefault="00AD5011" w:rsidP="009D2E7E">
            <w:pPr>
              <w:spacing w:after="0" w:line="240" w:lineRule="auto"/>
              <w:jc w:val="left"/>
              <w:rPr>
                <w:ins w:id="573" w:author="Urša Miklavčič [2]" w:date="2026-04-17T11:56:00Z" w16du:dateUtc="2026-04-17T09:56:00Z"/>
                <w:rFonts w:eastAsia="Times New Roman"/>
                <w:color w:val="000000"/>
                <w:sz w:val="22"/>
                <w:lang w:eastAsia="sl-SI"/>
              </w:rPr>
            </w:pPr>
            <w:ins w:id="574" w:author="Urša Miklavčič [2]" w:date="2026-04-17T11:56:00Z" w16du:dateUtc="2026-04-17T09:56:00Z">
              <w:r w:rsidRPr="00DF434D">
                <w:rPr>
                  <w:rFonts w:eastAsia="Times New Roman"/>
                  <w:color w:val="000000"/>
                  <w:sz w:val="22"/>
                  <w:lang w:eastAsia="sl-SI"/>
                </w:rPr>
                <w:t>detected</w:t>
              </w:r>
            </w:ins>
          </w:p>
        </w:tc>
      </w:tr>
      <w:tr w:rsidR="00AD5011" w:rsidRPr="00E9389E" w14:paraId="20ECEE18" w14:textId="77777777" w:rsidTr="009D2E7E">
        <w:trPr>
          <w:trHeight w:val="300"/>
          <w:ins w:id="575" w:author="Urša Miklavčič [2]" w:date="2026-04-17T11:56:00Z"/>
        </w:trPr>
        <w:tc>
          <w:tcPr>
            <w:tcW w:w="3261" w:type="dxa"/>
            <w:tcBorders>
              <w:top w:val="nil"/>
              <w:left w:val="nil"/>
              <w:bottom w:val="nil"/>
              <w:right w:val="nil"/>
            </w:tcBorders>
            <w:noWrap/>
            <w:vAlign w:val="bottom"/>
            <w:hideMark/>
          </w:tcPr>
          <w:p w14:paraId="10013E26" w14:textId="77777777" w:rsidR="00AD5011" w:rsidRPr="00DF434D" w:rsidRDefault="00AD5011" w:rsidP="009D2E7E">
            <w:pPr>
              <w:spacing w:after="0" w:line="240" w:lineRule="auto"/>
              <w:jc w:val="left"/>
              <w:rPr>
                <w:ins w:id="576" w:author="Urša Miklavčič [2]" w:date="2026-04-17T11:56:00Z" w16du:dateUtc="2026-04-17T09:56:00Z"/>
                <w:rFonts w:eastAsia="Times New Roman"/>
                <w:i/>
                <w:iCs/>
                <w:color w:val="000000"/>
                <w:sz w:val="22"/>
                <w:lang w:eastAsia="sl-SI"/>
              </w:rPr>
            </w:pPr>
            <w:ins w:id="577" w:author="Urša Miklavčič [2]" w:date="2026-04-17T11:56:00Z" w16du:dateUtc="2026-04-17T09:56:00Z">
              <w:r w:rsidRPr="00DF434D">
                <w:rPr>
                  <w:rFonts w:eastAsia="Times New Roman"/>
                  <w:i/>
                  <w:iCs/>
                  <w:color w:val="000000"/>
                  <w:sz w:val="22"/>
                  <w:lang w:eastAsia="sl-SI"/>
                </w:rPr>
                <w:t>Candida albicans</w:t>
              </w:r>
            </w:ins>
          </w:p>
        </w:tc>
        <w:tc>
          <w:tcPr>
            <w:tcW w:w="1984" w:type="dxa"/>
            <w:tcBorders>
              <w:top w:val="nil"/>
              <w:left w:val="nil"/>
              <w:bottom w:val="nil"/>
              <w:right w:val="nil"/>
            </w:tcBorders>
            <w:noWrap/>
            <w:vAlign w:val="bottom"/>
            <w:hideMark/>
          </w:tcPr>
          <w:p w14:paraId="1AB9E763" w14:textId="77777777" w:rsidR="00AD5011" w:rsidRPr="00DF434D" w:rsidRDefault="00AD5011" w:rsidP="009D2E7E">
            <w:pPr>
              <w:spacing w:after="0" w:line="240" w:lineRule="auto"/>
              <w:jc w:val="left"/>
              <w:rPr>
                <w:ins w:id="578"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68EE818D" w14:textId="77777777" w:rsidR="00AD5011" w:rsidRPr="00DF434D" w:rsidRDefault="00AD5011" w:rsidP="009D2E7E">
            <w:pPr>
              <w:spacing w:after="0" w:line="240" w:lineRule="auto"/>
              <w:jc w:val="left"/>
              <w:rPr>
                <w:ins w:id="579" w:author="Urša Miklavčič [2]" w:date="2026-04-17T11:56:00Z" w16du:dateUtc="2026-04-17T09:56:00Z"/>
                <w:rFonts w:eastAsia="Times New Roman"/>
                <w:color w:val="000000"/>
                <w:sz w:val="22"/>
                <w:lang w:eastAsia="sl-SI"/>
              </w:rPr>
            </w:pPr>
            <w:ins w:id="580" w:author="Urša Miklavčič [2]" w:date="2026-04-17T11:56:00Z" w16du:dateUtc="2026-04-17T09:56:00Z">
              <w:r w:rsidRPr="00DF434D">
                <w:rPr>
                  <w:rFonts w:eastAsia="Times New Roman"/>
                  <w:color w:val="000000"/>
                  <w:sz w:val="22"/>
                  <w:lang w:eastAsia="sl-SI"/>
                </w:rPr>
                <w:t>detected</w:t>
              </w:r>
            </w:ins>
          </w:p>
        </w:tc>
      </w:tr>
      <w:tr w:rsidR="00AD5011" w:rsidRPr="00E9389E" w14:paraId="73567A3E" w14:textId="77777777" w:rsidTr="009D2E7E">
        <w:trPr>
          <w:trHeight w:val="300"/>
          <w:ins w:id="581" w:author="Urša Miklavčič [2]" w:date="2026-04-17T11:56:00Z"/>
        </w:trPr>
        <w:tc>
          <w:tcPr>
            <w:tcW w:w="3261" w:type="dxa"/>
            <w:tcBorders>
              <w:top w:val="nil"/>
              <w:left w:val="nil"/>
              <w:bottom w:val="nil"/>
              <w:right w:val="nil"/>
            </w:tcBorders>
            <w:noWrap/>
            <w:vAlign w:val="bottom"/>
            <w:hideMark/>
          </w:tcPr>
          <w:p w14:paraId="3C76C977" w14:textId="77777777" w:rsidR="00AD5011" w:rsidRPr="00DF434D" w:rsidRDefault="00AD5011" w:rsidP="009D2E7E">
            <w:pPr>
              <w:spacing w:after="0" w:line="240" w:lineRule="auto"/>
              <w:jc w:val="left"/>
              <w:rPr>
                <w:ins w:id="582" w:author="Urša Miklavčič [2]" w:date="2026-04-17T11:56:00Z" w16du:dateUtc="2026-04-17T09:56:00Z"/>
                <w:rFonts w:eastAsia="Times New Roman"/>
                <w:i/>
                <w:iCs/>
                <w:color w:val="000000"/>
                <w:sz w:val="22"/>
                <w:lang w:eastAsia="sl-SI"/>
              </w:rPr>
            </w:pPr>
            <w:ins w:id="583" w:author="Urša Miklavčič [2]" w:date="2026-04-17T11:56:00Z" w16du:dateUtc="2026-04-17T09:56:00Z">
              <w:r w:rsidRPr="00DF434D">
                <w:rPr>
                  <w:rFonts w:eastAsia="Times New Roman"/>
                  <w:i/>
                  <w:iCs/>
                  <w:color w:val="000000"/>
                  <w:sz w:val="22"/>
                  <w:lang w:eastAsia="sl-SI"/>
                </w:rPr>
                <w:lastRenderedPageBreak/>
                <w:t>Candida sake</w:t>
              </w:r>
            </w:ins>
          </w:p>
        </w:tc>
        <w:tc>
          <w:tcPr>
            <w:tcW w:w="1984" w:type="dxa"/>
            <w:tcBorders>
              <w:top w:val="nil"/>
              <w:left w:val="nil"/>
              <w:bottom w:val="nil"/>
              <w:right w:val="nil"/>
            </w:tcBorders>
            <w:noWrap/>
            <w:vAlign w:val="bottom"/>
            <w:hideMark/>
          </w:tcPr>
          <w:p w14:paraId="341B9D4B" w14:textId="77777777" w:rsidR="00AD5011" w:rsidRPr="00DF434D" w:rsidRDefault="00AD5011" w:rsidP="009D2E7E">
            <w:pPr>
              <w:spacing w:after="0" w:line="240" w:lineRule="auto"/>
              <w:jc w:val="left"/>
              <w:rPr>
                <w:ins w:id="584"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226E0F87" w14:textId="77777777" w:rsidR="00AD5011" w:rsidRPr="00DF434D" w:rsidRDefault="00AD5011" w:rsidP="009D2E7E">
            <w:pPr>
              <w:spacing w:after="0" w:line="240" w:lineRule="auto"/>
              <w:jc w:val="left"/>
              <w:rPr>
                <w:ins w:id="585" w:author="Urša Miklavčič [2]" w:date="2026-04-17T11:56:00Z" w16du:dateUtc="2026-04-17T09:56:00Z"/>
                <w:rFonts w:eastAsia="Times New Roman"/>
                <w:color w:val="000000"/>
                <w:sz w:val="22"/>
                <w:lang w:eastAsia="sl-SI"/>
              </w:rPr>
            </w:pPr>
            <w:ins w:id="586" w:author="Urša Miklavčič [2]" w:date="2026-04-17T11:56:00Z" w16du:dateUtc="2026-04-17T09:56:00Z">
              <w:r w:rsidRPr="00DF434D">
                <w:rPr>
                  <w:rFonts w:eastAsia="Times New Roman"/>
                  <w:color w:val="000000"/>
                  <w:sz w:val="22"/>
                  <w:lang w:eastAsia="sl-SI"/>
                </w:rPr>
                <w:t>detected</w:t>
              </w:r>
            </w:ins>
          </w:p>
        </w:tc>
      </w:tr>
      <w:tr w:rsidR="00AD5011" w:rsidRPr="00E9389E" w14:paraId="018C0F0D" w14:textId="77777777" w:rsidTr="009D2E7E">
        <w:trPr>
          <w:trHeight w:val="300"/>
          <w:ins w:id="587" w:author="Urša Miklavčič [2]" w:date="2026-04-17T11:56:00Z"/>
        </w:trPr>
        <w:tc>
          <w:tcPr>
            <w:tcW w:w="3261" w:type="dxa"/>
            <w:tcBorders>
              <w:top w:val="nil"/>
              <w:left w:val="nil"/>
              <w:bottom w:val="nil"/>
              <w:right w:val="nil"/>
            </w:tcBorders>
            <w:noWrap/>
            <w:vAlign w:val="bottom"/>
            <w:hideMark/>
          </w:tcPr>
          <w:p w14:paraId="579C924F" w14:textId="77777777" w:rsidR="00AD5011" w:rsidRPr="00DF434D" w:rsidRDefault="00AD5011" w:rsidP="009D2E7E">
            <w:pPr>
              <w:spacing w:after="0" w:line="240" w:lineRule="auto"/>
              <w:jc w:val="left"/>
              <w:rPr>
                <w:ins w:id="588" w:author="Urša Miklavčič [2]" w:date="2026-04-17T11:56:00Z" w16du:dateUtc="2026-04-17T09:56:00Z"/>
                <w:rFonts w:eastAsia="Times New Roman"/>
                <w:i/>
                <w:iCs/>
                <w:color w:val="000000"/>
                <w:sz w:val="22"/>
                <w:lang w:eastAsia="sl-SI"/>
              </w:rPr>
            </w:pPr>
            <w:ins w:id="589" w:author="Urša Miklavčič [2]" w:date="2026-04-17T11:56:00Z" w16du:dateUtc="2026-04-17T09:56:00Z">
              <w:r w:rsidRPr="00DF434D">
                <w:rPr>
                  <w:rFonts w:eastAsia="Times New Roman"/>
                  <w:i/>
                  <w:iCs/>
                  <w:color w:val="000000"/>
                  <w:sz w:val="22"/>
                  <w:lang w:eastAsia="sl-SI"/>
                </w:rPr>
                <w:t>Debaryomyces hansenii</w:t>
              </w:r>
            </w:ins>
          </w:p>
        </w:tc>
        <w:tc>
          <w:tcPr>
            <w:tcW w:w="1984" w:type="dxa"/>
            <w:tcBorders>
              <w:top w:val="nil"/>
              <w:left w:val="nil"/>
              <w:bottom w:val="nil"/>
              <w:right w:val="nil"/>
            </w:tcBorders>
            <w:noWrap/>
            <w:vAlign w:val="bottom"/>
            <w:hideMark/>
          </w:tcPr>
          <w:p w14:paraId="2CA5CF38" w14:textId="77777777" w:rsidR="00AD5011" w:rsidRPr="00DF434D" w:rsidRDefault="00AD5011" w:rsidP="009D2E7E">
            <w:pPr>
              <w:spacing w:after="0" w:line="240" w:lineRule="auto"/>
              <w:jc w:val="left"/>
              <w:rPr>
                <w:ins w:id="590"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700B6E1C" w14:textId="77777777" w:rsidR="00AD5011" w:rsidRPr="00DF434D" w:rsidRDefault="00AD5011" w:rsidP="009D2E7E">
            <w:pPr>
              <w:spacing w:after="0" w:line="240" w:lineRule="auto"/>
              <w:jc w:val="left"/>
              <w:rPr>
                <w:ins w:id="591" w:author="Urša Miklavčič [2]" w:date="2026-04-17T11:56:00Z" w16du:dateUtc="2026-04-17T09:56:00Z"/>
                <w:rFonts w:eastAsia="Times New Roman"/>
                <w:color w:val="000000"/>
                <w:sz w:val="22"/>
                <w:lang w:eastAsia="sl-SI"/>
              </w:rPr>
            </w:pPr>
            <w:ins w:id="592" w:author="Urša Miklavčič [2]" w:date="2026-04-17T11:56:00Z" w16du:dateUtc="2026-04-17T09:56:00Z">
              <w:r w:rsidRPr="00DF434D">
                <w:rPr>
                  <w:rFonts w:eastAsia="Times New Roman"/>
                  <w:color w:val="000000"/>
                  <w:sz w:val="22"/>
                  <w:lang w:eastAsia="sl-SI"/>
                </w:rPr>
                <w:t>detected</w:t>
              </w:r>
            </w:ins>
          </w:p>
        </w:tc>
      </w:tr>
      <w:tr w:rsidR="00AD5011" w:rsidRPr="00E9389E" w14:paraId="48AA86B7" w14:textId="77777777" w:rsidTr="009D2E7E">
        <w:trPr>
          <w:trHeight w:val="300"/>
          <w:ins w:id="593" w:author="Urša Miklavčič [2]" w:date="2026-04-17T11:56:00Z"/>
        </w:trPr>
        <w:tc>
          <w:tcPr>
            <w:tcW w:w="3261" w:type="dxa"/>
            <w:tcBorders>
              <w:top w:val="nil"/>
              <w:left w:val="nil"/>
              <w:bottom w:val="nil"/>
              <w:right w:val="nil"/>
            </w:tcBorders>
            <w:noWrap/>
            <w:vAlign w:val="bottom"/>
            <w:hideMark/>
          </w:tcPr>
          <w:p w14:paraId="752A2855" w14:textId="77777777" w:rsidR="00AD5011" w:rsidRPr="00DF434D" w:rsidRDefault="00AD5011" w:rsidP="009D2E7E">
            <w:pPr>
              <w:spacing w:after="0" w:line="240" w:lineRule="auto"/>
              <w:jc w:val="left"/>
              <w:rPr>
                <w:ins w:id="594" w:author="Urša Miklavčič [2]" w:date="2026-04-17T11:56:00Z" w16du:dateUtc="2026-04-17T09:56:00Z"/>
                <w:rFonts w:eastAsia="Times New Roman"/>
                <w:i/>
                <w:iCs/>
                <w:color w:val="000000"/>
                <w:sz w:val="22"/>
                <w:lang w:eastAsia="sl-SI"/>
              </w:rPr>
            </w:pPr>
            <w:ins w:id="595" w:author="Urša Miklavčič [2]" w:date="2026-04-17T11:56:00Z" w16du:dateUtc="2026-04-17T09:56:00Z">
              <w:r w:rsidRPr="00DF434D">
                <w:rPr>
                  <w:rFonts w:eastAsia="Times New Roman"/>
                  <w:i/>
                  <w:iCs/>
                  <w:color w:val="000000"/>
                  <w:sz w:val="22"/>
                  <w:lang w:eastAsia="sl-SI"/>
                </w:rPr>
                <w:t>Yarrowia lipolytica</w:t>
              </w:r>
              <w:r w:rsidRPr="00DF434D">
                <w:rPr>
                  <w:rFonts w:eastAsia="Times New Roman"/>
                  <w:color w:val="000000"/>
                  <w:sz w:val="22"/>
                  <w:lang w:eastAsia="sl-SI"/>
                </w:rPr>
                <w:t xml:space="preserve"> </w:t>
              </w:r>
            </w:ins>
          </w:p>
        </w:tc>
        <w:tc>
          <w:tcPr>
            <w:tcW w:w="1984" w:type="dxa"/>
            <w:tcBorders>
              <w:top w:val="nil"/>
              <w:left w:val="nil"/>
              <w:bottom w:val="nil"/>
              <w:right w:val="nil"/>
            </w:tcBorders>
            <w:noWrap/>
            <w:vAlign w:val="bottom"/>
            <w:hideMark/>
          </w:tcPr>
          <w:p w14:paraId="6D5A3113" w14:textId="77777777" w:rsidR="00AD5011" w:rsidRPr="00DF434D" w:rsidRDefault="00AD5011" w:rsidP="009D2E7E">
            <w:pPr>
              <w:spacing w:after="0" w:line="240" w:lineRule="auto"/>
              <w:jc w:val="left"/>
              <w:rPr>
                <w:ins w:id="596"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3819965F" w14:textId="77777777" w:rsidR="00AD5011" w:rsidRPr="00DF434D" w:rsidRDefault="00AD5011" w:rsidP="009D2E7E">
            <w:pPr>
              <w:spacing w:after="0" w:line="240" w:lineRule="auto"/>
              <w:jc w:val="left"/>
              <w:rPr>
                <w:ins w:id="597" w:author="Urša Miklavčič [2]" w:date="2026-04-17T11:56:00Z" w16du:dateUtc="2026-04-17T09:56:00Z"/>
                <w:rFonts w:eastAsia="Times New Roman"/>
                <w:color w:val="000000"/>
                <w:sz w:val="22"/>
                <w:lang w:eastAsia="sl-SI"/>
              </w:rPr>
            </w:pPr>
            <w:ins w:id="598" w:author="Urša Miklavčič [2]" w:date="2026-04-17T11:56:00Z" w16du:dateUtc="2026-04-17T09:56:00Z">
              <w:r w:rsidRPr="00DF434D">
                <w:rPr>
                  <w:rFonts w:eastAsia="Times New Roman"/>
                  <w:color w:val="000000"/>
                  <w:sz w:val="22"/>
                  <w:lang w:eastAsia="sl-SI"/>
                </w:rPr>
                <w:t>detected</w:t>
              </w:r>
            </w:ins>
          </w:p>
        </w:tc>
      </w:tr>
      <w:tr w:rsidR="00AD5011" w:rsidRPr="00E9389E" w14:paraId="072E8505" w14:textId="77777777" w:rsidTr="009D2E7E">
        <w:trPr>
          <w:trHeight w:val="300"/>
          <w:ins w:id="599" w:author="Urša Miklavčič [2]" w:date="2026-04-17T11:56:00Z"/>
        </w:trPr>
        <w:tc>
          <w:tcPr>
            <w:tcW w:w="3261" w:type="dxa"/>
            <w:tcBorders>
              <w:top w:val="nil"/>
              <w:left w:val="nil"/>
              <w:bottom w:val="nil"/>
              <w:right w:val="nil"/>
            </w:tcBorders>
            <w:noWrap/>
            <w:vAlign w:val="bottom"/>
            <w:hideMark/>
          </w:tcPr>
          <w:p w14:paraId="50FEE9E7" w14:textId="77777777" w:rsidR="00AD5011" w:rsidRPr="00DF434D" w:rsidRDefault="00AD5011" w:rsidP="009D2E7E">
            <w:pPr>
              <w:spacing w:after="0" w:line="240" w:lineRule="auto"/>
              <w:jc w:val="left"/>
              <w:rPr>
                <w:ins w:id="600" w:author="Urša Miklavčič [2]" w:date="2026-04-17T11:56:00Z" w16du:dateUtc="2026-04-17T09:56:00Z"/>
                <w:rFonts w:eastAsia="Times New Roman"/>
                <w:i/>
                <w:iCs/>
                <w:color w:val="000000"/>
                <w:sz w:val="22"/>
                <w:lang w:eastAsia="sl-SI"/>
              </w:rPr>
            </w:pPr>
            <w:ins w:id="601" w:author="Urša Miklavčič [2]" w:date="2026-04-17T11:56:00Z" w16du:dateUtc="2026-04-17T09:56:00Z">
              <w:r w:rsidRPr="00DF434D">
                <w:rPr>
                  <w:rFonts w:eastAsia="Times New Roman"/>
                  <w:i/>
                  <w:iCs/>
                  <w:color w:val="000000"/>
                  <w:sz w:val="22"/>
                  <w:lang w:eastAsia="sl-SI"/>
                </w:rPr>
                <w:t>Wallemia mellicola</w:t>
              </w:r>
              <w:r w:rsidRPr="00DF434D">
                <w:rPr>
                  <w:rFonts w:eastAsia="Times New Roman"/>
                  <w:color w:val="000000"/>
                  <w:sz w:val="22"/>
                  <w:lang w:eastAsia="sl-SI"/>
                </w:rPr>
                <w:t xml:space="preserve"> </w:t>
              </w:r>
            </w:ins>
          </w:p>
        </w:tc>
        <w:tc>
          <w:tcPr>
            <w:tcW w:w="1984" w:type="dxa"/>
            <w:tcBorders>
              <w:top w:val="nil"/>
              <w:left w:val="nil"/>
              <w:bottom w:val="nil"/>
              <w:right w:val="nil"/>
            </w:tcBorders>
            <w:noWrap/>
            <w:vAlign w:val="bottom"/>
            <w:hideMark/>
          </w:tcPr>
          <w:p w14:paraId="5E603170" w14:textId="77777777" w:rsidR="00AD5011" w:rsidRPr="00DF434D" w:rsidRDefault="00AD5011" w:rsidP="009D2E7E">
            <w:pPr>
              <w:spacing w:after="0" w:line="240" w:lineRule="auto"/>
              <w:jc w:val="left"/>
              <w:rPr>
                <w:ins w:id="602"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2B556C75" w14:textId="77777777" w:rsidR="00AD5011" w:rsidRPr="00DF434D" w:rsidRDefault="00AD5011" w:rsidP="009D2E7E">
            <w:pPr>
              <w:spacing w:after="0" w:line="240" w:lineRule="auto"/>
              <w:jc w:val="left"/>
              <w:rPr>
                <w:ins w:id="603" w:author="Urša Miklavčič [2]" w:date="2026-04-17T11:56:00Z" w16du:dateUtc="2026-04-17T09:56:00Z"/>
                <w:rFonts w:eastAsia="Times New Roman"/>
                <w:color w:val="000000"/>
                <w:sz w:val="22"/>
                <w:lang w:eastAsia="sl-SI"/>
              </w:rPr>
            </w:pPr>
            <w:ins w:id="604" w:author="Urša Miklavčič [2]" w:date="2026-04-17T11:56:00Z" w16du:dateUtc="2026-04-17T09:56:00Z">
              <w:r w:rsidRPr="00DF434D">
                <w:rPr>
                  <w:rFonts w:eastAsia="Times New Roman"/>
                  <w:color w:val="000000"/>
                  <w:sz w:val="22"/>
                  <w:lang w:eastAsia="sl-SI"/>
                </w:rPr>
                <w:t>detected</w:t>
              </w:r>
            </w:ins>
          </w:p>
        </w:tc>
      </w:tr>
      <w:tr w:rsidR="00AD5011" w:rsidRPr="00E9389E" w14:paraId="35BCA1D2" w14:textId="77777777" w:rsidTr="009D2E7E">
        <w:trPr>
          <w:trHeight w:val="300"/>
          <w:ins w:id="605" w:author="Urša Miklavčič [2]" w:date="2026-04-17T11:56:00Z"/>
        </w:trPr>
        <w:tc>
          <w:tcPr>
            <w:tcW w:w="3261" w:type="dxa"/>
            <w:tcBorders>
              <w:top w:val="nil"/>
              <w:left w:val="nil"/>
              <w:bottom w:val="single" w:sz="4" w:space="0" w:color="auto"/>
              <w:right w:val="nil"/>
            </w:tcBorders>
            <w:noWrap/>
            <w:vAlign w:val="bottom"/>
            <w:hideMark/>
          </w:tcPr>
          <w:p w14:paraId="1EB1D35B" w14:textId="77777777" w:rsidR="00AD5011" w:rsidRPr="00DF434D" w:rsidRDefault="00AD5011" w:rsidP="009D2E7E">
            <w:pPr>
              <w:spacing w:after="0" w:line="240" w:lineRule="auto"/>
              <w:jc w:val="left"/>
              <w:rPr>
                <w:ins w:id="606" w:author="Urša Miklavčič [2]" w:date="2026-04-17T11:56:00Z" w16du:dateUtc="2026-04-17T09:56:00Z"/>
                <w:rFonts w:eastAsia="Times New Roman"/>
                <w:b/>
                <w:bCs/>
                <w:color w:val="000000"/>
                <w:sz w:val="22"/>
                <w:lang w:eastAsia="sl-SI"/>
              </w:rPr>
            </w:pPr>
            <w:ins w:id="607" w:author="Urša Miklavčič [2]" w:date="2026-04-17T11:56:00Z" w16du:dateUtc="2026-04-17T09:56:00Z">
              <w:r w:rsidRPr="00DF434D">
                <w:rPr>
                  <w:rFonts w:eastAsia="Times New Roman"/>
                  <w:b/>
                  <w:bCs/>
                  <w:color w:val="000000"/>
                  <w:sz w:val="22"/>
                  <w:lang w:eastAsia="sl-SI"/>
                </w:rPr>
                <w:t>Other eukaryotes</w:t>
              </w:r>
            </w:ins>
          </w:p>
        </w:tc>
        <w:tc>
          <w:tcPr>
            <w:tcW w:w="1984" w:type="dxa"/>
            <w:tcBorders>
              <w:top w:val="nil"/>
              <w:left w:val="nil"/>
              <w:bottom w:val="single" w:sz="4" w:space="0" w:color="auto"/>
              <w:right w:val="nil"/>
            </w:tcBorders>
            <w:noWrap/>
            <w:vAlign w:val="bottom"/>
            <w:hideMark/>
          </w:tcPr>
          <w:p w14:paraId="270608ED" w14:textId="77777777" w:rsidR="00AD5011" w:rsidRPr="00DF434D" w:rsidRDefault="00AD5011" w:rsidP="009D2E7E">
            <w:pPr>
              <w:spacing w:after="0" w:line="240" w:lineRule="auto"/>
              <w:jc w:val="left"/>
              <w:rPr>
                <w:ins w:id="608" w:author="Urša Miklavčič [2]" w:date="2026-04-17T11:56:00Z" w16du:dateUtc="2026-04-17T09:56:00Z"/>
                <w:rFonts w:eastAsia="Times New Roman"/>
                <w:color w:val="000000"/>
                <w:sz w:val="22"/>
                <w:lang w:eastAsia="sl-SI"/>
              </w:rPr>
            </w:pPr>
            <w:ins w:id="609" w:author="Urša Miklavčič [2]"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noWrap/>
            <w:vAlign w:val="bottom"/>
            <w:hideMark/>
          </w:tcPr>
          <w:p w14:paraId="2D912EC9" w14:textId="77777777" w:rsidR="00AD5011" w:rsidRPr="00DF434D" w:rsidRDefault="00AD5011" w:rsidP="009D2E7E">
            <w:pPr>
              <w:spacing w:after="0" w:line="240" w:lineRule="auto"/>
              <w:jc w:val="left"/>
              <w:rPr>
                <w:ins w:id="610" w:author="Urša Miklavčič [2]" w:date="2026-04-17T11:56:00Z" w16du:dateUtc="2026-04-17T09:56:00Z"/>
                <w:rFonts w:eastAsia="Times New Roman"/>
                <w:color w:val="000000"/>
                <w:sz w:val="22"/>
                <w:lang w:eastAsia="sl-SI"/>
              </w:rPr>
            </w:pPr>
            <w:ins w:id="611" w:author="Urša Miklavčič [2]" w:date="2026-04-17T11:56:00Z" w16du:dateUtc="2026-04-17T09:56:00Z">
              <w:r w:rsidRPr="00DF434D">
                <w:rPr>
                  <w:rFonts w:eastAsia="Times New Roman"/>
                  <w:color w:val="000000"/>
                  <w:sz w:val="22"/>
                  <w:lang w:eastAsia="sl-SI"/>
                </w:rPr>
                <w:t> </w:t>
              </w:r>
            </w:ins>
          </w:p>
        </w:tc>
      </w:tr>
      <w:tr w:rsidR="00AD5011" w:rsidRPr="00E9389E" w14:paraId="51E7321A" w14:textId="77777777" w:rsidTr="009D2E7E">
        <w:trPr>
          <w:trHeight w:val="300"/>
          <w:ins w:id="612" w:author="Urša Miklavčič [2]" w:date="2026-04-17T11:56:00Z"/>
        </w:trPr>
        <w:tc>
          <w:tcPr>
            <w:tcW w:w="3261" w:type="dxa"/>
            <w:tcBorders>
              <w:top w:val="nil"/>
              <w:left w:val="nil"/>
              <w:bottom w:val="nil"/>
              <w:right w:val="nil"/>
            </w:tcBorders>
            <w:noWrap/>
            <w:vAlign w:val="bottom"/>
            <w:hideMark/>
          </w:tcPr>
          <w:p w14:paraId="2098D619" w14:textId="77777777" w:rsidR="00AD5011" w:rsidRPr="00DF434D" w:rsidRDefault="00AD5011" w:rsidP="009D2E7E">
            <w:pPr>
              <w:spacing w:after="0" w:line="240" w:lineRule="auto"/>
              <w:jc w:val="left"/>
              <w:rPr>
                <w:ins w:id="613" w:author="Urša Miklavčič [2]" w:date="2026-04-17T11:56:00Z" w16du:dateUtc="2026-04-17T09:56:00Z"/>
                <w:rFonts w:eastAsia="Times New Roman"/>
                <w:i/>
                <w:iCs/>
                <w:color w:val="000000"/>
                <w:sz w:val="22"/>
                <w:lang w:eastAsia="sl-SI"/>
              </w:rPr>
            </w:pPr>
            <w:ins w:id="614" w:author="Urša Miklavčič [2]" w:date="2026-04-17T11:56:00Z" w16du:dateUtc="2026-04-17T09:56:00Z">
              <w:r w:rsidRPr="00DF434D">
                <w:rPr>
                  <w:rFonts w:eastAsia="Times New Roman"/>
                  <w:i/>
                  <w:iCs/>
                  <w:color w:val="000000"/>
                  <w:sz w:val="22"/>
                  <w:lang w:eastAsia="sl-SI"/>
                </w:rPr>
                <w:t xml:space="preserve">Blastocystis sp. </w:t>
              </w:r>
            </w:ins>
          </w:p>
        </w:tc>
        <w:tc>
          <w:tcPr>
            <w:tcW w:w="1984" w:type="dxa"/>
            <w:tcBorders>
              <w:top w:val="nil"/>
              <w:left w:val="nil"/>
              <w:bottom w:val="nil"/>
              <w:right w:val="nil"/>
            </w:tcBorders>
            <w:noWrap/>
            <w:vAlign w:val="bottom"/>
            <w:hideMark/>
          </w:tcPr>
          <w:p w14:paraId="225A4AA3" w14:textId="77777777" w:rsidR="00AD5011" w:rsidRPr="00DF434D" w:rsidRDefault="00AD5011" w:rsidP="009D2E7E">
            <w:pPr>
              <w:spacing w:after="0" w:line="240" w:lineRule="auto"/>
              <w:jc w:val="left"/>
              <w:rPr>
                <w:ins w:id="615" w:author="Urša Miklavčič [2]" w:date="2026-04-17T11:56:00Z" w16du:dateUtc="2026-04-17T09:56:00Z"/>
                <w:rFonts w:eastAsia="Times New Roman"/>
                <w:color w:val="000000"/>
                <w:sz w:val="22"/>
                <w:lang w:eastAsia="sl-SI"/>
              </w:rPr>
            </w:pPr>
            <w:ins w:id="616" w:author="Urša Miklavčič [2]" w:date="2026-04-17T11:56:00Z" w16du:dateUtc="2026-04-17T09:56:00Z">
              <w:r w:rsidRPr="00DF434D">
                <w:rPr>
                  <w:rFonts w:eastAsia="Times New Roman"/>
                  <w:color w:val="000000"/>
                  <w:sz w:val="22"/>
                  <w:lang w:eastAsia="sl-SI"/>
                </w:rPr>
                <w:t>detected</w:t>
              </w:r>
            </w:ins>
          </w:p>
        </w:tc>
        <w:tc>
          <w:tcPr>
            <w:tcW w:w="1418" w:type="dxa"/>
            <w:tcBorders>
              <w:top w:val="nil"/>
              <w:left w:val="nil"/>
              <w:bottom w:val="nil"/>
              <w:right w:val="nil"/>
            </w:tcBorders>
            <w:noWrap/>
            <w:vAlign w:val="bottom"/>
            <w:hideMark/>
          </w:tcPr>
          <w:p w14:paraId="7CEE029D" w14:textId="77777777" w:rsidR="00AD5011" w:rsidRPr="00DF434D" w:rsidRDefault="00AD5011" w:rsidP="009D2E7E">
            <w:pPr>
              <w:spacing w:after="0" w:line="240" w:lineRule="auto"/>
              <w:jc w:val="left"/>
              <w:rPr>
                <w:ins w:id="617" w:author="Urša Miklavčič [2]" w:date="2026-04-17T11:56:00Z" w16du:dateUtc="2026-04-17T09:56:00Z"/>
                <w:rFonts w:eastAsia="Times New Roman"/>
                <w:color w:val="000000"/>
                <w:sz w:val="22"/>
                <w:lang w:eastAsia="sl-SI"/>
              </w:rPr>
            </w:pPr>
            <w:ins w:id="618" w:author="Urša Miklavčič [2]" w:date="2026-04-17T11:56:00Z" w16du:dateUtc="2026-04-17T09:56:00Z">
              <w:r w:rsidRPr="00DF434D">
                <w:rPr>
                  <w:rFonts w:eastAsia="Times New Roman"/>
                  <w:color w:val="000000"/>
                  <w:sz w:val="22"/>
                  <w:lang w:eastAsia="sl-SI"/>
                </w:rPr>
                <w:t>detected</w:t>
              </w:r>
            </w:ins>
          </w:p>
        </w:tc>
      </w:tr>
      <w:tr w:rsidR="00AD5011" w:rsidRPr="00E9389E" w14:paraId="4FE27C2A" w14:textId="77777777" w:rsidTr="009D2E7E">
        <w:trPr>
          <w:trHeight w:val="300"/>
          <w:ins w:id="619" w:author="Urša Miklavčič [2]" w:date="2026-04-17T11:56:00Z"/>
        </w:trPr>
        <w:tc>
          <w:tcPr>
            <w:tcW w:w="3261" w:type="dxa"/>
            <w:tcBorders>
              <w:top w:val="nil"/>
              <w:left w:val="nil"/>
              <w:bottom w:val="nil"/>
              <w:right w:val="nil"/>
            </w:tcBorders>
            <w:noWrap/>
            <w:vAlign w:val="bottom"/>
            <w:hideMark/>
          </w:tcPr>
          <w:p w14:paraId="2D79ED08" w14:textId="77777777" w:rsidR="00AD5011" w:rsidRPr="00DF434D" w:rsidRDefault="00AD5011" w:rsidP="009D2E7E">
            <w:pPr>
              <w:spacing w:after="0" w:line="240" w:lineRule="auto"/>
              <w:jc w:val="left"/>
              <w:rPr>
                <w:ins w:id="620" w:author="Urša Miklavčič [2]" w:date="2026-04-17T11:56:00Z" w16du:dateUtc="2026-04-17T09:56:00Z"/>
                <w:rFonts w:eastAsia="Times New Roman"/>
                <w:i/>
                <w:iCs/>
                <w:color w:val="000000"/>
                <w:sz w:val="22"/>
                <w:lang w:eastAsia="sl-SI"/>
              </w:rPr>
            </w:pPr>
            <w:ins w:id="621" w:author="Urša Miklavčič [2]" w:date="2026-04-17T11:56:00Z" w16du:dateUtc="2026-04-17T09:56:00Z">
              <w:r w:rsidRPr="00DF434D">
                <w:rPr>
                  <w:rFonts w:eastAsia="Times New Roman"/>
                  <w:i/>
                  <w:iCs/>
                  <w:color w:val="000000"/>
                  <w:sz w:val="22"/>
                  <w:lang w:eastAsia="sl-SI"/>
                </w:rPr>
                <w:t>Entamoeba dispar</w:t>
              </w:r>
              <w:r w:rsidRPr="00DF434D">
                <w:rPr>
                  <w:rFonts w:eastAsia="Times New Roman"/>
                  <w:color w:val="000000"/>
                  <w:sz w:val="22"/>
                  <w:lang w:eastAsia="sl-SI"/>
                </w:rPr>
                <w:t xml:space="preserve"> </w:t>
              </w:r>
            </w:ins>
          </w:p>
        </w:tc>
        <w:tc>
          <w:tcPr>
            <w:tcW w:w="1984" w:type="dxa"/>
            <w:tcBorders>
              <w:top w:val="nil"/>
              <w:left w:val="nil"/>
              <w:bottom w:val="nil"/>
              <w:right w:val="nil"/>
            </w:tcBorders>
            <w:noWrap/>
            <w:vAlign w:val="bottom"/>
            <w:hideMark/>
          </w:tcPr>
          <w:p w14:paraId="398720BA" w14:textId="77777777" w:rsidR="00AD5011" w:rsidRPr="00DF434D" w:rsidRDefault="00AD5011" w:rsidP="009D2E7E">
            <w:pPr>
              <w:spacing w:after="0" w:line="240" w:lineRule="auto"/>
              <w:jc w:val="left"/>
              <w:rPr>
                <w:ins w:id="622" w:author="Urša Miklavčič [2]" w:date="2026-04-17T11:56:00Z" w16du:dateUtc="2026-04-17T09:56:00Z"/>
                <w:rFonts w:eastAsia="Times New Roman"/>
                <w:i/>
                <w:iCs/>
                <w:color w:val="000000"/>
                <w:sz w:val="22"/>
                <w:lang w:eastAsia="sl-SI"/>
              </w:rPr>
            </w:pPr>
          </w:p>
        </w:tc>
        <w:tc>
          <w:tcPr>
            <w:tcW w:w="1418" w:type="dxa"/>
            <w:tcBorders>
              <w:top w:val="nil"/>
              <w:left w:val="nil"/>
              <w:bottom w:val="nil"/>
              <w:right w:val="nil"/>
            </w:tcBorders>
            <w:noWrap/>
            <w:vAlign w:val="bottom"/>
            <w:hideMark/>
          </w:tcPr>
          <w:p w14:paraId="0FFF4ABA" w14:textId="77777777" w:rsidR="00AD5011" w:rsidRPr="00DF434D" w:rsidRDefault="00AD5011" w:rsidP="009D2E7E">
            <w:pPr>
              <w:spacing w:after="0" w:line="240" w:lineRule="auto"/>
              <w:jc w:val="left"/>
              <w:rPr>
                <w:ins w:id="623" w:author="Urša Miklavčič [2]" w:date="2026-04-17T11:56:00Z" w16du:dateUtc="2026-04-17T09:56:00Z"/>
                <w:rFonts w:eastAsia="Times New Roman"/>
                <w:color w:val="000000"/>
                <w:sz w:val="22"/>
                <w:lang w:eastAsia="sl-SI"/>
              </w:rPr>
            </w:pPr>
            <w:ins w:id="624" w:author="Urša Miklavčič [2]" w:date="2026-04-17T11:56:00Z" w16du:dateUtc="2026-04-17T09:56:00Z">
              <w:r w:rsidRPr="00DF434D">
                <w:rPr>
                  <w:rFonts w:eastAsia="Times New Roman"/>
                  <w:color w:val="000000"/>
                  <w:sz w:val="22"/>
                  <w:lang w:eastAsia="sl-SI"/>
                </w:rPr>
                <w:t>detected</w:t>
              </w:r>
            </w:ins>
          </w:p>
        </w:tc>
      </w:tr>
      <w:tr w:rsidR="00AD5011" w:rsidRPr="00E9389E" w14:paraId="327D9D8D" w14:textId="77777777" w:rsidTr="009D2E7E">
        <w:trPr>
          <w:trHeight w:val="300"/>
          <w:ins w:id="625" w:author="Urša Miklavčič [2]" w:date="2026-04-17T11:56:00Z"/>
        </w:trPr>
        <w:tc>
          <w:tcPr>
            <w:tcW w:w="3261" w:type="dxa"/>
            <w:tcBorders>
              <w:top w:val="nil"/>
              <w:left w:val="nil"/>
              <w:bottom w:val="single" w:sz="4" w:space="0" w:color="auto"/>
              <w:right w:val="nil"/>
            </w:tcBorders>
            <w:noWrap/>
            <w:vAlign w:val="bottom"/>
            <w:hideMark/>
          </w:tcPr>
          <w:p w14:paraId="3EC232BF" w14:textId="77777777" w:rsidR="00AD5011" w:rsidRPr="00DF434D" w:rsidRDefault="00AD5011" w:rsidP="009D2E7E">
            <w:pPr>
              <w:spacing w:after="0" w:line="240" w:lineRule="auto"/>
              <w:jc w:val="left"/>
              <w:rPr>
                <w:ins w:id="626" w:author="Urša Miklavčič [2]" w:date="2026-04-17T11:56:00Z" w16du:dateUtc="2026-04-17T09:56:00Z"/>
                <w:rFonts w:eastAsia="Times New Roman"/>
                <w:i/>
                <w:iCs/>
                <w:color w:val="000000"/>
                <w:sz w:val="22"/>
                <w:lang w:eastAsia="sl-SI"/>
              </w:rPr>
            </w:pPr>
            <w:ins w:id="627" w:author="Urša Miklavčič [2]" w:date="2026-04-17T11:56:00Z" w16du:dateUtc="2026-04-17T09:56:00Z">
              <w:r w:rsidRPr="00DF434D">
                <w:rPr>
                  <w:rFonts w:eastAsia="Times New Roman"/>
                  <w:i/>
                  <w:iCs/>
                  <w:color w:val="000000"/>
                  <w:sz w:val="22"/>
                  <w:lang w:eastAsia="sl-SI"/>
                </w:rPr>
                <w:t>Caenorhabditis elegans</w:t>
              </w:r>
              <w:r w:rsidRPr="00DF434D">
                <w:rPr>
                  <w:rFonts w:eastAsia="Times New Roman"/>
                  <w:color w:val="000000"/>
                  <w:sz w:val="22"/>
                  <w:lang w:eastAsia="sl-SI"/>
                </w:rPr>
                <w:t xml:space="preserve">    </w:t>
              </w:r>
            </w:ins>
          </w:p>
        </w:tc>
        <w:tc>
          <w:tcPr>
            <w:tcW w:w="1984" w:type="dxa"/>
            <w:tcBorders>
              <w:top w:val="nil"/>
              <w:left w:val="nil"/>
              <w:bottom w:val="single" w:sz="4" w:space="0" w:color="auto"/>
              <w:right w:val="nil"/>
            </w:tcBorders>
            <w:noWrap/>
            <w:vAlign w:val="bottom"/>
            <w:hideMark/>
          </w:tcPr>
          <w:p w14:paraId="3B219AE9" w14:textId="77777777" w:rsidR="00AD5011" w:rsidRPr="00DF434D" w:rsidRDefault="00AD5011" w:rsidP="009D2E7E">
            <w:pPr>
              <w:spacing w:after="0" w:line="240" w:lineRule="auto"/>
              <w:jc w:val="left"/>
              <w:rPr>
                <w:ins w:id="628" w:author="Urša Miklavčič [2]" w:date="2026-04-17T11:56:00Z" w16du:dateUtc="2026-04-17T09:56:00Z"/>
                <w:rFonts w:eastAsia="Times New Roman"/>
                <w:color w:val="000000"/>
                <w:sz w:val="22"/>
                <w:lang w:eastAsia="sl-SI"/>
              </w:rPr>
            </w:pPr>
            <w:ins w:id="629" w:author="Urša Miklavčič [2]" w:date="2026-04-17T11:56:00Z" w16du:dateUtc="2026-04-17T09:56:00Z">
              <w:r w:rsidRPr="00DF434D">
                <w:rPr>
                  <w:rFonts w:eastAsia="Times New Roman"/>
                  <w:color w:val="000000"/>
                  <w:sz w:val="22"/>
                  <w:lang w:eastAsia="sl-SI"/>
                </w:rPr>
                <w:t> </w:t>
              </w:r>
            </w:ins>
          </w:p>
        </w:tc>
        <w:tc>
          <w:tcPr>
            <w:tcW w:w="1418" w:type="dxa"/>
            <w:tcBorders>
              <w:top w:val="nil"/>
              <w:left w:val="nil"/>
              <w:bottom w:val="single" w:sz="4" w:space="0" w:color="auto"/>
              <w:right w:val="nil"/>
            </w:tcBorders>
            <w:noWrap/>
            <w:vAlign w:val="bottom"/>
            <w:hideMark/>
          </w:tcPr>
          <w:p w14:paraId="1340A81A" w14:textId="77777777" w:rsidR="00AD5011" w:rsidRPr="00DF434D" w:rsidRDefault="00AD5011" w:rsidP="009D2E7E">
            <w:pPr>
              <w:spacing w:after="0" w:line="240" w:lineRule="auto"/>
              <w:jc w:val="left"/>
              <w:rPr>
                <w:ins w:id="630" w:author="Urša Miklavčič [2]" w:date="2026-04-17T11:56:00Z" w16du:dateUtc="2026-04-17T09:56:00Z"/>
                <w:rFonts w:eastAsia="Times New Roman"/>
                <w:color w:val="000000"/>
                <w:sz w:val="22"/>
                <w:lang w:eastAsia="sl-SI"/>
              </w:rPr>
            </w:pPr>
            <w:ins w:id="631" w:author="Urša Miklavčič [2]" w:date="2026-04-17T11:56:00Z" w16du:dateUtc="2026-04-17T09:56:00Z">
              <w:r w:rsidRPr="00DF434D">
                <w:rPr>
                  <w:rFonts w:eastAsia="Times New Roman"/>
                  <w:color w:val="000000"/>
                  <w:sz w:val="22"/>
                  <w:lang w:eastAsia="sl-SI"/>
                </w:rPr>
                <w:t>detected</w:t>
              </w:r>
            </w:ins>
          </w:p>
        </w:tc>
      </w:tr>
    </w:tbl>
    <w:p w14:paraId="2165009F" w14:textId="77777777" w:rsidR="00AD5011" w:rsidRPr="00D93D74" w:rsidRDefault="00AD5011" w:rsidP="00AD5011">
      <w:pPr>
        <w:rPr>
          <w:rFonts w:cs="Times New Roman"/>
          <w:szCs w:val="24"/>
        </w:rPr>
      </w:pPr>
    </w:p>
    <w:p w14:paraId="33C3A727" w14:textId="77777777" w:rsidR="00723A85" w:rsidRPr="00D93D74" w:rsidRDefault="00723A85" w:rsidP="005E294F">
      <w:pPr>
        <w:rPr>
          <w:ins w:id="632" w:author="Urša Miklavčič [2]" w:date="2026-01-21T14:33:00Z" w16du:dateUtc="2026-01-21T13:33:00Z"/>
          <w:rFonts w:cs="Times New Roman"/>
          <w:i/>
          <w:iCs/>
          <w:szCs w:val="24"/>
        </w:rPr>
      </w:pPr>
    </w:p>
    <w:p w14:paraId="6948D7EC" w14:textId="0E41DB80" w:rsidR="00721B43" w:rsidRPr="00D93D74" w:rsidRDefault="00B129CB" w:rsidP="00287EE1">
      <w:pPr>
        <w:pStyle w:val="Napis"/>
        <w:rPr>
          <w:ins w:id="633" w:author="Urša Miklavčič [2]" w:date="2026-01-28T15:16:00Z" w16du:dateUtc="2026-01-28T14:16:00Z"/>
          <w:rFonts w:cs="Times New Roman"/>
          <w:b w:val="0"/>
          <w:bCs/>
          <w:szCs w:val="24"/>
        </w:rPr>
      </w:pPr>
      <w:r w:rsidRPr="00D93D74">
        <w:rPr>
          <w:rFonts w:cs="Times New Roman"/>
          <w:b w:val="0"/>
          <w:bCs/>
          <w:noProof/>
          <w:szCs w:val="24"/>
        </w:rPr>
        <w:drawing>
          <wp:inline distT="0" distB="0" distL="0" distR="0" wp14:anchorId="0F8E6630" wp14:editId="4C3048FD">
            <wp:extent cx="5943600" cy="4303395"/>
            <wp:effectExtent l="0" t="0" r="0" b="1905"/>
            <wp:docPr id="114358664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6647" name="Picture 1" descr="A graph of different colored lin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303395"/>
                    </a:xfrm>
                    <a:prstGeom prst="rect">
                      <a:avLst/>
                    </a:prstGeom>
                  </pic:spPr>
                </pic:pic>
              </a:graphicData>
            </a:graphic>
          </wp:inline>
        </w:drawing>
      </w:r>
    </w:p>
    <w:p w14:paraId="46580A9E" w14:textId="1BE45459" w:rsidR="0012562B" w:rsidRPr="00D93D74" w:rsidRDefault="0012562B" w:rsidP="00723A85">
      <w:pPr>
        <w:pStyle w:val="FigureTable"/>
        <w:rPr>
          <w:ins w:id="634" w:author="Urša Miklavčič [2]" w:date="2026-01-28T15:33:00Z" w16du:dateUtc="2026-01-28T14:33:00Z"/>
        </w:rPr>
      </w:pPr>
      <w:ins w:id="635" w:author="Urša Miklavčič [2]" w:date="2026-01-28T15:16:00Z" w16du:dateUtc="2026-01-28T14:16:00Z">
        <w:r w:rsidRPr="00D93D74">
          <w:rPr>
            <w:b/>
            <w:bCs w:val="0"/>
          </w:rPr>
          <w:t xml:space="preserve">Figure </w:t>
        </w:r>
      </w:ins>
      <w:r w:rsidR="00723A85" w:rsidRPr="00D93D74">
        <w:rPr>
          <w:b/>
          <w:bCs w:val="0"/>
        </w:rPr>
        <w:t>9</w:t>
      </w:r>
      <w:ins w:id="636" w:author="Urša Miklavčič [2]" w:date="2026-01-28T15:16:00Z" w16du:dateUtc="2026-01-28T14:16:00Z">
        <w:r w:rsidRPr="00D93D74">
          <w:rPr>
            <w:b/>
            <w:bCs w:val="0"/>
          </w:rPr>
          <w:t xml:space="preserve">. </w:t>
        </w:r>
      </w:ins>
      <w:ins w:id="637" w:author="Urša Miklavčič [2]" w:date="2026-01-28T15:33:00Z" w16du:dateUtc="2026-01-28T14:33:00Z">
        <w:r w:rsidR="00F950DC" w:rsidRPr="00D93D74">
          <w:rPr>
            <w:b/>
            <w:bCs w:val="0"/>
          </w:rPr>
          <w:t>Abundance of eukaryotic species as detected by EukDetect.</w:t>
        </w:r>
        <w:r w:rsidR="00F950DC" w:rsidRPr="00D93D74">
          <w:t xml:space="preserve"> On the x-axis the number represents the percentage of reads mapped to marker genes of a species vs. all reads in a sample, the y-axis represents each sample of an individual where eukaryotes were detected.</w:t>
        </w:r>
      </w:ins>
      <w:r w:rsidR="00723A85" w:rsidRPr="00D93D74">
        <w:t xml:space="preserve"> Each plot depicts a participant (labelled with capital letters A to I), with days on the x-axis indicating when the stool samples were collected. Vertical coloured lines indicate out-of-the-ordinary events reported by participants in their questionnaires.  </w:t>
      </w:r>
    </w:p>
    <w:p w14:paraId="06675D7E" w14:textId="77777777" w:rsidR="00F950DC" w:rsidRPr="00D93D74" w:rsidRDefault="00F950DC" w:rsidP="00F950DC"/>
    <w:p w14:paraId="2F9646AA" w14:textId="628B4E97" w:rsidR="00721B43" w:rsidRPr="00D93D74" w:rsidRDefault="00620AB8" w:rsidP="005E294F">
      <w:pPr>
        <w:rPr>
          <w:rFonts w:cs="Times New Roman"/>
          <w:szCs w:val="24"/>
        </w:rPr>
      </w:pPr>
      <w:r w:rsidRPr="00D93D74">
        <w:rPr>
          <w:rFonts w:cs="Times New Roman"/>
          <w:szCs w:val="24"/>
        </w:rPr>
        <w:lastRenderedPageBreak/>
        <w:t xml:space="preserve">Using GeNomad program we detected </w:t>
      </w:r>
      <w:r w:rsidR="005E294F" w:rsidRPr="00D93D74">
        <w:rPr>
          <w:rFonts w:cs="Times New Roman"/>
          <w:szCs w:val="24"/>
        </w:rPr>
        <w:t>both eukaryotic (</w:t>
      </w:r>
      <w:r w:rsidR="005E294F" w:rsidRPr="00D93D74">
        <w:rPr>
          <w:rFonts w:cs="Times New Roman"/>
          <w:i/>
          <w:iCs/>
          <w:szCs w:val="24"/>
        </w:rPr>
        <w:t xml:space="preserve">Alsuviricetes, Arfiviricetes, </w:t>
      </w:r>
      <w:ins w:id="638" w:author="Urša Miklavčič [2]" w:date="2026-04-17T11:57:00Z" w16du:dateUtc="2026-04-17T09:57:00Z">
        <w:r w:rsidR="009A3E33" w:rsidRPr="00D93D74">
          <w:rPr>
            <w:rFonts w:cs="Times New Roman"/>
            <w:i/>
            <w:iCs/>
            <w:szCs w:val="24"/>
          </w:rPr>
          <w:t>Duplopiviricetes</w:t>
        </w:r>
        <w:r w:rsidR="009A3E33">
          <w:rPr>
            <w:rFonts w:cs="Times New Roman"/>
            <w:i/>
            <w:iCs/>
            <w:szCs w:val="24"/>
          </w:rPr>
          <w:t xml:space="preserve">, </w:t>
        </w:r>
      </w:ins>
      <w:r w:rsidR="005E294F" w:rsidRPr="00D93D74">
        <w:rPr>
          <w:rFonts w:cs="Times New Roman"/>
          <w:i/>
          <w:iCs/>
          <w:szCs w:val="24"/>
        </w:rPr>
        <w:t xml:space="preserve">Herviviricetes </w:t>
      </w:r>
      <w:r w:rsidR="005E294F" w:rsidRPr="00D93D74">
        <w:rPr>
          <w:rFonts w:cs="Times New Roman"/>
          <w:szCs w:val="24"/>
        </w:rPr>
        <w:t>and</w:t>
      </w:r>
      <w:r w:rsidR="005E294F" w:rsidRPr="00D93D74">
        <w:rPr>
          <w:rFonts w:cs="Times New Roman"/>
          <w:i/>
          <w:iCs/>
          <w:szCs w:val="24"/>
        </w:rPr>
        <w:t xml:space="preserve"> Megavirictes</w:t>
      </w:r>
      <w:r w:rsidR="005E294F" w:rsidRPr="00D93D74">
        <w:rPr>
          <w:rFonts w:cs="Times New Roman"/>
          <w:szCs w:val="24"/>
        </w:rPr>
        <w:t>) and bacterial viruses (</w:t>
      </w:r>
      <w:r w:rsidR="005E294F" w:rsidRPr="00D93D74">
        <w:rPr>
          <w:rFonts w:cs="Times New Roman"/>
          <w:i/>
          <w:iCs/>
          <w:szCs w:val="24"/>
        </w:rPr>
        <w:t>Faserviricetes, Malgrandeviricetes</w:t>
      </w:r>
      <w:r w:rsidR="00721B43" w:rsidRPr="00D93D74">
        <w:rPr>
          <w:rFonts w:cs="Times New Roman"/>
          <w:szCs w:val="24"/>
        </w:rPr>
        <w:t>,</w:t>
      </w:r>
      <w:r w:rsidR="005E294F" w:rsidRPr="00D93D74">
        <w:rPr>
          <w:rFonts w:cs="Times New Roman"/>
          <w:szCs w:val="24"/>
        </w:rPr>
        <w:t xml:space="preserve"> and </w:t>
      </w:r>
      <w:r w:rsidR="005E294F" w:rsidRPr="00D93D74">
        <w:rPr>
          <w:rFonts w:cs="Times New Roman"/>
          <w:i/>
          <w:iCs/>
          <w:szCs w:val="24"/>
        </w:rPr>
        <w:t>Caudoviricetes</w:t>
      </w:r>
      <w:r w:rsidR="005E294F" w:rsidRPr="00D93D74">
        <w:rPr>
          <w:rFonts w:cs="Times New Roman"/>
          <w:szCs w:val="24"/>
        </w:rPr>
        <w:t>)</w:t>
      </w:r>
      <w:ins w:id="639" w:author="Urša Miklavčič [2]" w:date="2026-04-17T11:58:00Z" w16du:dateUtc="2026-04-17T09:58:00Z">
        <w:r w:rsidR="009A3E33">
          <w:rPr>
            <w:rFonts w:cs="Times New Roman"/>
            <w:szCs w:val="24"/>
          </w:rPr>
          <w:t xml:space="preserve"> </w:t>
        </w:r>
      </w:ins>
      <w:del w:id="640" w:author="Urša Miklavčič [2]" w:date="2026-04-17T11:58:00Z" w16du:dateUtc="2026-04-17T09:58:00Z">
        <w:r w:rsidR="005E294F" w:rsidRPr="00D93D74" w:rsidDel="009A3E33">
          <w:rPr>
            <w:rFonts w:cs="Times New Roman"/>
            <w:szCs w:val="24"/>
          </w:rPr>
          <w:delText xml:space="preserve">, </w:delText>
        </w:r>
        <w:r w:rsidR="00721B43" w:rsidRPr="00D93D74" w:rsidDel="009A3E33">
          <w:rPr>
            <w:rFonts w:cs="Times New Roman"/>
            <w:szCs w:val="24"/>
          </w:rPr>
          <w:delText>as well as</w:delText>
        </w:r>
        <w:r w:rsidR="005E294F" w:rsidRPr="00D93D74" w:rsidDel="009A3E33">
          <w:rPr>
            <w:rFonts w:cs="Times New Roman"/>
            <w:szCs w:val="24"/>
          </w:rPr>
          <w:delText xml:space="preserve"> a </w:delText>
        </w:r>
        <w:r w:rsidR="00C64662" w:rsidRPr="00D93D74" w:rsidDel="009A3E33">
          <w:rPr>
            <w:rFonts w:cs="Times New Roman"/>
            <w:szCs w:val="24"/>
          </w:rPr>
          <w:delText>class</w:delText>
        </w:r>
        <w:r w:rsidR="005E294F" w:rsidRPr="00D93D74" w:rsidDel="009A3E33">
          <w:rPr>
            <w:rFonts w:cs="Times New Roman"/>
            <w:szCs w:val="24"/>
          </w:rPr>
          <w:delText xml:space="preserve"> of viruses able to infect </w:delText>
        </w:r>
      </w:del>
      <w:del w:id="641" w:author="Urša Miklavčič [2]" w:date="2026-04-17T11:57:00Z" w16du:dateUtc="2026-04-17T09:57:00Z">
        <w:r w:rsidR="005E294F" w:rsidRPr="00D93D74" w:rsidDel="009A3E33">
          <w:rPr>
            <w:rFonts w:cs="Times New Roman"/>
            <w:szCs w:val="24"/>
          </w:rPr>
          <w:delText xml:space="preserve">both </w:delText>
        </w:r>
      </w:del>
      <w:commentRangeStart w:id="642"/>
      <w:del w:id="643" w:author="Urša Miklavčič [2]" w:date="2026-04-17T11:58:00Z" w16du:dateUtc="2026-04-17T09:58:00Z">
        <w:r w:rsidR="005E294F" w:rsidRPr="00D93D74" w:rsidDel="009A3E33">
          <w:rPr>
            <w:rFonts w:cs="Times New Roman"/>
            <w:szCs w:val="24"/>
          </w:rPr>
          <w:delText xml:space="preserve">eukaryotic </w:delText>
        </w:r>
      </w:del>
      <w:del w:id="644" w:author="Urša Miklavčič [2]" w:date="2026-04-17T11:57:00Z" w16du:dateUtc="2026-04-17T09:57:00Z">
        <w:r w:rsidR="005E294F" w:rsidRPr="00D93D74" w:rsidDel="009A3E33">
          <w:rPr>
            <w:rFonts w:cs="Times New Roman"/>
            <w:szCs w:val="24"/>
          </w:rPr>
          <w:delText xml:space="preserve">and bacterial </w:delText>
        </w:r>
      </w:del>
      <w:del w:id="645" w:author="Urša Miklavčič [2]" w:date="2026-04-17T11:58:00Z" w16du:dateUtc="2026-04-17T09:58:00Z">
        <w:r w:rsidR="005E294F" w:rsidRPr="00D93D74" w:rsidDel="009A3E33">
          <w:rPr>
            <w:rFonts w:cs="Times New Roman"/>
            <w:szCs w:val="24"/>
          </w:rPr>
          <w:delText>cells (</w:delText>
        </w:r>
      </w:del>
      <w:del w:id="646" w:author="Urša Miklavčič [2]" w:date="2026-04-17T11:57:00Z" w16du:dateUtc="2026-04-17T09:57:00Z">
        <w:r w:rsidR="005E294F" w:rsidRPr="00D93D74" w:rsidDel="009A3E33">
          <w:rPr>
            <w:rFonts w:cs="Times New Roman"/>
            <w:i/>
            <w:iCs/>
            <w:szCs w:val="24"/>
          </w:rPr>
          <w:delText>Duplopiviricetes</w:delText>
        </w:r>
      </w:del>
      <w:del w:id="647" w:author="Urša Miklavčič [2]" w:date="2026-04-17T11:58:00Z" w16du:dateUtc="2026-04-17T09:58:00Z">
        <w:r w:rsidR="005E294F" w:rsidRPr="00D93D74" w:rsidDel="009A3E33">
          <w:rPr>
            <w:rFonts w:cs="Times New Roman"/>
            <w:szCs w:val="24"/>
          </w:rPr>
          <w:delText>)</w:delText>
        </w:r>
        <w:r w:rsidR="00150795" w:rsidRPr="00D93D74" w:rsidDel="009A3E33">
          <w:rPr>
            <w:rFonts w:cs="Times New Roman"/>
            <w:szCs w:val="24"/>
          </w:rPr>
          <w:delText xml:space="preserve"> </w:delText>
        </w:r>
        <w:commentRangeEnd w:id="642"/>
        <w:r w:rsidR="00C64662" w:rsidRPr="00D93D74" w:rsidDel="009A3E33">
          <w:rPr>
            <w:rStyle w:val="Pripombasklic"/>
            <w:rFonts w:cs="Times New Roman"/>
            <w:sz w:val="24"/>
            <w:szCs w:val="24"/>
          </w:rPr>
          <w:commentReference w:id="642"/>
        </w:r>
      </w:del>
      <w:r w:rsidR="005E294F" w:rsidRPr="00D93D74">
        <w:rPr>
          <w:rFonts w:cs="Times New Roman"/>
          <w:szCs w:val="24"/>
        </w:rPr>
        <w:t xml:space="preserve">(Figure </w:t>
      </w:r>
      <w:r w:rsidRPr="00D93D74">
        <w:rPr>
          <w:rFonts w:cs="Times New Roman"/>
          <w:szCs w:val="24"/>
        </w:rPr>
        <w:t>10</w:t>
      </w:r>
      <w:r w:rsidR="005E294F" w:rsidRPr="00D93D74">
        <w:rPr>
          <w:rFonts w:cs="Times New Roman"/>
          <w:szCs w:val="24"/>
        </w:rPr>
        <w:t>). Bacteriophages were present at ten</w:t>
      </w:r>
      <w:r w:rsidR="00721B43" w:rsidRPr="00D93D74">
        <w:rPr>
          <w:rFonts w:cs="Times New Roman"/>
          <w:szCs w:val="24"/>
        </w:rPr>
        <w:t xml:space="preserve"> </w:t>
      </w:r>
      <w:r w:rsidR="005E294F" w:rsidRPr="00D93D74">
        <w:rPr>
          <w:rFonts w:cs="Times New Roman"/>
          <w:szCs w:val="24"/>
        </w:rPr>
        <w:t xml:space="preserve">times the relative abundance </w:t>
      </w:r>
      <w:r w:rsidR="00721B43" w:rsidRPr="00D93D74">
        <w:rPr>
          <w:rFonts w:cs="Times New Roman"/>
          <w:szCs w:val="24"/>
        </w:rPr>
        <w:t>of</w:t>
      </w:r>
      <w:r w:rsidR="005E294F" w:rsidRPr="00D93D74">
        <w:rPr>
          <w:rFonts w:cs="Times New Roman"/>
          <w:szCs w:val="24"/>
        </w:rPr>
        <w:t xml:space="preserve"> eukaryotic viruses</w:t>
      </w:r>
      <w:r w:rsidR="00721B43" w:rsidRPr="00D93D74">
        <w:rPr>
          <w:rFonts w:cs="Times New Roman"/>
          <w:szCs w:val="24"/>
        </w:rPr>
        <w:t xml:space="preserve">. </w:t>
      </w:r>
      <w:commentRangeStart w:id="648"/>
      <w:r w:rsidR="005E294F" w:rsidRPr="00D93D74">
        <w:rPr>
          <w:rFonts w:cs="Times New Roman"/>
          <w:i/>
          <w:iCs/>
          <w:szCs w:val="24"/>
        </w:rPr>
        <w:t xml:space="preserve">Caudovirales </w:t>
      </w:r>
      <w:r w:rsidR="00721B43" w:rsidRPr="00D93D74">
        <w:rPr>
          <w:rFonts w:cs="Times New Roman"/>
          <w:szCs w:val="24"/>
        </w:rPr>
        <w:t>showed</w:t>
      </w:r>
      <w:r w:rsidR="005E294F" w:rsidRPr="00D93D74">
        <w:rPr>
          <w:rFonts w:cs="Times New Roman"/>
          <w:szCs w:val="24"/>
        </w:rPr>
        <w:t xml:space="preserve"> the </w:t>
      </w:r>
      <w:r w:rsidR="00721B43" w:rsidRPr="00D93D74">
        <w:rPr>
          <w:rFonts w:cs="Times New Roman"/>
          <w:szCs w:val="24"/>
        </w:rPr>
        <w:t>highest</w:t>
      </w:r>
      <w:r w:rsidR="005E294F" w:rsidRPr="00D93D74">
        <w:rPr>
          <w:rFonts w:cs="Times New Roman"/>
          <w:szCs w:val="24"/>
        </w:rPr>
        <w:t xml:space="preserve"> abundance</w:t>
      </w:r>
      <w:r w:rsidR="00721B43" w:rsidRPr="00D93D74">
        <w:rPr>
          <w:rFonts w:cs="Times New Roman"/>
          <w:szCs w:val="24"/>
        </w:rPr>
        <w:t xml:space="preserve"> among all groups</w:t>
      </w:r>
      <w:r w:rsidR="005E294F" w:rsidRPr="00D93D74">
        <w:rPr>
          <w:rFonts w:cs="Times New Roman"/>
          <w:szCs w:val="24"/>
        </w:rPr>
        <w:t xml:space="preserve">. Viral communities in the human gut were individual-specific (Supplement Figure </w:t>
      </w:r>
      <w:ins w:id="649" w:author="Urša Miklavčič [2]" w:date="2026-04-21T13:23:00Z" w16du:dateUtc="2026-04-21T11:23:00Z">
        <w:r w:rsidR="00554FAF">
          <w:rPr>
            <w:rFonts w:cs="Times New Roman"/>
            <w:szCs w:val="24"/>
          </w:rPr>
          <w:t>10</w:t>
        </w:r>
      </w:ins>
      <w:del w:id="650" w:author="Urša Miklavčič [2]" w:date="2026-01-29T14:43:00Z" w16du:dateUtc="2026-01-29T13:43:00Z">
        <w:r w:rsidR="00BC2437" w:rsidRPr="00D93D74" w:rsidDel="00717053">
          <w:rPr>
            <w:rFonts w:cs="Times New Roman"/>
            <w:szCs w:val="24"/>
          </w:rPr>
          <w:delText>7</w:delText>
        </w:r>
      </w:del>
      <w:r w:rsidR="005E294F" w:rsidRPr="00D93D74">
        <w:rPr>
          <w:rFonts w:cs="Times New Roman"/>
          <w:szCs w:val="24"/>
        </w:rPr>
        <w:t>)</w:t>
      </w:r>
      <w:commentRangeEnd w:id="648"/>
      <w:r w:rsidR="00C64662" w:rsidRPr="00D93D74">
        <w:rPr>
          <w:rStyle w:val="Pripombasklic"/>
          <w:rFonts w:cs="Times New Roman"/>
          <w:sz w:val="24"/>
          <w:szCs w:val="24"/>
        </w:rPr>
        <w:commentReference w:id="648"/>
      </w:r>
      <w:r w:rsidR="005E294F" w:rsidRPr="00D93D74">
        <w:rPr>
          <w:rFonts w:cs="Times New Roman"/>
          <w:szCs w:val="24"/>
        </w:rPr>
        <w:t xml:space="preserve">. </w:t>
      </w:r>
      <w:commentRangeStart w:id="651"/>
      <w:r w:rsidR="00721B43" w:rsidRPr="00D93D74">
        <w:rPr>
          <w:rFonts w:cs="Times New Roman"/>
          <w:szCs w:val="24"/>
        </w:rPr>
        <w:t>The a</w:t>
      </w:r>
      <w:r w:rsidR="005E294F" w:rsidRPr="00D93D74">
        <w:rPr>
          <w:rFonts w:cs="Times New Roman"/>
          <w:szCs w:val="24"/>
        </w:rPr>
        <w:t xml:space="preserve">bundance of </w:t>
      </w:r>
      <w:del w:id="652" w:author="Urša Miklavčič [2]" w:date="2026-04-17T11:59:00Z" w16du:dateUtc="2026-04-17T09:59:00Z">
        <w:r w:rsidR="005E294F" w:rsidRPr="00D93D74" w:rsidDel="009A3E33">
          <w:rPr>
            <w:rFonts w:cs="Times New Roman"/>
            <w:szCs w:val="24"/>
          </w:rPr>
          <w:delText xml:space="preserve">viruses </w:delText>
        </w:r>
      </w:del>
      <w:ins w:id="653" w:author="Urša Miklavčič [2]" w:date="2026-04-17T11:59:00Z" w16du:dateUtc="2026-04-17T09:59:00Z">
        <w:r w:rsidR="009A3E33">
          <w:rPr>
            <w:rFonts w:cs="Times New Roman"/>
            <w:szCs w:val="24"/>
          </w:rPr>
          <w:t>viral classes</w:t>
        </w:r>
        <w:r w:rsidR="009A3E33" w:rsidRPr="00D93D74">
          <w:rPr>
            <w:rFonts w:cs="Times New Roman"/>
            <w:szCs w:val="24"/>
          </w:rPr>
          <w:t xml:space="preserve"> </w:t>
        </w:r>
      </w:ins>
      <w:r w:rsidR="005E294F" w:rsidRPr="00D93D74">
        <w:rPr>
          <w:rFonts w:cs="Times New Roman"/>
          <w:szCs w:val="24"/>
        </w:rPr>
        <w:t xml:space="preserve">was persistent </w:t>
      </w:r>
      <w:r w:rsidR="00721B43" w:rsidRPr="00D93D74">
        <w:rPr>
          <w:rFonts w:cs="Times New Roman"/>
          <w:szCs w:val="24"/>
        </w:rPr>
        <w:t>over</w:t>
      </w:r>
      <w:r w:rsidR="005E294F" w:rsidRPr="00D93D74">
        <w:rPr>
          <w:rFonts w:cs="Times New Roman"/>
          <w:szCs w:val="24"/>
        </w:rPr>
        <w:t xml:space="preserve"> time and was not affected by </w:t>
      </w:r>
      <w:del w:id="654" w:author="Urša Miklavčič [2]" w:date="2026-04-17T12:02:00Z" w16du:dateUtc="2026-04-17T10:02:00Z">
        <w:r w:rsidR="005E294F" w:rsidRPr="00D93D74" w:rsidDel="009A3E33">
          <w:rPr>
            <w:rFonts w:cs="Times New Roman"/>
            <w:szCs w:val="24"/>
          </w:rPr>
          <w:delText xml:space="preserve">extreme </w:delText>
        </w:r>
      </w:del>
      <w:ins w:id="655" w:author="Urša Miklavčič [2]" w:date="2026-04-17T12:02:00Z" w16du:dateUtc="2026-04-17T10:02:00Z">
        <w:r w:rsidR="009A3E33">
          <w:rPr>
            <w:rFonts w:cs="Times New Roman"/>
            <w:szCs w:val="24"/>
          </w:rPr>
          <w:t>pre-defined</w:t>
        </w:r>
        <w:r w:rsidR="009A3E33" w:rsidRPr="00D93D74">
          <w:rPr>
            <w:rFonts w:cs="Times New Roman"/>
            <w:szCs w:val="24"/>
          </w:rPr>
          <w:t xml:space="preserve"> </w:t>
        </w:r>
      </w:ins>
      <w:r w:rsidR="005E294F" w:rsidRPr="00D93D74">
        <w:rPr>
          <w:rFonts w:cs="Times New Roman"/>
          <w:szCs w:val="24"/>
        </w:rPr>
        <w:t>events</w:t>
      </w:r>
      <w:ins w:id="656" w:author="Urša Miklavčič [2]" w:date="2026-04-17T12:01:00Z" w16du:dateUtc="2026-04-17T10:01:00Z">
        <w:r w:rsidR="009A3E33">
          <w:rPr>
            <w:rFonts w:cs="Times New Roman"/>
            <w:szCs w:val="24"/>
          </w:rPr>
          <w:t xml:space="preserve">, except in individual H during </w:t>
        </w:r>
      </w:ins>
      <w:ins w:id="657" w:author="Urša Miklavčič [2]" w:date="2026-04-17T12:02:00Z" w16du:dateUtc="2026-04-17T10:02:00Z">
        <w:r w:rsidR="009A3E33">
          <w:rPr>
            <w:rFonts w:cs="Times New Roman"/>
            <w:szCs w:val="24"/>
          </w:rPr>
          <w:t>antibiotic</w:t>
        </w:r>
      </w:ins>
      <w:ins w:id="658" w:author="Urša Miklavčič [2]" w:date="2026-04-17T12:01:00Z" w16du:dateUtc="2026-04-17T10:01:00Z">
        <w:r w:rsidR="009A3E33">
          <w:rPr>
            <w:rFonts w:cs="Times New Roman"/>
            <w:szCs w:val="24"/>
          </w:rPr>
          <w:t xml:space="preserve"> treatment</w:t>
        </w:r>
      </w:ins>
      <w:del w:id="659" w:author="Urša Miklavčič [2]" w:date="2026-04-17T12:02:00Z" w16du:dateUtc="2026-04-17T10:02:00Z">
        <w:r w:rsidR="005E294F" w:rsidRPr="00D93D74" w:rsidDel="009A3E33">
          <w:rPr>
            <w:rFonts w:cs="Times New Roman"/>
            <w:szCs w:val="24"/>
          </w:rPr>
          <w:delText xml:space="preserve"> or other metadata we </w:delText>
        </w:r>
        <w:r w:rsidR="00721B43" w:rsidRPr="00D93D74" w:rsidDel="009A3E33">
          <w:rPr>
            <w:rFonts w:cs="Times New Roman"/>
            <w:szCs w:val="24"/>
          </w:rPr>
          <w:delText>collected</w:delText>
        </w:r>
        <w:r w:rsidR="005E294F" w:rsidRPr="00D93D74" w:rsidDel="009A3E33">
          <w:rPr>
            <w:rFonts w:cs="Times New Roman"/>
            <w:szCs w:val="24"/>
          </w:rPr>
          <w:delText xml:space="preserve"> from </w:delText>
        </w:r>
        <w:r w:rsidR="00721B43" w:rsidRPr="00D93D74" w:rsidDel="009A3E33">
          <w:rPr>
            <w:rFonts w:cs="Times New Roman"/>
            <w:szCs w:val="24"/>
          </w:rPr>
          <w:delText>participants</w:delText>
        </w:r>
        <w:r w:rsidR="005E294F" w:rsidRPr="00D93D74" w:rsidDel="009A3E33">
          <w:rPr>
            <w:rFonts w:cs="Times New Roman"/>
            <w:szCs w:val="24"/>
          </w:rPr>
          <w:delText xml:space="preserve"> in ou</w:delText>
        </w:r>
        <w:r w:rsidR="00150795" w:rsidRPr="00D93D74" w:rsidDel="009A3E33">
          <w:rPr>
            <w:rFonts w:cs="Times New Roman"/>
            <w:szCs w:val="24"/>
          </w:rPr>
          <w:delText>r</w:delText>
        </w:r>
        <w:r w:rsidR="005E294F" w:rsidRPr="00D93D74" w:rsidDel="009A3E33">
          <w:rPr>
            <w:rFonts w:cs="Times New Roman"/>
            <w:szCs w:val="24"/>
          </w:rPr>
          <w:delText xml:space="preserve"> cohort</w:delText>
        </w:r>
      </w:del>
      <w:r w:rsidR="005E294F" w:rsidRPr="00D93D74">
        <w:rPr>
          <w:rFonts w:cs="Times New Roman"/>
          <w:szCs w:val="24"/>
        </w:rPr>
        <w:t>.</w:t>
      </w:r>
      <w:commentRangeEnd w:id="651"/>
      <w:r w:rsidR="00C64662">
        <w:rPr>
          <w:rStyle w:val="Pripombasklic"/>
          <w:rFonts w:cs="Times New Roman"/>
          <w:sz w:val="24"/>
          <w:szCs w:val="24"/>
        </w:rPr>
        <w:commentReference w:id="651"/>
      </w:r>
      <w:ins w:id="660" w:author="Urša Miklavčič [2]" w:date="2026-04-17T12:00:00Z" w16du:dateUtc="2026-04-17T10:00:00Z">
        <w:r w:rsidR="009A3E33">
          <w:rPr>
            <w:rFonts w:cs="Times New Roman"/>
            <w:szCs w:val="24"/>
          </w:rPr>
          <w:t xml:space="preserve"> </w:t>
        </w:r>
      </w:ins>
      <w:ins w:id="661" w:author="Urša Miklavčič [2]" w:date="2026-04-17T12:01:00Z" w16du:dateUtc="2026-04-17T10:01:00Z">
        <w:r w:rsidR="009A3E33">
          <w:rPr>
            <w:rFonts w:cs="Times New Roman"/>
            <w:szCs w:val="24"/>
          </w:rPr>
          <w:t>Although</w:t>
        </w:r>
      </w:ins>
      <w:ins w:id="662" w:author="Urša Miklavčič [2]" w:date="2026-04-17T12:00:00Z" w16du:dateUtc="2026-04-17T10:00:00Z">
        <w:r w:rsidR="009A3E33">
          <w:rPr>
            <w:rFonts w:cs="Times New Roman"/>
            <w:szCs w:val="24"/>
          </w:rPr>
          <w:t xml:space="preserve"> this is probably </w:t>
        </w:r>
      </w:ins>
      <w:ins w:id="663" w:author="Urša Miklavčič [2]" w:date="2026-04-17T12:01:00Z" w16du:dateUtc="2026-04-17T10:01:00Z">
        <w:r w:rsidR="009A3E33">
          <w:rPr>
            <w:rFonts w:cs="Times New Roman"/>
            <w:szCs w:val="24"/>
          </w:rPr>
          <w:t>due to observing data at high taxonomical level (class instead of family or viral</w:t>
        </w:r>
      </w:ins>
      <w:ins w:id="664" w:author="Urša Miklavčič [2]" w:date="2026-04-17T12:02:00Z" w16du:dateUtc="2026-04-17T10:02:00Z">
        <w:r w:rsidR="009A3E33">
          <w:rPr>
            <w:rFonts w:cs="Times New Roman"/>
            <w:szCs w:val="24"/>
          </w:rPr>
          <w:t xml:space="preserve"> </w:t>
        </w:r>
      </w:ins>
      <w:ins w:id="665" w:author="Urša Miklavčič [2]" w:date="2026-04-17T12:01:00Z" w16du:dateUtc="2026-04-17T10:01:00Z">
        <w:r w:rsidR="009A3E33">
          <w:rPr>
            <w:rFonts w:cs="Times New Roman"/>
            <w:szCs w:val="24"/>
          </w:rPr>
          <w:t xml:space="preserve">OTUs). </w:t>
        </w:r>
      </w:ins>
      <w:ins w:id="666" w:author="Urša Miklavčič [2]" w:date="2026-04-17T12:00:00Z" w16du:dateUtc="2026-04-17T10:00:00Z">
        <w:r w:rsidR="009A3E33">
          <w:rPr>
            <w:rFonts w:cs="Times New Roman"/>
            <w:szCs w:val="24"/>
          </w:rPr>
          <w:t xml:space="preserve"> </w:t>
        </w:r>
      </w:ins>
    </w:p>
    <w:p w14:paraId="0B655B84" w14:textId="77777777" w:rsidR="00287EE1" w:rsidRPr="00D93D74" w:rsidRDefault="00C003EE" w:rsidP="00287EE1">
      <w:pPr>
        <w:keepNext/>
      </w:pPr>
      <w:r w:rsidRPr="00D93D74">
        <w:rPr>
          <w:rFonts w:cs="Times New Roman"/>
          <w:noProof/>
          <w:szCs w:val="24"/>
        </w:rPr>
        <w:drawing>
          <wp:inline distT="0" distB="0" distL="0" distR="0" wp14:anchorId="04213FF5" wp14:editId="21F2948B">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18103DAA" w:rsidR="00C003EE" w:rsidRPr="00D93D74" w:rsidRDefault="00287EE1" w:rsidP="00620AB8">
      <w:pPr>
        <w:pStyle w:val="FigureTable"/>
        <w:rPr>
          <w:b/>
          <w:szCs w:val="24"/>
        </w:rPr>
      </w:pPr>
      <w:bookmarkStart w:id="667" w:name="_Toc216101622"/>
      <w:r w:rsidRPr="00D93D74">
        <w:rPr>
          <w:b/>
          <w:bCs w:val="0"/>
        </w:rPr>
        <w:t xml:space="preserve">Figure </w:t>
      </w:r>
      <w:r w:rsidR="00620AB8" w:rsidRPr="00D93D74">
        <w:rPr>
          <w:b/>
          <w:bCs w:val="0"/>
        </w:rPr>
        <w:t>10</w:t>
      </w:r>
      <w:r w:rsidRPr="00D93D74">
        <w:rPr>
          <w:b/>
          <w:bCs w:val="0"/>
        </w:rPr>
        <w:t>. Log-scaled reads per million</w:t>
      </w:r>
      <w:del w:id="668" w:author="Urša Miklavčič [2]" w:date="2026-01-21T09:57:00Z" w16du:dateUtc="2026-01-21T08:57:00Z">
        <w:r w:rsidRPr="00D93D74" w:rsidDel="00253CCD">
          <w:rPr>
            <w:b/>
            <w:bCs w:val="0"/>
          </w:rPr>
          <w:delText xml:space="preserve"> (TPM)</w:delText>
        </w:r>
      </w:del>
      <w:r w:rsidRPr="00D93D74">
        <w:rPr>
          <w:b/>
          <w:bCs w:val="0"/>
        </w:rPr>
        <w:t xml:space="preserve"> of viral classes in participants' gut microbiota.</w:t>
      </w:r>
      <w:r w:rsidRPr="00D93D74">
        <w:t xml:space="preserve"> </w:t>
      </w:r>
      <w:r w:rsidR="00BC2437" w:rsidRPr="00D93D74">
        <w:t>Viral sequences were</w:t>
      </w:r>
      <w:r w:rsidR="00150795" w:rsidRPr="00D93D74">
        <w:t xml:space="preserve"> </w:t>
      </w:r>
      <w:r w:rsidR="00BC2437" w:rsidRPr="00D93D74">
        <w:t>identified</w:t>
      </w:r>
      <w:r w:rsidR="00150795" w:rsidRPr="00D93D74">
        <w:t xml:space="preserve"> using geNomad. Each plot </w:t>
      </w:r>
      <w:r w:rsidR="00BC2437" w:rsidRPr="00D93D74">
        <w:t>depicts</w:t>
      </w:r>
      <w:r w:rsidR="00150795" w:rsidRPr="00D93D74">
        <w:t xml:space="preserve"> </w:t>
      </w:r>
      <w:r w:rsidR="00BC2437" w:rsidRPr="00D93D74">
        <w:t>one</w:t>
      </w:r>
      <w:r w:rsidR="00150795" w:rsidRPr="00D93D74">
        <w:t xml:space="preserve"> participant (labelled </w:t>
      </w:r>
      <w:r w:rsidR="00BC2437" w:rsidRPr="00D93D74">
        <w:t xml:space="preserve">with capital letters </w:t>
      </w:r>
      <w:r w:rsidR="00150795" w:rsidRPr="00D93D74">
        <w:t>A to I), with days</w:t>
      </w:r>
      <w:r w:rsidR="00BC2437" w:rsidRPr="00D93D74">
        <w:t xml:space="preserve"> on the x-axis</w:t>
      </w:r>
      <w:r w:rsidR="00150795" w:rsidRPr="00D93D74">
        <w:t xml:space="preserve"> indicating when stool samples were collected. Vertical coloured lines indicate out-of-the-ordinary events reported by participants in their questionnaires.</w:t>
      </w:r>
      <w:bookmarkEnd w:id="667"/>
      <w:r w:rsidR="00150795" w:rsidRPr="00D93D74">
        <w:t xml:space="preserve">  </w:t>
      </w:r>
    </w:p>
    <w:p w14:paraId="17B03697" w14:textId="77777777" w:rsidR="00F7553E" w:rsidRPr="00D93D74" w:rsidRDefault="00F7553E" w:rsidP="00A3533D">
      <w:pPr>
        <w:rPr>
          <w:rFonts w:cs="Times New Roman"/>
          <w:szCs w:val="24"/>
        </w:rPr>
      </w:pPr>
    </w:p>
    <w:p w14:paraId="2E577720" w14:textId="77777777" w:rsidR="00301C1C" w:rsidRPr="00D93D74" w:rsidRDefault="00301C1C" w:rsidP="00723A85">
      <w:pPr>
        <w:pStyle w:val="FigureTable"/>
      </w:pPr>
    </w:p>
    <w:p w14:paraId="00CDD41A" w14:textId="0F2543DA" w:rsidR="00E318AD" w:rsidRPr="00D93D74" w:rsidRDefault="00CD77AB">
      <w:pPr>
        <w:pStyle w:val="Naslov3"/>
        <w:numPr>
          <w:ilvl w:val="2"/>
          <w:numId w:val="6"/>
        </w:numPr>
      </w:pPr>
      <w:bookmarkStart w:id="669" w:name="_Toc216099749"/>
      <w:bookmarkStart w:id="670" w:name="_Toc220932872"/>
      <w:bookmarkStart w:id="671" w:name="_Toc228252042"/>
      <w:r w:rsidRPr="00D93D74">
        <w:t xml:space="preserve">Composition, abundance and diversity of ethanol-resistant bacterial community </w:t>
      </w:r>
      <w:r w:rsidR="00950BD7" w:rsidRPr="00D93D74">
        <w:t xml:space="preserve">and sporobiota </w:t>
      </w:r>
      <w:r w:rsidR="00F665E9" w:rsidRPr="00D93D74">
        <w:t>in the human gut</w:t>
      </w:r>
      <w:bookmarkEnd w:id="669"/>
      <w:bookmarkEnd w:id="670"/>
      <w:bookmarkEnd w:id="671"/>
    </w:p>
    <w:p w14:paraId="5B7B64AE" w14:textId="7109F857" w:rsidR="00CE5E1C" w:rsidRDefault="00CE5E1C" w:rsidP="00CE5E1C">
      <w:bookmarkStart w:id="672" w:name="_Toc216099750"/>
      <w:bookmarkStart w:id="673" w:name="_Toc220932873"/>
      <w:r w:rsidRPr="00D93D74">
        <w:t>First, we present results from 16S AS data, in which we analysed compositional characteristics and temporal dynamics in the ethanol-resistant community of the human microbiota</w:t>
      </w:r>
      <w:ins w:id="674" w:author="Urša Miklavčič [2]" w:date="2026-04-20T09:24:00Z" w16du:dateUtc="2026-04-20T07:24:00Z">
        <w:r w:rsidR="00B84807">
          <w:t xml:space="preserve"> (</w:t>
        </w:r>
      </w:ins>
      <w:ins w:id="675" w:author="Urša Miklavčič [2]" w:date="2026-04-20T09:27:00Z" w16du:dateUtc="2026-04-20T07:27:00Z">
        <w:r w:rsidR="00B84807">
          <w:t>see</w:t>
        </w:r>
      </w:ins>
      <w:ins w:id="676" w:author="Urša Miklavčič [2]" w:date="2026-04-20T09:24:00Z" w16du:dateUtc="2026-04-20T07:24:00Z">
        <w:r w:rsidR="00B84807">
          <w:t xml:space="preserve"> Chapter </w:t>
        </w:r>
      </w:ins>
      <w:ins w:id="677" w:author="Urša Miklavčič [2]" w:date="2026-04-20T09:25:00Z" w16du:dateUtc="2026-04-20T07:25:00Z">
        <w:r w:rsidR="00B84807">
          <w:t>3.6.1.2)</w:t>
        </w:r>
      </w:ins>
      <w:r w:rsidRPr="00D93D74">
        <w:t>. Ethanol-resistant taxa were determined based on presence</w:t>
      </w:r>
      <w:ins w:id="678" w:author="Urša Miklavčič [2]" w:date="2026-04-17T12:03:00Z" w16du:dateUtc="2026-04-17T10:03:00Z">
        <w:r w:rsidR="00661D47">
          <w:t xml:space="preserve"> and abundance criteria</w:t>
        </w:r>
      </w:ins>
      <w:r w:rsidRPr="00D93D74">
        <w:t xml:space="preserve"> in the ethanol treated samples</w:t>
      </w:r>
      <w:del w:id="679" w:author="Urša Miklavčič [2]" w:date="2026-04-17T12:03:00Z" w16du:dateUtc="2026-04-17T10:03:00Z">
        <w:r w:rsidRPr="00D93D74" w:rsidDel="00661D47">
          <w:delText>, with some additional abundance criteria</w:delText>
        </w:r>
      </w:del>
      <w:r w:rsidRPr="00D93D74">
        <w:t xml:space="preserve">. Second, we present metagenomic data where the same criteria were used </w:t>
      </w:r>
      <w:r w:rsidRPr="00D93D74">
        <w:lastRenderedPageBreak/>
        <w:t>for determination of ethanol resistance</w:t>
      </w:r>
      <w:ins w:id="680" w:author="Urša Miklavčič [2]" w:date="2026-04-20T09:25:00Z" w16du:dateUtc="2026-04-20T07:25:00Z">
        <w:r w:rsidR="00B84807">
          <w:t xml:space="preserve"> at</w:t>
        </w:r>
      </w:ins>
      <w:ins w:id="681" w:author="Urša Miklavčič [2]" w:date="2026-04-20T09:26:00Z" w16du:dateUtc="2026-04-20T07:26:00Z">
        <w:r w:rsidR="00B84807">
          <w:t xml:space="preserve"> the level of presence and abundance of each species</w:t>
        </w:r>
      </w:ins>
      <w:ins w:id="682" w:author="Urša Miklavčič [2]" w:date="2026-04-20T09:27:00Z" w16du:dateUtc="2026-04-20T07:27:00Z">
        <w:r w:rsidR="00B84807">
          <w:t xml:space="preserve"> (see Chapter 3.6.2.4)</w:t>
        </w:r>
      </w:ins>
      <w:ins w:id="683" w:author="Urša Miklavčič [2]" w:date="2026-04-20T09:26:00Z" w16du:dateUtc="2026-04-20T07:26:00Z">
        <w:r w:rsidR="00B84807">
          <w:t>. Additionally, in metagenomic data we could also determine sporulation ability based on presence of sporulation-associated genes (see Chapter 3.6.2.5)</w:t>
        </w:r>
      </w:ins>
      <w:del w:id="684" w:author="Urša Miklavčič [2]" w:date="2026-04-20T09:26:00Z" w16du:dateUtc="2026-04-20T07:26:00Z">
        <w:r w:rsidRPr="00D93D74" w:rsidDel="00B84807">
          <w:delText>, with additional gene-based determination of sporulation ability</w:delText>
        </w:r>
      </w:del>
      <w:r w:rsidRPr="00D93D74">
        <w:t>.</w:t>
      </w:r>
    </w:p>
    <w:p w14:paraId="2AF9BE5C" w14:textId="4C53B791" w:rsidR="00216C48" w:rsidRDefault="00D471DC" w:rsidP="00CE5E1C">
      <w:pPr>
        <w:rPr>
          <w:ins w:id="685" w:author="Urša Miklavčič [2]" w:date="2026-04-17T12:53:00Z" w16du:dateUtc="2026-04-17T10:53:00Z"/>
        </w:rPr>
      </w:pPr>
      <w:ins w:id="686" w:author="Urša Miklavčič [2]" w:date="2026-04-17T12:08:00Z" w16du:dateUtc="2026-04-17T10:08:00Z">
        <w:r w:rsidRPr="00055836">
          <w:t xml:space="preserve">With 16S AS we detected a total of 2420 OTUs. Of these, 411 OTUs (17.0%) met the criteria for ethanol resistance, 1932 OTUs (79.8%) were determined as ethanol non-resistant, and 77 OTUs (3.2%) were designated as undetermined (Figure </w:t>
        </w:r>
      </w:ins>
      <w:ins w:id="687" w:author="Urša Miklavčič [2]" w:date="2026-04-17T12:09:00Z" w16du:dateUtc="2026-04-17T10:09:00Z">
        <w:r>
          <w:t>11A</w:t>
        </w:r>
      </w:ins>
      <w:ins w:id="688" w:author="Urša Miklavčič [2]" w:date="2026-04-17T12:08:00Z" w16du:dateUtc="2026-04-17T10:08:00Z">
        <w:r w:rsidRPr="00055836">
          <w:t xml:space="preserve">). </w:t>
        </w:r>
      </w:ins>
      <w:ins w:id="689" w:author="Urša Miklavčič [2]" w:date="2026-04-17T12:53:00Z" w16du:dateUtc="2026-04-17T10:53:00Z">
        <w:r w:rsidR="00216C48" w:rsidRPr="00D93D74">
          <w:t xml:space="preserve">Most ethanol-resistant representatives </w:t>
        </w:r>
        <w:r w:rsidR="00216C48">
          <w:t xml:space="preserve">in the 16S AS </w:t>
        </w:r>
        <w:r w:rsidR="00216C48" w:rsidRPr="00D93D74">
          <w:t xml:space="preserve">were found in the phylum </w:t>
        </w:r>
        <w:r w:rsidR="00216C48" w:rsidRPr="00D93D74">
          <w:rPr>
            <w:i/>
            <w:iCs/>
          </w:rPr>
          <w:t>Bacillota</w:t>
        </w:r>
        <w:r w:rsidR="00216C48" w:rsidRPr="00D93D74">
          <w:t xml:space="preserve"> (n = 315), accounting for 77.5% of the total richness in the ethanol-resistant community (Figure 11A). Within </w:t>
        </w:r>
        <w:r w:rsidR="00216C48" w:rsidRPr="00D93D74">
          <w:rPr>
            <w:i/>
            <w:iCs/>
          </w:rPr>
          <w:t>Bacillota</w:t>
        </w:r>
        <w:r w:rsidR="00216C48" w:rsidRPr="00D93D74">
          <w:t xml:space="preserve">, 17.7% of all detected OTUs exhibited ethanol resistance, predominantly from the genera </w:t>
        </w:r>
        <w:r w:rsidR="00216C48" w:rsidRPr="00D93D74">
          <w:rPr>
            <w:i/>
            <w:iCs/>
          </w:rPr>
          <w:t>Clostridium</w:t>
        </w:r>
        <w:r w:rsidR="00216C48" w:rsidRPr="00D93D74">
          <w:t xml:space="preserve"> (n = 75), unclassified </w:t>
        </w:r>
        <w:r w:rsidR="00216C48" w:rsidRPr="00D93D74">
          <w:rPr>
            <w:i/>
            <w:iCs/>
          </w:rPr>
          <w:t>Lachnospiraceae</w:t>
        </w:r>
        <w:r w:rsidR="00216C48" w:rsidRPr="00D93D74">
          <w:t xml:space="preserve"> (n = 47), unclassified </w:t>
        </w:r>
        <w:r w:rsidR="00216C48" w:rsidRPr="00D93D74">
          <w:rPr>
            <w:i/>
            <w:iCs/>
          </w:rPr>
          <w:t>Ruminococcaceae</w:t>
        </w:r>
        <w:r w:rsidR="00216C48" w:rsidRPr="00D93D74">
          <w:t xml:space="preserve"> (n = 42), unclassified </w:t>
        </w:r>
        <w:r w:rsidR="00216C48" w:rsidRPr="00D93D74">
          <w:rPr>
            <w:i/>
            <w:iCs/>
          </w:rPr>
          <w:t>Peptostreptococcaceae</w:t>
        </w:r>
        <w:r w:rsidR="00216C48" w:rsidRPr="00D93D74">
          <w:t xml:space="preserve"> (n = 13), and </w:t>
        </w:r>
        <w:r w:rsidR="00216C48" w:rsidRPr="00D93D74">
          <w:rPr>
            <w:i/>
            <w:iCs/>
          </w:rPr>
          <w:t>Blautia</w:t>
        </w:r>
        <w:r w:rsidR="00216C48" w:rsidRPr="00D93D74">
          <w:t xml:space="preserve"> (n = 12). The remaining ethanol-resistant community included representatives from </w:t>
        </w:r>
        <w:r w:rsidR="00216C48" w:rsidRPr="00D93D74">
          <w:rPr>
            <w:i/>
            <w:iCs/>
          </w:rPr>
          <w:t>Actinomycetota</w:t>
        </w:r>
        <w:r w:rsidR="00216C48" w:rsidRPr="00D93D74">
          <w:t xml:space="preserve"> (n = 41, 11%), </w:t>
        </w:r>
        <w:r w:rsidR="00216C48" w:rsidRPr="00D93D74">
          <w:rPr>
            <w:i/>
            <w:iCs/>
          </w:rPr>
          <w:t>Pseudomonadota</w:t>
        </w:r>
        <w:r w:rsidR="00216C48" w:rsidRPr="00D93D74">
          <w:t xml:space="preserve"> (n = 23, 5.5%), and unclassified </w:t>
        </w:r>
        <w:r w:rsidR="00216C48" w:rsidRPr="00D93D74">
          <w:rPr>
            <w:i/>
            <w:iCs/>
          </w:rPr>
          <w:t>Bacteria</w:t>
        </w:r>
        <w:r w:rsidR="00216C48" w:rsidRPr="00D93D74">
          <w:t xml:space="preserve"> (n = 14, 3.7%).</w:t>
        </w:r>
      </w:ins>
      <w:ins w:id="690" w:author="Urša Miklavčič [2]" w:date="2026-04-20T09:28:00Z" w16du:dateUtc="2026-04-20T07:28:00Z">
        <w:r w:rsidR="00B84807">
          <w:t xml:space="preserve"> </w:t>
        </w:r>
      </w:ins>
      <w:ins w:id="691" w:author="Urša Miklavčič [2]" w:date="2026-04-17T12:53:00Z" w16du:dateUtc="2026-04-17T10:53:00Z">
        <w:r w:rsidR="00216C48" w:rsidRPr="00D93D74">
          <w:t xml:space="preserve">In these groups, the proportion of ethanol-resistant OTUs was 36.6%, 39.6%, and 20.8%, respectively, exhibiting this trait. Additionally, phyla with fewer than ten representatives collectively contributed 2.3% of the ethanol-resistant richness, most notably the biologically relevant genus </w:t>
        </w:r>
        <w:r w:rsidR="00216C48" w:rsidRPr="00D93D74">
          <w:rPr>
            <w:i/>
            <w:iCs/>
          </w:rPr>
          <w:t>Akkermansia</w:t>
        </w:r>
        <w:r w:rsidR="00216C48" w:rsidRPr="00D93D74">
          <w:t xml:space="preserve">. Ethanol treatment had the strongest elimination effect on the phylum </w:t>
        </w:r>
        <w:r w:rsidR="00216C48" w:rsidRPr="00D93D74">
          <w:rPr>
            <w:i/>
            <w:iCs/>
          </w:rPr>
          <w:t>Bacteroidota</w:t>
        </w:r>
        <w:r w:rsidR="00216C48" w:rsidRPr="00D93D74">
          <w:t>, with only 9 representatives remaining in the ethanol-resistant community, accounting for 0.5% of the total relative abundance.</w:t>
        </w:r>
        <w:r w:rsidR="00216C48">
          <w:t xml:space="preserve"> </w:t>
        </w:r>
        <w:r w:rsidR="00216C48" w:rsidRPr="00D93D74">
          <w:t xml:space="preserve">Ethanol-resistant taxa exhibited higher relative abundance, primarily driven by </w:t>
        </w:r>
        <w:r w:rsidR="00216C48" w:rsidRPr="00D93D74">
          <w:rPr>
            <w:i/>
            <w:iCs/>
          </w:rPr>
          <w:t>Bacillota</w:t>
        </w:r>
        <w:r w:rsidR="00216C48" w:rsidRPr="00D93D74">
          <w:t xml:space="preserve"> OTUs due to their high abundance, although similar trends were also observed </w:t>
        </w:r>
      </w:ins>
      <w:ins w:id="692" w:author="Urša Miklavčič [2]" w:date="2026-04-20T12:30:00Z" w16du:dateUtc="2026-04-20T10:30:00Z">
        <w:r w:rsidR="002F04A2">
          <w:t xml:space="preserve">in </w:t>
        </w:r>
      </w:ins>
      <w:ins w:id="693" w:author="Urša Miklavčič [2]" w:date="2026-04-20T12:31:00Z" w16du:dateUtc="2026-04-20T10:31:00Z">
        <w:r w:rsidR="002F04A2">
          <w:t xml:space="preserve">phylum </w:t>
        </w:r>
        <w:r w:rsidR="002F04A2">
          <w:rPr>
            <w:i/>
            <w:iCs/>
          </w:rPr>
          <w:t xml:space="preserve">Actinomycetota </w:t>
        </w:r>
        <w:r w:rsidR="002F04A2">
          <w:t xml:space="preserve">and for unclassified </w:t>
        </w:r>
        <w:r w:rsidR="002F04A2">
          <w:rPr>
            <w:i/>
            <w:iCs/>
          </w:rPr>
          <w:t>Bacteria</w:t>
        </w:r>
        <w:r w:rsidR="002F04A2">
          <w:t xml:space="preserve"> </w:t>
        </w:r>
      </w:ins>
      <w:ins w:id="694" w:author="Urša Miklavčič [2]" w:date="2026-04-17T12:53:00Z" w16du:dateUtc="2026-04-17T10:53:00Z">
        <w:r w:rsidR="00216C48" w:rsidRPr="00D93D74">
          <w:t>(</w:t>
        </w:r>
        <w:r w:rsidR="00216C48">
          <w:t>Supplement Figure 1</w:t>
        </w:r>
      </w:ins>
      <w:ins w:id="695" w:author="Urša Miklavčič [2]" w:date="2026-04-21T13:24:00Z" w16du:dateUtc="2026-04-21T11:24:00Z">
        <w:r w:rsidR="00554FAF">
          <w:t>1</w:t>
        </w:r>
      </w:ins>
      <w:ins w:id="696" w:author="Urša Miklavčič [2]" w:date="2026-04-17T12:53:00Z" w16du:dateUtc="2026-04-17T10:53:00Z">
        <w:r w:rsidR="00216C48" w:rsidRPr="00D93D74">
          <w:t xml:space="preserve">). </w:t>
        </w:r>
      </w:ins>
    </w:p>
    <w:p w14:paraId="7DD6A276" w14:textId="083750B6" w:rsidR="00D471DC" w:rsidRDefault="00D471DC" w:rsidP="00CE5E1C">
      <w:ins w:id="697" w:author="Urša Miklavčič [2]" w:date="2026-04-17T12:09:00Z" w16du:dateUtc="2026-04-17T10:09:00Z">
        <w:r>
          <w:t>In metagenomic data</w:t>
        </w:r>
      </w:ins>
      <w:ins w:id="698" w:author="Urša Miklavčič [2]" w:date="2026-04-17T12:08:00Z" w16du:dateUtc="2026-04-17T10:08:00Z">
        <w:r w:rsidRPr="00055836">
          <w:t>, a total of 990 species were detected, of these 253 (25.5%) met criteria for ethanol resistance, 550 (55.5%) were determined as ethanol non-resistant and 187 (18.8%) did not meet the criteria and were designated as undetermined (Figure 1</w:t>
        </w:r>
      </w:ins>
      <w:ins w:id="699" w:author="Urša Miklavčič [2]" w:date="2026-04-17T12:09:00Z" w16du:dateUtc="2026-04-17T10:09:00Z">
        <w:r>
          <w:t>1A</w:t>
        </w:r>
      </w:ins>
      <w:ins w:id="700" w:author="Urša Miklavčič [2]" w:date="2026-04-17T12:08:00Z" w16du:dateUtc="2026-04-17T10:08:00Z">
        <w:r w:rsidRPr="00055836">
          <w:t xml:space="preserve">). The ethanol-resistant community was dominated by members of the phylum </w:t>
        </w:r>
        <w:r w:rsidRPr="00055836">
          <w:rPr>
            <w:i/>
            <w:iCs/>
          </w:rPr>
          <w:t>Bacillota</w:t>
        </w:r>
        <w:r w:rsidRPr="00055836">
          <w:t>, 81.8% of all ethanol-resistant taxa in untreated samples. In contrast, the number of ethanol-resistant taxa was notably lower in remaining phyla</w:t>
        </w:r>
      </w:ins>
      <w:ins w:id="701" w:author="Urša Miklavčič [2]" w:date="2026-04-20T12:32:00Z" w16du:dateUtc="2026-04-20T10:32:00Z">
        <w:r w:rsidR="002F04A2">
          <w:t xml:space="preserve"> (Figure 11A)</w:t>
        </w:r>
      </w:ins>
      <w:ins w:id="702" w:author="Urša Miklavčič [2]" w:date="2026-04-17T12:08:00Z" w16du:dateUtc="2026-04-17T10:08:00Z">
        <w:r w:rsidRPr="00055836">
          <w:t>. Fractions of ethanol-resistant taxa showed consistency across different phyla between the two sequencing approaches (Figure 1</w:t>
        </w:r>
      </w:ins>
      <w:ins w:id="703" w:author="Urša Miklavčič [2]" w:date="2026-04-20T12:32:00Z" w16du:dateUtc="2026-04-20T10:32:00Z">
        <w:r w:rsidR="002F04A2">
          <w:t>1</w:t>
        </w:r>
      </w:ins>
      <w:ins w:id="704" w:author="Urša Miklavčič [2]" w:date="2026-04-17T12:10:00Z" w16du:dateUtc="2026-04-17T10:10:00Z">
        <w:r>
          <w:t>A</w:t>
        </w:r>
      </w:ins>
      <w:ins w:id="705" w:author="Urša Miklavčič [2]" w:date="2026-04-17T12:08:00Z" w16du:dateUtc="2026-04-17T10:08:00Z">
        <w:r w:rsidRPr="00055836">
          <w:t xml:space="preserve">, mean difference 0.6 %, paired t-test, p = 0.96). </w:t>
        </w:r>
      </w:ins>
    </w:p>
    <w:p w14:paraId="0EDAF7DF" w14:textId="7B1D8910" w:rsidR="004D39F4" w:rsidRPr="00D93D74" w:rsidDel="00D471DC" w:rsidRDefault="004D39F4" w:rsidP="00D471DC">
      <w:pPr>
        <w:pStyle w:val="Naslov4"/>
        <w:numPr>
          <w:ilvl w:val="0"/>
          <w:numId w:val="0"/>
        </w:numPr>
        <w:rPr>
          <w:del w:id="706" w:author="Urša Miklavčič [2]" w:date="2026-04-17T12:10:00Z" w16du:dateUtc="2026-04-17T10:10:00Z"/>
        </w:rPr>
      </w:pPr>
      <w:del w:id="707" w:author="Urša Miklavčič [2]" w:date="2026-04-17T12:10:00Z" w16du:dateUtc="2026-04-17T10:10:00Z">
        <w:r w:rsidRPr="00D93D74" w:rsidDel="00D471DC">
          <w:delText xml:space="preserve">4.3.2.1 Ethanol-resistant community </w:delText>
        </w:r>
      </w:del>
      <w:del w:id="708" w:author="Urša Miklavčič [2]" w:date="2026-04-17T12:05:00Z" w16du:dateUtc="2026-04-17T10:05:00Z">
        <w:r w:rsidRPr="00D93D74" w:rsidDel="00614C8F">
          <w:delText xml:space="preserve">and sporobiota </w:delText>
        </w:r>
      </w:del>
      <w:del w:id="709" w:author="Urša Miklavčič [2]" w:date="2026-04-17T12:10:00Z" w16du:dateUtc="2026-04-17T10:10:00Z">
        <w:r w:rsidR="00973033" w:rsidRPr="00D93D74" w:rsidDel="00D471DC">
          <w:delText>in</w:delText>
        </w:r>
        <w:r w:rsidRPr="00D93D74" w:rsidDel="00D471DC">
          <w:delText xml:space="preserve"> amplicon </w:delText>
        </w:r>
        <w:bookmarkEnd w:id="672"/>
        <w:r w:rsidR="00973033" w:rsidRPr="00D93D74" w:rsidDel="00D471DC">
          <w:delText>data</w:delText>
        </w:r>
        <w:bookmarkEnd w:id="673"/>
      </w:del>
    </w:p>
    <w:p w14:paraId="5593F5D1" w14:textId="708543D9" w:rsidR="00CA07DF" w:rsidRPr="00D93D74" w:rsidDel="00D471DC" w:rsidRDefault="00CA07DF" w:rsidP="00CA07DF">
      <w:pPr>
        <w:rPr>
          <w:del w:id="710" w:author="Urša Miklavčič [2]" w:date="2026-04-17T12:10:00Z" w16du:dateUtc="2026-04-17T10:10:00Z"/>
        </w:rPr>
      </w:pPr>
      <w:del w:id="711" w:author="Urša Miklavčič [2]" w:date="2026-04-17T12:10:00Z" w16du:dateUtc="2026-04-17T10:10:00Z">
        <w:r w:rsidRPr="00D93D74" w:rsidDel="00D471DC">
          <w:delText xml:space="preserve">We obtained 2420 OTUs across the untreated samples, of which 411 (16.9 %) were determined as part of the ethanol-resistant community and 1932 (79.8%) as part of the ethanol non-resistant community. Seventy-seven OTUs (3.1%) failed to meet the criteria and were designated as undetermined regarding ethanol resistance. An additional 154 OTUs were detected only in ethanol treated samples and were removed from analysis. </w:delText>
        </w:r>
      </w:del>
    </w:p>
    <w:p w14:paraId="284A3EE7" w14:textId="4161CC72" w:rsidR="00CA07DF" w:rsidRPr="00D93D74" w:rsidDel="00D471DC" w:rsidRDefault="00CA07DF" w:rsidP="00CA07DF">
      <w:pPr>
        <w:rPr>
          <w:del w:id="712" w:author="Urša Miklavčič [2]" w:date="2026-04-17T12:11:00Z" w16du:dateUtc="2026-04-17T10:11:00Z"/>
        </w:rPr>
      </w:pPr>
      <w:del w:id="713" w:author="Urša Miklavčič [2]" w:date="2026-04-17T12:53:00Z" w16du:dateUtc="2026-04-17T10:53:00Z">
        <w:r w:rsidRPr="00D93D74" w:rsidDel="00216C48">
          <w:delText xml:space="preserve">Most ethanol-resistant representatives were found in the phylum </w:delText>
        </w:r>
        <w:r w:rsidRPr="00D93D74" w:rsidDel="00216C48">
          <w:rPr>
            <w:i/>
            <w:iCs/>
          </w:rPr>
          <w:delText>Bacillota</w:delText>
        </w:r>
        <w:r w:rsidRPr="00D93D74" w:rsidDel="00216C48">
          <w:delText xml:space="preserve"> (n = 315), accounting for 77.5% of the total richness in the ethanol-resistant community (Figure 11A). Within </w:delText>
        </w:r>
        <w:r w:rsidRPr="00D93D74" w:rsidDel="00216C48">
          <w:rPr>
            <w:i/>
            <w:iCs/>
          </w:rPr>
          <w:delText>Bacillota</w:delText>
        </w:r>
        <w:r w:rsidRPr="00D93D74" w:rsidDel="00216C48">
          <w:delText xml:space="preserve">, 17.7% of all detected OTUs exhibited ethanol resistance, predominantly from the genera </w:delText>
        </w:r>
        <w:r w:rsidRPr="00D93D74" w:rsidDel="00216C48">
          <w:rPr>
            <w:i/>
            <w:iCs/>
          </w:rPr>
          <w:delText>Clostridium</w:delText>
        </w:r>
        <w:r w:rsidRPr="00D93D74" w:rsidDel="00216C48">
          <w:delText xml:space="preserve"> (n = 75), unclassified </w:delText>
        </w:r>
        <w:r w:rsidRPr="00D93D74" w:rsidDel="00216C48">
          <w:rPr>
            <w:i/>
            <w:iCs/>
          </w:rPr>
          <w:delText>Lachnospiraceae</w:delText>
        </w:r>
        <w:r w:rsidRPr="00D93D74" w:rsidDel="00216C48">
          <w:delText xml:space="preserve"> (n = 47), unclassified </w:delText>
        </w:r>
        <w:r w:rsidRPr="00D93D74" w:rsidDel="00216C48">
          <w:rPr>
            <w:i/>
            <w:iCs/>
          </w:rPr>
          <w:delText>Ruminococcaceae</w:delText>
        </w:r>
        <w:r w:rsidRPr="00D93D74" w:rsidDel="00216C48">
          <w:delText xml:space="preserve"> (n = 42), unclassified </w:delText>
        </w:r>
        <w:r w:rsidRPr="00D93D74" w:rsidDel="00216C48">
          <w:rPr>
            <w:i/>
            <w:iCs/>
          </w:rPr>
          <w:delText>Peptostreptococcaceae</w:delText>
        </w:r>
        <w:r w:rsidRPr="00D93D74" w:rsidDel="00216C48">
          <w:delText xml:space="preserve"> (n = 13), and </w:delText>
        </w:r>
        <w:r w:rsidRPr="00D93D74" w:rsidDel="00216C48">
          <w:rPr>
            <w:i/>
            <w:iCs/>
          </w:rPr>
          <w:delText>Blautia</w:delText>
        </w:r>
        <w:r w:rsidRPr="00D93D74" w:rsidDel="00216C48">
          <w:delText xml:space="preserve"> (n = 12). The remaining ethanol-resistant community included representatives from </w:delText>
        </w:r>
        <w:r w:rsidRPr="00D93D74" w:rsidDel="00216C48">
          <w:rPr>
            <w:i/>
            <w:iCs/>
          </w:rPr>
          <w:delText>Actinomycetota</w:delText>
        </w:r>
        <w:r w:rsidRPr="00D93D74" w:rsidDel="00216C48">
          <w:delText xml:space="preserve"> (n = 41, 11%), </w:delText>
        </w:r>
        <w:r w:rsidRPr="00D93D74" w:rsidDel="00216C48">
          <w:rPr>
            <w:i/>
            <w:iCs/>
          </w:rPr>
          <w:delText>Pseudomonadota</w:delText>
        </w:r>
        <w:r w:rsidRPr="00D93D74" w:rsidDel="00216C48">
          <w:delText xml:space="preserve"> (n = 23, 5.5%), and unclassified </w:delText>
        </w:r>
        <w:r w:rsidRPr="00D93D74" w:rsidDel="00216C48">
          <w:rPr>
            <w:i/>
            <w:iCs/>
          </w:rPr>
          <w:delText>Bacteria</w:delText>
        </w:r>
        <w:r w:rsidRPr="00D93D74" w:rsidDel="00216C48">
          <w:delText xml:space="preserve"> (n = 14, 3.7%). In these groups, the </w:delText>
        </w:r>
        <w:commentRangeStart w:id="714"/>
        <w:r w:rsidRPr="00D93D74" w:rsidDel="00216C48">
          <w:delText>proportion of ethanol-resistant OTUs was higher than expected</w:delText>
        </w:r>
        <w:commentRangeEnd w:id="714"/>
        <w:r w:rsidR="0034031C" w:rsidRPr="00D93D74" w:rsidDel="00216C48">
          <w:rPr>
            <w:rStyle w:val="Pripombasklic"/>
            <w:sz w:val="24"/>
            <w:szCs w:val="22"/>
          </w:rPr>
          <w:commentReference w:id="714"/>
        </w:r>
        <w:r w:rsidRPr="00D93D74" w:rsidDel="00216C48">
          <w:delText xml:space="preserve">, with 36.6%, 39.6%, and 20.8%, respectively, exhibiting this trait. Additionally, phyla with fewer than ten representatives collectively contributed 2.3% of the ethanol-resistant richness, most notably the biologically relevant genus </w:delText>
        </w:r>
        <w:r w:rsidRPr="00D93D74" w:rsidDel="00216C48">
          <w:rPr>
            <w:i/>
            <w:iCs/>
          </w:rPr>
          <w:delText>Akkermansia</w:delText>
        </w:r>
        <w:r w:rsidRPr="00D93D74" w:rsidDel="00216C48">
          <w:delText xml:space="preserve">. Ethanol treatment had the strongest elimination effect on the phylum </w:delText>
        </w:r>
        <w:r w:rsidRPr="00D93D74" w:rsidDel="00216C48">
          <w:rPr>
            <w:i/>
            <w:iCs/>
          </w:rPr>
          <w:delText>Bacteroidota</w:delText>
        </w:r>
        <w:r w:rsidRPr="00D93D74" w:rsidDel="00216C48">
          <w:delText>, with only 9 representatives remaining in the ethanol-resistant community, accounting for 0.5% of the total relative abundance.</w:delText>
        </w:r>
      </w:del>
    </w:p>
    <w:p w14:paraId="435BE495" w14:textId="00801486" w:rsidR="00CA07DF" w:rsidRPr="00D93D74" w:rsidDel="00216C48" w:rsidRDefault="00CA07DF" w:rsidP="00CA07DF">
      <w:pPr>
        <w:rPr>
          <w:del w:id="715" w:author="Urša Miklavčič [2]" w:date="2026-04-17T12:53:00Z" w16du:dateUtc="2026-04-17T10:53:00Z"/>
        </w:rPr>
      </w:pPr>
      <w:del w:id="716" w:author="Urša Miklavčič [2]" w:date="2026-04-17T12:53:00Z" w16du:dateUtc="2026-04-17T10:53:00Z">
        <w:r w:rsidRPr="00D93D74" w:rsidDel="00216C48">
          <w:delText xml:space="preserve">Ethanol-resistant taxa exhibited higher relative abundance, primarily driven by </w:delText>
        </w:r>
        <w:r w:rsidRPr="00D93D74" w:rsidDel="00216C48">
          <w:rPr>
            <w:i/>
            <w:iCs/>
          </w:rPr>
          <w:delText>Bacillota</w:delText>
        </w:r>
        <w:r w:rsidRPr="00D93D74" w:rsidDel="00216C48">
          <w:delText xml:space="preserve"> OTUs due to their high abundance, although similar trends were also observed across other phyla  (</w:delText>
        </w:r>
      </w:del>
      <w:del w:id="717" w:author="Urša Miklavčič [2]" w:date="2026-04-17T12:11:00Z" w16du:dateUtc="2026-04-17T10:11:00Z">
        <w:r w:rsidRPr="00D93D74" w:rsidDel="00D471DC">
          <w:delText>linear mixed-effect model accounting for participant; Figure 11B</w:delText>
        </w:r>
      </w:del>
      <w:del w:id="718" w:author="Urša Miklavčič [2]" w:date="2026-04-17T12:53:00Z" w16du:dateUtc="2026-04-17T10:53:00Z">
        <w:r w:rsidRPr="00D93D74" w:rsidDel="00216C48">
          <w:delText xml:space="preserve">). </w:delText>
        </w:r>
      </w:del>
    </w:p>
    <w:p w14:paraId="5EE1E6A0" w14:textId="4C779B69" w:rsidR="00856AD2" w:rsidDel="002F04A2" w:rsidRDefault="00856AD2" w:rsidP="00E9210E">
      <w:pPr>
        <w:rPr>
          <w:del w:id="719" w:author="Urša Miklavčič [2]" w:date="2026-04-17T12:52:00Z" w16du:dateUtc="2026-04-17T10:52:00Z"/>
        </w:rPr>
      </w:pPr>
      <w:moveToRangeStart w:id="720" w:author="Urša Miklavčič [2]" w:date="2026-04-17T12:19:00Z" w:name="move227320779"/>
      <w:moveTo w:id="721" w:author="Urša Miklavčič [2]" w:date="2026-04-17T12:19:00Z" w16du:dateUtc="2026-04-17T10:19:00Z">
        <w:r w:rsidRPr="00D93D74">
          <w:t xml:space="preserve">Using metagenomic data we could </w:t>
        </w:r>
      </w:moveTo>
      <w:ins w:id="722" w:author="Urša Miklavčič [2]" w:date="2026-04-17T12:19:00Z" w16du:dateUtc="2026-04-17T10:19:00Z">
        <w:r>
          <w:t xml:space="preserve">also </w:t>
        </w:r>
      </w:ins>
      <w:moveTo w:id="723" w:author="Urša Miklavčič [2]" w:date="2026-04-17T12:19:00Z" w16du:dateUtc="2026-04-17T10:19:00Z">
        <w:r w:rsidRPr="00D93D74">
          <w:t>determine sporulation ability based on presence of sporulation genes</w:t>
        </w:r>
      </w:moveTo>
      <w:ins w:id="724" w:author="Urša Miklavčič [2]" w:date="2026-04-17T12:33:00Z" w16du:dateUtc="2026-04-17T10:33:00Z">
        <w:r w:rsidR="00112248">
          <w:t xml:space="preserve"> - sporobiota</w:t>
        </w:r>
      </w:ins>
      <w:ins w:id="725" w:author="Urša Miklavčič [2]" w:date="2026-04-17T12:19:00Z" w16du:dateUtc="2026-04-17T10:19:00Z">
        <w:r>
          <w:t xml:space="preserve">. Including this information besides the ethanol resistance </w:t>
        </w:r>
      </w:ins>
      <w:ins w:id="726" w:author="Urša Miklavčič [2]" w:date="2026-04-17T12:20:00Z" w16du:dateUtc="2026-04-17T10:20:00Z">
        <w:r>
          <w:t xml:space="preserve">determined based on presence and abundance criteria in the ethanol treated samples, </w:t>
        </w:r>
      </w:ins>
      <w:moveTo w:id="727" w:author="Urša Miklavčič [2]" w:date="2026-04-17T12:19:00Z" w16du:dateUtc="2026-04-17T10:19:00Z">
        <w:del w:id="728" w:author="Urša Miklavčič [2]" w:date="2026-04-17T12:19:00Z" w16du:dateUtc="2026-04-17T10:19:00Z">
          <w:r w:rsidRPr="00D93D74" w:rsidDel="00856AD2">
            <w:delText xml:space="preserve"> </w:delText>
          </w:r>
        </w:del>
        <w:del w:id="729" w:author="Urša Miklavčič [2]" w:date="2026-04-17T12:20:00Z" w16du:dateUtc="2026-04-17T10:20:00Z">
          <w:r w:rsidRPr="00D93D74" w:rsidDel="00856AD2">
            <w:delText xml:space="preserve">and with the ethanol treated samples </w:delText>
          </w:r>
        </w:del>
        <w:r w:rsidRPr="00D93D74">
          <w:t xml:space="preserve">we obtained information on actual sporulation (presence of spores) </w:t>
        </w:r>
      </w:moveTo>
      <w:ins w:id="730" w:author="Urša Miklavčič [2]" w:date="2026-04-17T12:20:00Z" w16du:dateUtc="2026-04-17T10:20:00Z">
        <w:r>
          <w:t xml:space="preserve">of a </w:t>
        </w:r>
      </w:ins>
      <w:moveTo w:id="731" w:author="Urša Miklavčič [2]" w:date="2026-04-17T12:19:00Z" w16du:dateUtc="2026-04-17T10:19:00Z">
        <w:del w:id="732" w:author="Urša Miklavčič [2]" w:date="2026-04-17T12:20:00Z" w16du:dateUtc="2026-04-17T10:20:00Z">
          <w:r w:rsidRPr="00D93D74" w:rsidDel="00856AD2">
            <w:delText>by</w:delText>
          </w:r>
        </w:del>
        <w:r w:rsidRPr="00D93D74">
          <w:t xml:space="preserve"> species in a given </w:t>
        </w:r>
      </w:moveTo>
      <w:ins w:id="733" w:author="Urša Miklavčič [2]" w:date="2026-04-17T12:50:00Z" w16du:dateUtc="2026-04-17T10:50:00Z">
        <w:r w:rsidR="00890FB0">
          <w:t xml:space="preserve">gut </w:t>
        </w:r>
      </w:ins>
      <w:moveTo w:id="734" w:author="Urša Miklavčič [2]" w:date="2026-04-17T12:19:00Z" w16du:dateUtc="2026-04-17T10:19:00Z">
        <w:r w:rsidRPr="00D93D74">
          <w:t xml:space="preserve">environment. </w:t>
        </w:r>
      </w:moveTo>
    </w:p>
    <w:p w14:paraId="1B597BD1" w14:textId="49A04E4C" w:rsidR="00856AD2" w:rsidRPr="00D93D74" w:rsidDel="00216C48" w:rsidRDefault="00856AD2" w:rsidP="00856AD2">
      <w:pPr>
        <w:rPr>
          <w:del w:id="735" w:author="Urša Miklavčič [2]" w:date="2026-04-17T12:52:00Z" w16du:dateUtc="2026-04-17T10:52:00Z"/>
          <w:moveTo w:id="736" w:author="Urša Miklavčič [2]" w:date="2026-04-17T12:19:00Z" w16du:dateUtc="2026-04-17T10:19:00Z"/>
        </w:rPr>
      </w:pPr>
      <w:moveTo w:id="737" w:author="Urša Miklavčič [2]" w:date="2026-04-17T12:19:00Z" w16du:dateUtc="2026-04-17T10:19:00Z">
        <w:r w:rsidRPr="00D93D74">
          <w:t>A total of 527 species were assigned a known NCBI species name with available genome sequence in the entire set of 203 stool samples, enabling inference of sporulation ability based on the presence of a predefined set of sporulation genes (Figure 1</w:t>
        </w:r>
      </w:moveTo>
      <w:ins w:id="738" w:author="Urša Miklavčič [2]" w:date="2026-04-17T12:20:00Z" w16du:dateUtc="2026-04-17T10:20:00Z">
        <w:r>
          <w:t>1B</w:t>
        </w:r>
      </w:ins>
      <w:moveTo w:id="739" w:author="Urša Miklavčič [2]" w:date="2026-04-17T12:19:00Z" w16du:dateUtc="2026-04-17T10:19:00Z">
        <w:del w:id="740" w:author="Urša Miklavčič [2]" w:date="2026-04-17T12:20:00Z" w16du:dateUtc="2026-04-17T10:20:00Z">
          <w:r w:rsidRPr="00D93D74" w:rsidDel="00856AD2">
            <w:delText>2</w:delText>
          </w:r>
        </w:del>
        <w:r w:rsidRPr="00D93D74">
          <w:t>). The remaining species (n = 500) could not be assigned to a species-level name and were excluded from further analysis</w:t>
        </w:r>
      </w:moveTo>
      <w:ins w:id="741" w:author="Urša Miklavčič [2]" w:date="2026-04-20T12:37:00Z" w16du:dateUtc="2026-04-20T10:37:00Z">
        <w:r w:rsidR="002F04A2">
          <w:t>.</w:t>
        </w:r>
      </w:ins>
      <w:ins w:id="742" w:author="Urša Miklavčič [2]" w:date="2026-04-20T12:38:00Z" w16du:dateUtc="2026-04-20T10:38:00Z">
        <w:r w:rsidR="002F04A2">
          <w:t xml:space="preserve"> A</w:t>
        </w:r>
      </w:ins>
      <w:ins w:id="743" w:author="Urša Miklavčič [2]" w:date="2026-04-17T12:22:00Z" w16du:dateUtc="2026-04-17T10:22:00Z">
        <w:r w:rsidRPr="00856AD2">
          <w:t>ssembly-based reconstruction</w:t>
        </w:r>
      </w:ins>
      <w:ins w:id="744" w:author="Urša Miklavčič [2]" w:date="2026-04-17T12:23:00Z" w16du:dateUtc="2026-04-17T10:23:00Z">
        <w:r>
          <w:t xml:space="preserve"> of metagenome-assembled genomes (MAGs)</w:t>
        </w:r>
      </w:ins>
      <w:ins w:id="745" w:author="Urša Miklavčič [2]" w:date="2026-04-17T12:22:00Z" w16du:dateUtc="2026-04-17T10:22:00Z">
        <w:r w:rsidRPr="00856AD2">
          <w:t xml:space="preserve"> produced only 64 high-quality </w:t>
        </w:r>
      </w:ins>
      <w:ins w:id="746" w:author="Urša Miklavčič [2]" w:date="2026-04-17T12:23:00Z" w16du:dateUtc="2026-04-17T10:23:00Z">
        <w:r>
          <w:t>MAGs</w:t>
        </w:r>
      </w:ins>
      <w:ins w:id="747" w:author="Urša Miklavčič [2]" w:date="2026-04-17T12:22:00Z" w16du:dateUtc="2026-04-17T10:22:00Z">
        <w:r>
          <w:t xml:space="preserve"> </w:t>
        </w:r>
        <w:r w:rsidRPr="00856AD2">
          <w:t>(completion &gt; 90%, contamination &lt; 10%), thereby preventing genome-resolved analyses</w:t>
        </w:r>
      </w:ins>
      <w:moveTo w:id="748" w:author="Urša Miklavčič [2]" w:date="2026-04-17T12:19:00Z" w16du:dateUtc="2026-04-17T10:19:00Z">
        <w:r w:rsidRPr="00D93D74">
          <w:t>.</w:t>
        </w:r>
      </w:moveTo>
      <w:ins w:id="749" w:author="Urša Miklavčič [2]" w:date="2026-04-20T12:38:00Z" w16du:dateUtc="2026-04-20T10:38:00Z">
        <w:r w:rsidR="002F04A2">
          <w:t xml:space="preserve"> </w:t>
        </w:r>
      </w:ins>
      <w:moveTo w:id="750" w:author="Urša Miklavčič [2]" w:date="2026-04-17T12:19:00Z" w16du:dateUtc="2026-04-17T10:19:00Z">
        <w:del w:id="751" w:author="Urša Miklavčič [2]" w:date="2026-04-20T12:38:00Z" w16du:dateUtc="2026-04-20T10:38:00Z">
          <w:r w:rsidRPr="00D93D74" w:rsidDel="002F04A2">
            <w:delText xml:space="preserve"> These</w:delText>
          </w:r>
        </w:del>
      </w:moveTo>
      <w:ins w:id="752" w:author="Urša Miklavčič [2]" w:date="2026-04-20T12:38:00Z" w16du:dateUtc="2026-04-20T10:38:00Z">
        <w:r w:rsidR="002F04A2">
          <w:t xml:space="preserve">The </w:t>
        </w:r>
      </w:ins>
      <w:moveTo w:id="753" w:author="Urša Miklavčič [2]" w:date="2026-04-17T12:19:00Z" w16du:dateUtc="2026-04-17T10:19:00Z">
        <w:del w:id="754" w:author="Urša Miklavčič [2]" w:date="2026-04-20T12:38:00Z" w16du:dateUtc="2026-04-20T10:38:00Z">
          <w:r w:rsidRPr="00D93D74" w:rsidDel="002F04A2">
            <w:lastRenderedPageBreak/>
            <w:delText xml:space="preserve"> </w:delText>
          </w:r>
        </w:del>
        <w:r w:rsidRPr="00D93D74">
          <w:t xml:space="preserve">unassigned species represented around 22.8% of total relative abundance, predominantly comprising </w:t>
        </w:r>
        <w:r w:rsidRPr="00D93D74">
          <w:rPr>
            <w:i/>
            <w:iCs/>
          </w:rPr>
          <w:t>Bacillota</w:t>
        </w:r>
        <w:r w:rsidRPr="00D93D74">
          <w:t xml:space="preserve"> (17.8%) and </w:t>
        </w:r>
        <w:r w:rsidRPr="00D93D74">
          <w:rPr>
            <w:i/>
            <w:iCs/>
          </w:rPr>
          <w:t>Bacteroidota</w:t>
        </w:r>
        <w:r w:rsidRPr="00D93D74">
          <w:t xml:space="preserve"> (3.3%), while other phyla contributed less than 0.6% of total relative abundance per sample. We identified 236 spore-forming species in the phylum </w:t>
        </w:r>
        <w:r w:rsidRPr="00D93D74">
          <w:rPr>
            <w:i/>
            <w:iCs/>
          </w:rPr>
          <w:t>Bacillota,</w:t>
        </w:r>
        <w:r w:rsidRPr="00D93D74">
          <w:t xml:space="preserve"> and 292 non-spore-forming species distributed across </w:t>
        </w:r>
        <w:r w:rsidRPr="00D93D74">
          <w:rPr>
            <w:i/>
            <w:iCs/>
          </w:rPr>
          <w:t>Bacillota</w:t>
        </w:r>
        <w:r w:rsidRPr="00D93D74">
          <w:t xml:space="preserve"> (n = 134) and other phyla (n = 158).</w:t>
        </w:r>
      </w:moveTo>
      <w:ins w:id="755" w:author="Urša Miklavčič [2]" w:date="2026-04-17T12:52:00Z" w16du:dateUtc="2026-04-17T10:52:00Z">
        <w:r w:rsidR="00216C48">
          <w:t xml:space="preserve"> </w:t>
        </w:r>
      </w:ins>
    </w:p>
    <w:p w14:paraId="52EFC5C9" w14:textId="753BC04F" w:rsidR="00856AD2" w:rsidDel="002F04A2" w:rsidRDefault="00856AD2" w:rsidP="00E9210E">
      <w:pPr>
        <w:rPr>
          <w:del w:id="756" w:author="Urša Miklavčič [2]" w:date="2026-04-17T12:52:00Z" w16du:dateUtc="2026-04-17T10:52:00Z"/>
        </w:rPr>
      </w:pPr>
      <w:moveTo w:id="757" w:author="Urša Miklavčič [2]" w:date="2026-04-17T12:19:00Z" w16du:dateUtc="2026-04-17T10:19:00Z">
        <w:r w:rsidRPr="00D93D74">
          <w:t>Spore-formers defined by gene presence</w:t>
        </w:r>
      </w:moveTo>
      <w:ins w:id="758" w:author="Urša Miklavčič [2]" w:date="2026-04-20T12:38:00Z" w16du:dateUtc="2026-04-20T10:38:00Z">
        <w:r w:rsidR="002F04A2">
          <w:t>, the true</w:t>
        </w:r>
      </w:ins>
      <w:moveTo w:id="759" w:author="Urša Miklavčič [2]" w:date="2026-04-17T12:19:00Z" w16du:dateUtc="2026-04-17T10:19:00Z">
        <w:del w:id="760" w:author="Urša Miklavčič [2]" w:date="2026-04-20T12:38:00Z" w16du:dateUtc="2026-04-20T10:38:00Z">
          <w:r w:rsidRPr="00D93D74" w:rsidDel="002F04A2">
            <w:delText xml:space="preserve"> –</w:delText>
          </w:r>
        </w:del>
        <w:r w:rsidRPr="00D93D74">
          <w:t xml:space="preserve"> sporobiota, are present at higher relative abundance (</w:t>
        </w:r>
        <w:del w:id="761" w:author="Urša Miklavčič [2]" w:date="2026-04-17T12:24:00Z" w16du:dateUtc="2026-04-17T10:24:00Z">
          <w:r w:rsidRPr="00D93D74" w:rsidDel="00856AD2">
            <w:delText>Figure 12, Wilcoxon test, all pairwise Benjamini–Hochberg adjusted p &lt; 0.001 for all comparisons</w:delText>
          </w:r>
        </w:del>
      </w:moveTo>
      <w:ins w:id="762" w:author="Urša Miklavčič [2]" w:date="2026-04-17T12:24:00Z" w16du:dateUtc="2026-04-17T10:24:00Z">
        <w:r>
          <w:t>Supplement Figure 1</w:t>
        </w:r>
      </w:ins>
      <w:ins w:id="763" w:author="Urša Miklavčič [2]" w:date="2026-04-21T13:24:00Z" w16du:dateUtc="2026-04-21T11:24:00Z">
        <w:r w:rsidR="00554FAF">
          <w:t>1</w:t>
        </w:r>
      </w:ins>
      <w:moveTo w:id="764" w:author="Urša Miklavčič [2]" w:date="2026-04-17T12:19:00Z" w16du:dateUtc="2026-04-17T10:19:00Z">
        <w:r w:rsidRPr="00D93D74">
          <w:t xml:space="preserve">). This remains true when comparing the spore-formers to all other bacteria in the human gut or to other </w:t>
        </w:r>
        <w:r w:rsidRPr="00D93D74">
          <w:rPr>
            <w:i/>
            <w:iCs/>
          </w:rPr>
          <w:t>Bacillota</w:t>
        </w:r>
        <w:r w:rsidRPr="00D93D74">
          <w:t xml:space="preserve"> members. </w:t>
        </w:r>
        <w:del w:id="765" w:author="Urša Miklavčič [2]" w:date="2026-04-17T12:34:00Z" w16du:dateUtc="2026-04-17T10:34:00Z">
          <w:r w:rsidRPr="00D93D74" w:rsidDel="00112248">
            <w:delText>In our dataset we found that only about 32% of spore-formers were also detected in the ethanol-resistant community, indicating they were forming spores at the time of our sampling.</w:delText>
          </w:r>
        </w:del>
      </w:moveTo>
    </w:p>
    <w:p w14:paraId="23DF5E28" w14:textId="77777777" w:rsidR="002F04A2" w:rsidRDefault="002F04A2" w:rsidP="00216C48">
      <w:pPr>
        <w:rPr>
          <w:ins w:id="766" w:author="Urša Miklavčič [2]" w:date="2026-04-20T12:40:00Z" w16du:dateUtc="2026-04-20T10:40:00Z"/>
        </w:rPr>
      </w:pPr>
    </w:p>
    <w:p w14:paraId="4BD8C714" w14:textId="662FA246" w:rsidR="00276690" w:rsidRDefault="002F04A2" w:rsidP="00E9210E">
      <w:pPr>
        <w:rPr>
          <w:ins w:id="767" w:author="Urša Miklavčič [2]" w:date="2026-04-20T12:52:00Z" w16du:dateUtc="2026-04-20T10:52:00Z"/>
        </w:rPr>
      </w:pPr>
      <w:ins w:id="768" w:author="Urša Miklavčič [2]" w:date="2026-04-20T12:40:00Z" w16du:dateUtc="2026-04-20T10:40:00Z">
        <w:r w:rsidRPr="002F04A2">
          <w:t xml:space="preserve">Among </w:t>
        </w:r>
        <w:r w:rsidRPr="002F04A2">
          <w:rPr>
            <w:i/>
            <w:iCs/>
            <w:rPrChange w:id="769" w:author="Urša Miklavčič [2]" w:date="2026-04-20T12:40:00Z" w16du:dateUtc="2026-04-20T10:40:00Z">
              <w:rPr/>
            </w:rPrChange>
          </w:rPr>
          <w:t>Bacillota</w:t>
        </w:r>
        <w:r w:rsidRPr="002F04A2">
          <w:t>, ethanol-resistant taxa were significantly enriched in spore-forming species relative to ethanol-non-resistant taxa (Figure 1</w:t>
        </w:r>
        <w:r>
          <w:t>1B</w:t>
        </w:r>
        <w:r w:rsidRPr="002F04A2">
          <w:t xml:space="preserve">, Fisher’s exact test, two-sided p = 0.034). However, ethanol resistance was not restricted to spore-forming taxa, as a notable number of ethanol-resistant representatives were classified as non-spore-forming, indicating that mechanisms other than sporulation likely also contribute to ethanol tolerance in these bacteria. Conversely, several spore-forming taxa (54%) were not detected in the ethanol-resistant fraction, despite occurring at relative abundances comparable to those of ethanol-resistant taxa (Supplement Figure </w:t>
        </w:r>
        <w:r>
          <w:t>1</w:t>
        </w:r>
      </w:ins>
      <w:ins w:id="770" w:author="Urša Miklavčič [2]" w:date="2026-04-21T13:24:00Z" w16du:dateUtc="2026-04-21T11:24:00Z">
        <w:r w:rsidR="00554FAF">
          <w:t>1</w:t>
        </w:r>
      </w:ins>
      <w:ins w:id="771" w:author="Urša Miklavčič [2]" w:date="2026-04-20T12:40:00Z" w16du:dateUtc="2026-04-20T10:40:00Z">
        <w:r w:rsidRPr="002F04A2">
          <w:t xml:space="preserve">). Moreover, the presence or absence of sporulation-associated genes did not predict ethanol resistance status, either within the spore-forming or the non-spore-forming communities (Supplementary Figure </w:t>
        </w:r>
      </w:ins>
      <w:ins w:id="772" w:author="Urša Miklavčič [2]" w:date="2026-04-20T12:52:00Z" w16du:dateUtc="2026-04-20T10:52:00Z">
        <w:r w:rsidR="00276690">
          <w:t>1</w:t>
        </w:r>
      </w:ins>
      <w:ins w:id="773" w:author="Urša Miklavčič [2]" w:date="2026-04-21T13:24:00Z" w16du:dateUtc="2026-04-21T11:24:00Z">
        <w:r w:rsidR="00554FAF">
          <w:t>2</w:t>
        </w:r>
      </w:ins>
      <w:ins w:id="774" w:author="Urša Miklavčič [2]" w:date="2026-04-20T12:40:00Z" w16du:dateUtc="2026-04-20T10:40:00Z">
        <w:r w:rsidRPr="002F04A2">
          <w:t xml:space="preserve">). </w:t>
        </w:r>
      </w:ins>
      <w:ins w:id="775" w:author="Urša Miklavčič [2]" w:date="2026-04-20T12:55:00Z" w16du:dateUtc="2026-04-20T10:55:00Z">
        <w:r w:rsidR="00276690" w:rsidRPr="00D93D74">
          <w:t xml:space="preserve">In </w:t>
        </w:r>
        <w:r w:rsidR="00276690">
          <w:t>metagenomic data</w:t>
        </w:r>
        <w:r w:rsidR="00276690" w:rsidRPr="00D93D74">
          <w:t xml:space="preserve"> we </w:t>
        </w:r>
        <w:r w:rsidR="00276690">
          <w:t>observed</w:t>
        </w:r>
        <w:r w:rsidR="00276690" w:rsidRPr="00D93D74">
          <w:t xml:space="preserve"> only about 32% of spore-form</w:t>
        </w:r>
        <w:r w:rsidR="00276690">
          <w:t>ing species</w:t>
        </w:r>
        <w:r w:rsidR="00276690" w:rsidRPr="00D93D74">
          <w:t xml:space="preserve"> were detected in the ethanol-resistant community, indicating they were forming spores at the time of our sampling.</w:t>
        </w:r>
        <w:r w:rsidR="00276690">
          <w:t xml:space="preserve"> Meaning not all bacteria with sporulation ability sporulates in human gut environment at all times. </w:t>
        </w:r>
      </w:ins>
    </w:p>
    <w:p w14:paraId="27EAAB74" w14:textId="329CFE69" w:rsidR="00216C48" w:rsidRDefault="002F04A2" w:rsidP="00E9210E">
      <w:pPr>
        <w:rPr>
          <w:ins w:id="776" w:author="Urša Miklavčič [2]" w:date="2026-04-17T12:55:00Z" w16du:dateUtc="2026-04-17T10:55:00Z"/>
        </w:rPr>
      </w:pPr>
      <w:ins w:id="777" w:author="Urša Miklavčič [2]" w:date="2026-04-20T12:40:00Z" w16du:dateUtc="2026-04-20T10:40:00Z">
        <w:r w:rsidRPr="002F04A2">
          <w:t>Together, these findings indicate that although ethanol resistance is associated with sporulation ability, it is not determined by sporulation gene content alone. Integrating ethanol-resistance profiles with inferred sporulation ability therefore enabled us to distinguish taxa capable of sporulation from those most likely present in spore form at the time of sampling, that is, members of the active sporobiota.</w:t>
        </w:r>
      </w:ins>
    </w:p>
    <w:moveToRangeEnd w:id="720"/>
    <w:p w14:paraId="7FFD4655" w14:textId="60EE0604" w:rsidR="00D84F0D" w:rsidRPr="00D93D74" w:rsidDel="002F04A2" w:rsidRDefault="00D84F0D" w:rsidP="00E9210E">
      <w:pPr>
        <w:rPr>
          <w:del w:id="778" w:author="Urša Miklavčič [2]" w:date="2026-04-20T12:37:00Z" w16du:dateUtc="2026-04-20T10:37:00Z"/>
        </w:rPr>
      </w:pPr>
    </w:p>
    <w:p w14:paraId="03BF2AF7" w14:textId="60ED93FB" w:rsidR="00CA07DF" w:rsidRPr="00D93D74" w:rsidDel="00216C48" w:rsidRDefault="00CA07DF" w:rsidP="00CA07DF">
      <w:pPr>
        <w:rPr>
          <w:del w:id="779" w:author="Urša Miklavčič [2]" w:date="2026-04-17T12:52:00Z" w16du:dateUtc="2026-04-17T10:52:00Z"/>
        </w:rPr>
      </w:pPr>
      <w:del w:id="780" w:author="Urša Miklavčič [2]" w:date="2026-04-17T12:14:00Z" w16du:dateUtc="2026-04-17T10:14:00Z">
        <w:r w:rsidRPr="00D93D74" w:rsidDel="00D471DC">
          <w:rPr>
            <w:noProof/>
          </w:rPr>
          <w:drawing>
            <wp:inline distT="0" distB="0" distL="0" distR="0" wp14:anchorId="4711D04C" wp14:editId="1552E3B8">
              <wp:extent cx="5753100" cy="3790950"/>
              <wp:effectExtent l="0" t="0" r="0" b="0"/>
              <wp:docPr id="489702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021" name="Picture 1" descr="A graph of a diagram&#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3790950"/>
                      </a:xfrm>
                      <a:prstGeom prst="rect">
                        <a:avLst/>
                      </a:prstGeom>
                      <a:noFill/>
                      <a:ln>
                        <a:noFill/>
                      </a:ln>
                    </pic:spPr>
                  </pic:pic>
                </a:graphicData>
              </a:graphic>
            </wp:inline>
          </w:drawing>
        </w:r>
      </w:del>
    </w:p>
    <w:p w14:paraId="5D1AA79D" w14:textId="77777777" w:rsidR="00D471DC" w:rsidRDefault="00D471DC" w:rsidP="00CA07DF">
      <w:pPr>
        <w:rPr>
          <w:ins w:id="781" w:author="Urša Miklavčič [2]" w:date="2026-04-17T12:14:00Z" w16du:dateUtc="2026-04-17T10:14:00Z"/>
          <w:b/>
          <w:sz w:val="22"/>
        </w:rPr>
      </w:pPr>
    </w:p>
    <w:p w14:paraId="42A91C4E" w14:textId="10C15325" w:rsidR="00D471DC" w:rsidRDefault="002F04A2" w:rsidP="00CA07DF">
      <w:pPr>
        <w:rPr>
          <w:ins w:id="782" w:author="Urša Miklavčič [2]" w:date="2026-04-17T12:14:00Z" w16du:dateUtc="2026-04-17T10:14:00Z"/>
          <w:b/>
          <w:sz w:val="22"/>
        </w:rPr>
      </w:pPr>
      <w:ins w:id="783" w:author="Urša Miklavčič [2]" w:date="2026-04-20T12:37:00Z" w16du:dateUtc="2026-04-20T10:37:00Z">
        <w:r>
          <w:rPr>
            <w:b/>
            <w:noProof/>
            <w:sz w:val="22"/>
          </w:rPr>
          <w:lastRenderedPageBreak/>
          <w:drawing>
            <wp:inline distT="0" distB="0" distL="0" distR="0" wp14:anchorId="54536A35" wp14:editId="1A100270">
              <wp:extent cx="5478449" cy="4467239"/>
              <wp:effectExtent l="0" t="0" r="8255" b="0"/>
              <wp:docPr id="209782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5073" r="4016"/>
                      <a:stretch>
                        <a:fillRect/>
                      </a:stretch>
                    </pic:blipFill>
                    <pic:spPr bwMode="auto">
                      <a:xfrm>
                        <a:off x="0" y="0"/>
                        <a:ext cx="5484789" cy="4472409"/>
                      </a:xfrm>
                      <a:prstGeom prst="rect">
                        <a:avLst/>
                      </a:prstGeom>
                      <a:noFill/>
                      <a:ln>
                        <a:noFill/>
                      </a:ln>
                      <a:extLst>
                        <a:ext uri="{53640926-AAD7-44D8-BBD7-CCE9431645EC}">
                          <a14:shadowObscured xmlns:a14="http://schemas.microsoft.com/office/drawing/2010/main"/>
                        </a:ext>
                      </a:extLst>
                    </pic:spPr>
                  </pic:pic>
                </a:graphicData>
              </a:graphic>
            </wp:inline>
          </w:drawing>
        </w:r>
      </w:ins>
    </w:p>
    <w:p w14:paraId="57DFFDA0" w14:textId="468BFB6D" w:rsidR="00CA07DF" w:rsidRPr="00D93D74" w:rsidDel="00216C48" w:rsidRDefault="00CA07DF" w:rsidP="00CA07DF">
      <w:pPr>
        <w:rPr>
          <w:del w:id="784" w:author="Urša Miklavčič [2]" w:date="2026-04-17T12:56:00Z" w16du:dateUtc="2026-04-17T10:56:00Z"/>
          <w:sz w:val="22"/>
        </w:rPr>
      </w:pPr>
      <w:r w:rsidRPr="00D93D74">
        <w:rPr>
          <w:b/>
          <w:sz w:val="22"/>
        </w:rPr>
        <w:t xml:space="preserve">Figure 11. </w:t>
      </w:r>
      <w:del w:id="785" w:author="Urša Miklavčič [2]" w:date="2026-04-17T12:18:00Z" w16du:dateUtc="2026-04-17T10:18:00Z">
        <w:r w:rsidRPr="00216C48" w:rsidDel="00856AD2">
          <w:rPr>
            <w:b/>
            <w:sz w:val="22"/>
          </w:rPr>
          <w:delText>Characteristics of ethanol-resistant and ethanol non-resistant bacterial communities based on 16S amplicon data.</w:delText>
        </w:r>
        <w:r w:rsidRPr="00216C48" w:rsidDel="00856AD2">
          <w:rPr>
            <w:b/>
            <w:sz w:val="22"/>
            <w:rPrChange w:id="786" w:author="Urša Miklavčič [2]" w:date="2026-04-17T12:52:00Z" w16du:dateUtc="2026-04-17T10:52:00Z">
              <w:rPr>
                <w:bCs/>
                <w:sz w:val="22"/>
              </w:rPr>
            </w:rPrChange>
          </w:rPr>
          <w:delText xml:space="preserve"> A) Distribution of OTUs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B) Comparison of relative abundances in the gut microbiota between OTUs determined as part of the ethanol-resistant or ethanol non-resistant community per phylum. Mean relative abundance was calculated per person and then each OTU was </w:delText>
        </w:r>
        <w:commentRangeStart w:id="787"/>
        <w:r w:rsidRPr="00216C48" w:rsidDel="00856AD2">
          <w:rPr>
            <w:b/>
            <w:sz w:val="22"/>
            <w:rPrChange w:id="788" w:author="Urša Miklavčič [2]" w:date="2026-04-17T12:52:00Z" w16du:dateUtc="2026-04-17T10:52:00Z">
              <w:rPr>
                <w:bCs/>
                <w:sz w:val="22"/>
              </w:rPr>
            </w:rPrChange>
          </w:rPr>
          <w:delText xml:space="preserve">plotted according to phylum classification. </w:delText>
        </w:r>
        <w:commentRangeEnd w:id="787"/>
        <w:r w:rsidR="0034031C" w:rsidRPr="00216C48" w:rsidDel="00856AD2">
          <w:rPr>
            <w:rStyle w:val="Pripombasklic"/>
            <w:b/>
            <w:sz w:val="22"/>
            <w:szCs w:val="22"/>
            <w:rPrChange w:id="789" w:author="Urša Miklavčič [2]" w:date="2026-04-17T12:52:00Z" w16du:dateUtc="2026-04-17T10:52:00Z">
              <w:rPr>
                <w:rStyle w:val="Pripombasklic"/>
                <w:bCs/>
                <w:sz w:val="22"/>
                <w:szCs w:val="22"/>
              </w:rPr>
            </w:rPrChange>
          </w:rPr>
          <w:commentReference w:id="787"/>
        </w:r>
      </w:del>
      <w:ins w:id="790" w:author="Urša Miklavčič [2]" w:date="2026-04-17T12:18:00Z" w16du:dateUtc="2026-04-17T10:18:00Z">
        <w:r w:rsidR="00856AD2" w:rsidRPr="00216C48">
          <w:rPr>
            <w:b/>
            <w:sz w:val="22"/>
            <w:rPrChange w:id="791" w:author="Urša Miklavčič [2]" w:date="2026-04-17T12:52:00Z" w16du:dateUtc="2026-04-17T10:52:00Z">
              <w:rPr>
                <w:bCs/>
                <w:sz w:val="22"/>
              </w:rPr>
            </w:rPrChange>
          </w:rPr>
          <w:t>Characteristics of ethanol-resistant and ethanol non-resistant bacterial communities and sporobiota in 16S amplicon and metagenomic data.</w:t>
        </w:r>
        <w:r w:rsidR="00856AD2" w:rsidRPr="00856AD2">
          <w:rPr>
            <w:sz w:val="22"/>
          </w:rPr>
          <w:t xml:space="preserve"> </w:t>
        </w:r>
        <w:r w:rsidR="00856AD2">
          <w:rPr>
            <w:sz w:val="22"/>
          </w:rPr>
          <w:t>A</w:t>
        </w:r>
        <w:r w:rsidR="00856AD2" w:rsidRPr="00856AD2">
          <w:rPr>
            <w:sz w:val="22"/>
          </w:rPr>
          <w:t xml:space="preserve">) Distributions of OTUs (left) and species (right)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w:t>
        </w:r>
        <w:r w:rsidR="00856AD2">
          <w:rPr>
            <w:sz w:val="22"/>
          </w:rPr>
          <w:t>B</w:t>
        </w:r>
        <w:r w:rsidR="00856AD2" w:rsidRPr="00856AD2">
          <w:rPr>
            <w:sz w:val="22"/>
          </w:rPr>
          <w:t xml:space="preserve">) Distribution of ethanol-resistant species across spore- and non-spore-forming bacteria, shown for the phylum </w:t>
        </w:r>
        <w:r w:rsidR="00856AD2" w:rsidRPr="00216C48">
          <w:rPr>
            <w:i/>
            <w:iCs/>
            <w:sz w:val="22"/>
          </w:rPr>
          <w:t>Bacillota</w:t>
        </w:r>
        <w:r w:rsidR="00856AD2" w:rsidRPr="00856AD2">
          <w:rPr>
            <w:sz w:val="22"/>
          </w:rPr>
          <w:t xml:space="preserve"> (the only phylum containing spore-forming taxa).</w:t>
        </w:r>
      </w:ins>
    </w:p>
    <w:p w14:paraId="7D5AEF27" w14:textId="77777777" w:rsidR="00CA07DF" w:rsidRPr="00D93D74" w:rsidRDefault="00CA07DF" w:rsidP="00E9210E"/>
    <w:p w14:paraId="6A2415E3" w14:textId="7EE12D1D" w:rsidR="0011488B" w:rsidRPr="00D93D74" w:rsidDel="00112248" w:rsidRDefault="0011488B" w:rsidP="0011488B">
      <w:pPr>
        <w:pStyle w:val="Naslov4"/>
        <w:numPr>
          <w:ilvl w:val="0"/>
          <w:numId w:val="0"/>
        </w:numPr>
        <w:ind w:left="720" w:hanging="720"/>
        <w:rPr>
          <w:del w:id="792" w:author="Urša Miklavčič [2]" w:date="2026-04-17T12:28:00Z" w16du:dateUtc="2026-04-17T10:28:00Z"/>
        </w:rPr>
      </w:pPr>
      <w:bookmarkStart w:id="793" w:name="_Toc216099751"/>
      <w:bookmarkStart w:id="794" w:name="_Toc220932874"/>
      <w:del w:id="795" w:author="Urša Miklavčič [2]" w:date="2026-04-17T12:28:00Z" w16du:dateUtc="2026-04-17T10:28:00Z">
        <w:r w:rsidRPr="00D93D74" w:rsidDel="00112248">
          <w:delText xml:space="preserve">4.3.2.2 </w:delText>
        </w:r>
        <w:commentRangeStart w:id="796"/>
        <w:r w:rsidR="000B5BBF" w:rsidRPr="00D93D74" w:rsidDel="00112248">
          <w:delText>Sporobiota in metagenomic data</w:delText>
        </w:r>
        <w:bookmarkEnd w:id="793"/>
        <w:bookmarkEnd w:id="794"/>
        <w:commentRangeEnd w:id="796"/>
        <w:r w:rsidR="0034031C" w:rsidRPr="00D93D74" w:rsidDel="00112248">
          <w:rPr>
            <w:rStyle w:val="Pripombasklic"/>
            <w:sz w:val="24"/>
            <w:szCs w:val="22"/>
          </w:rPr>
          <w:commentReference w:id="796"/>
        </w:r>
      </w:del>
    </w:p>
    <w:p w14:paraId="0B171004" w14:textId="6280D643" w:rsidR="00CA07DF" w:rsidRPr="00D93D74" w:rsidDel="00856AD2" w:rsidRDefault="00CA07DF" w:rsidP="00CA07DF">
      <w:pPr>
        <w:rPr>
          <w:moveFrom w:id="797" w:author="Urša Miklavčič [2]" w:date="2026-04-17T12:19:00Z" w16du:dateUtc="2026-04-17T10:19:00Z"/>
        </w:rPr>
      </w:pPr>
      <w:moveFromRangeStart w:id="798" w:author="Urša Miklavčič [2]" w:date="2026-04-17T12:19:00Z" w:name="move227320779"/>
      <w:moveFrom w:id="799" w:author="Urša Miklavčič [2]" w:date="2026-04-17T12:19:00Z" w16du:dateUtc="2026-04-17T10:19:00Z">
        <w:r w:rsidRPr="00D93D74" w:rsidDel="00856AD2">
          <w:t xml:space="preserve">Using metagenomic data we could determine sporulation ability based on presence of sporulation genes and with the ethanol treated samples we obtained information on actual sporulation (presence of spores) by species in a given environment. </w:t>
        </w:r>
      </w:moveFrom>
    </w:p>
    <w:p w14:paraId="0ECE0F25" w14:textId="3CC2E403" w:rsidR="00CA07DF" w:rsidRPr="00D93D74" w:rsidDel="00856AD2" w:rsidRDefault="00CA07DF" w:rsidP="00CA07DF">
      <w:pPr>
        <w:rPr>
          <w:moveFrom w:id="800" w:author="Urša Miklavčič [2]" w:date="2026-04-17T12:19:00Z" w16du:dateUtc="2026-04-17T10:19:00Z"/>
        </w:rPr>
      </w:pPr>
      <w:moveFrom w:id="801" w:author="Urša Miklavčič [2]" w:date="2026-04-17T12:19:00Z" w16du:dateUtc="2026-04-17T10:19:00Z">
        <w:r w:rsidRPr="00D93D74" w:rsidDel="00856AD2">
          <w:t xml:space="preserve">A total of 527 species were assigned a known NCBI species name with available genome sequence in the entire set of 203 stool samples, enabling inference of sporulation ability based on the presence of a predefined set of sporulation genes (Figure 12). The remaining species (n = 500) could not be assigned to a species-level name and were excluded from further analysis. These unassigned species represented around 22.8% of total relative abundance, predominantly comprising </w:t>
        </w:r>
        <w:r w:rsidRPr="00D93D74" w:rsidDel="00856AD2">
          <w:rPr>
            <w:i/>
            <w:iCs/>
          </w:rPr>
          <w:t>Bacillota</w:t>
        </w:r>
        <w:r w:rsidRPr="00D93D74" w:rsidDel="00856AD2">
          <w:t xml:space="preserve"> (17.8%) and </w:t>
        </w:r>
        <w:r w:rsidRPr="00D93D74" w:rsidDel="00856AD2">
          <w:rPr>
            <w:i/>
            <w:iCs/>
          </w:rPr>
          <w:t>Bacteroidota</w:t>
        </w:r>
        <w:r w:rsidRPr="00D93D74" w:rsidDel="00856AD2">
          <w:t xml:space="preserve"> (3.3%), while other phyla contributed less than 0.6% of total relative abundance per sample. We identified 236 spore-forming species in the phylum </w:t>
        </w:r>
        <w:r w:rsidRPr="00D93D74" w:rsidDel="00856AD2">
          <w:rPr>
            <w:i/>
            <w:iCs/>
          </w:rPr>
          <w:t>Bacillota,</w:t>
        </w:r>
        <w:r w:rsidRPr="00D93D74" w:rsidDel="00856AD2">
          <w:t xml:space="preserve"> and 292 non-spore-forming species distributed across </w:t>
        </w:r>
        <w:r w:rsidRPr="00D93D74" w:rsidDel="00856AD2">
          <w:rPr>
            <w:i/>
            <w:iCs/>
          </w:rPr>
          <w:t>Bacillota</w:t>
        </w:r>
        <w:r w:rsidRPr="00D93D74" w:rsidDel="00856AD2">
          <w:t xml:space="preserve"> (n = 134) and other phyla (n = 158).</w:t>
        </w:r>
      </w:moveFrom>
    </w:p>
    <w:p w14:paraId="1227BFEF" w14:textId="14BE9BEF" w:rsidR="00CA07DF" w:rsidRPr="00D93D74" w:rsidDel="00856AD2" w:rsidRDefault="00CA07DF" w:rsidP="00CA07DF">
      <w:pPr>
        <w:rPr>
          <w:moveFrom w:id="802" w:author="Urša Miklavčič [2]" w:date="2026-04-17T12:19:00Z" w16du:dateUtc="2026-04-17T10:19:00Z"/>
        </w:rPr>
      </w:pPr>
      <w:moveFrom w:id="803" w:author="Urša Miklavčič [2]" w:date="2026-04-17T12:19:00Z" w16du:dateUtc="2026-04-17T10:19:00Z">
        <w:r w:rsidRPr="00D93D74" w:rsidDel="00856AD2">
          <w:t xml:space="preserve">Spore-formers defined by gene presence – sporobiota, are present at higher relative abundance (Figure 12, Wilcoxon test, all pairwise Benjamini–Hochberg adjusted p &lt; 0.001 for all comparisons). This remains true when comparing the spore-formers to all other bacteria in the human gut or to other </w:t>
        </w:r>
        <w:r w:rsidRPr="00D93D74" w:rsidDel="00856AD2">
          <w:rPr>
            <w:i/>
            <w:iCs/>
          </w:rPr>
          <w:t>Bacillota</w:t>
        </w:r>
        <w:r w:rsidRPr="00D93D74" w:rsidDel="00856AD2">
          <w:t xml:space="preserve"> members. In our dataset we found that only about 32% of spore-formers were also detected in the ethanol-resistant community, indicating they were forming spores at the time of our sampling.</w:t>
        </w:r>
      </w:moveFrom>
    </w:p>
    <w:moveFromRangeEnd w:id="798"/>
    <w:p w14:paraId="19FADDDD" w14:textId="2C14CE52" w:rsidR="00CA07DF" w:rsidRPr="00D93D74" w:rsidDel="00112248" w:rsidRDefault="00CA07DF" w:rsidP="00CA07DF">
      <w:pPr>
        <w:rPr>
          <w:del w:id="804" w:author="Urša Miklavčič [2]" w:date="2026-04-17T12:29:00Z" w16du:dateUtc="2026-04-17T10:29:00Z"/>
        </w:rPr>
      </w:pPr>
      <w:commentRangeStart w:id="805"/>
      <w:del w:id="806" w:author="Urša Miklavčič [2]" w:date="2026-04-17T12:29:00Z" w16du:dateUtc="2026-04-17T10:29:00Z">
        <w:r w:rsidRPr="00D93D74" w:rsidDel="00112248">
          <w:rPr>
            <w:noProof/>
          </w:rPr>
          <w:drawing>
            <wp:inline distT="0" distB="0" distL="0" distR="0" wp14:anchorId="4562E31B" wp14:editId="6F066374">
              <wp:extent cx="5762625" cy="2333625"/>
              <wp:effectExtent l="0" t="0" r="9525" b="9525"/>
              <wp:docPr id="1435098929" name="Picture 1" descr="A graph with a bar chart and a graph with a bar chart and a graph with a bar chart and a graph with a bar chart and a graph with a bar chart and a graph with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8929" name="Picture 1" descr="A graph with a bar chart and a graph with a bar chart and a graph with a bar chart and a graph with a bar chart and a graph with a bar chart and a graph with a&#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2625" cy="2333625"/>
                      </a:xfrm>
                      <a:prstGeom prst="rect">
                        <a:avLst/>
                      </a:prstGeom>
                      <a:noFill/>
                      <a:ln>
                        <a:noFill/>
                      </a:ln>
                    </pic:spPr>
                  </pic:pic>
                </a:graphicData>
              </a:graphic>
            </wp:inline>
          </w:drawing>
        </w:r>
        <w:commentRangeEnd w:id="805"/>
        <w:r w:rsidR="0034031C" w:rsidRPr="00D93D74" w:rsidDel="00112248">
          <w:rPr>
            <w:rStyle w:val="Pripombasklic"/>
            <w:sz w:val="24"/>
            <w:szCs w:val="22"/>
          </w:rPr>
          <w:commentReference w:id="805"/>
        </w:r>
      </w:del>
    </w:p>
    <w:p w14:paraId="481E16F0" w14:textId="5AD7C47D" w:rsidR="00CA07DF" w:rsidRPr="00D93D74" w:rsidDel="00112248" w:rsidRDefault="00CA07DF" w:rsidP="00CA07DF">
      <w:pPr>
        <w:rPr>
          <w:del w:id="807" w:author="Urša Miklavčič [2]" w:date="2026-04-17T12:29:00Z" w16du:dateUtc="2026-04-17T10:29:00Z"/>
          <w:sz w:val="22"/>
        </w:rPr>
      </w:pPr>
      <w:del w:id="808" w:author="Urša Miklavčič [2]" w:date="2026-04-17T12:29:00Z" w16du:dateUtc="2026-04-17T10:29:00Z">
        <w:r w:rsidRPr="00D93D74" w:rsidDel="00112248">
          <w:rPr>
            <w:b/>
            <w:bCs/>
            <w:sz w:val="22"/>
          </w:rPr>
          <w:delText>Figure 12. Characteristics of spore-forming and non-spore-forming species in metagenomic data.</w:delText>
        </w:r>
        <w:r w:rsidRPr="00D93D74" w:rsidDel="00112248">
          <w:rPr>
            <w:sz w:val="22"/>
          </w:rPr>
          <w:delText xml:space="preserve"> </w:delText>
        </w:r>
        <w:commentRangeStart w:id="809"/>
        <w:r w:rsidRPr="00D93D74" w:rsidDel="00112248">
          <w:rPr>
            <w:sz w:val="22"/>
          </w:rPr>
          <w:delText xml:space="preserve">A) </w:delText>
        </w:r>
        <w:commentRangeEnd w:id="809"/>
        <w:r w:rsidRPr="00D93D74" w:rsidDel="00112248">
          <w:rPr>
            <w:rStyle w:val="Pripombasklic"/>
            <w:sz w:val="22"/>
            <w:szCs w:val="22"/>
          </w:rPr>
          <w:commentReference w:id="809"/>
        </w:r>
        <w:r w:rsidRPr="00D93D74" w:rsidDel="00112248">
          <w:rPr>
            <w:sz w:val="22"/>
          </w:rPr>
          <w:delText xml:space="preserve">Distribution of species across phyla according to spore-forming ability. B) Boxplots represent relative abundance of all species within a phylum separated by non-spore forming and spore-forming for the phyla, where spore-forming bacteria were detected. </w:delText>
        </w:r>
      </w:del>
    </w:p>
    <w:p w14:paraId="19D970D1" w14:textId="73772B84" w:rsidR="00E42463" w:rsidRPr="00D93D74" w:rsidDel="00112248" w:rsidRDefault="00E42463" w:rsidP="00E42463">
      <w:pPr>
        <w:rPr>
          <w:del w:id="810" w:author="Urša Miklavčič [2]" w:date="2026-04-17T12:29:00Z" w16du:dateUtc="2026-04-17T10:29:00Z"/>
        </w:rPr>
      </w:pPr>
    </w:p>
    <w:p w14:paraId="2BC76973" w14:textId="45403E89" w:rsidR="00CB7573" w:rsidDel="00112248" w:rsidRDefault="00CB7573" w:rsidP="00CB7573">
      <w:pPr>
        <w:rPr>
          <w:del w:id="811" w:author="Urša Miklavčič [2]" w:date="2026-01-21T10:17:00Z" w16du:dateUtc="2026-01-21T09:17:00Z"/>
          <w:rFonts w:cs="Times New Roman"/>
          <w:szCs w:val="24"/>
        </w:rPr>
      </w:pPr>
      <w:del w:id="812" w:author="Urša Miklavčič [2]" w:date="2026-01-21T10:17:00Z" w16du:dateUtc="2026-01-21T09:17:00Z">
        <w:r w:rsidRPr="00D93D74" w:rsidDel="006A4086">
          <w:rPr>
            <w:rFonts w:cs="Times New Roman"/>
            <w:szCs w:val="24"/>
          </w:rPr>
          <w:delText xml:space="preserve">Shotgun metagenomic data also allow for the prediction of </w:delText>
        </w:r>
        <w:r w:rsidR="00494014" w:rsidRPr="00D93D74" w:rsidDel="006A4086">
          <w:rPr>
            <w:rFonts w:cs="Times New Roman"/>
            <w:szCs w:val="24"/>
          </w:rPr>
          <w:delText>sporulation capacity</w:delText>
        </w:r>
        <w:r w:rsidRPr="00D93D74" w:rsidDel="006A4086">
          <w:rPr>
            <w:rFonts w:cs="Times New Roman"/>
            <w:szCs w:val="24"/>
          </w:rPr>
          <w:delText xml:space="preserve"> based on the presence of sporulation genes, while ethanol treated samples provide information on actual sporulation </w:delText>
        </w:r>
      </w:del>
      <w:ins w:id="813" w:author="Maja Rupnik" w:date="2026-01-20T16:05:00Z" w16du:dateUtc="2026-01-20T15:05:00Z">
        <w:del w:id="814" w:author="Urša Miklavčič [2]" w:date="2026-01-21T10:17:00Z" w16du:dateUtc="2026-01-21T09:17:00Z">
          <w:r w:rsidR="00D6164D" w:rsidRPr="00D93D74" w:rsidDel="006A4086">
            <w:rPr>
              <w:rFonts w:cs="Times New Roman"/>
              <w:szCs w:val="24"/>
            </w:rPr>
            <w:delText xml:space="preserve">(presence of spores) </w:delText>
          </w:r>
        </w:del>
      </w:ins>
      <w:del w:id="815" w:author="Urša Miklavčič [2]" w:date="2026-01-21T10:17:00Z" w16du:dateUtc="2026-01-21T09:17:00Z">
        <w:r w:rsidRPr="00D93D74" w:rsidDel="006A4086">
          <w:rPr>
            <w:rFonts w:cs="Times New Roman"/>
            <w:szCs w:val="24"/>
          </w:rPr>
          <w:delText xml:space="preserve">by species in the given environment. </w:delText>
        </w:r>
        <w:commentRangeStart w:id="816"/>
        <w:commentRangeEnd w:id="816"/>
        <w:r w:rsidR="002A3EFB" w:rsidDel="006A4086">
          <w:rPr>
            <w:rStyle w:val="Pripombasklic"/>
            <w:rFonts w:cs="Times New Roman"/>
            <w:sz w:val="24"/>
            <w:szCs w:val="24"/>
          </w:rPr>
          <w:commentReference w:id="816"/>
        </w:r>
      </w:del>
    </w:p>
    <w:p w14:paraId="2002BB1B" w14:textId="77777777" w:rsidR="00112248" w:rsidRPr="00D93D74" w:rsidRDefault="00112248" w:rsidP="00CB7573">
      <w:pPr>
        <w:rPr>
          <w:ins w:id="817" w:author="Urša Miklavčič [2]" w:date="2026-04-17T12:29:00Z" w16du:dateUtc="2026-04-17T10:29:00Z"/>
          <w:rFonts w:cs="Times New Roman"/>
          <w:szCs w:val="24"/>
        </w:rPr>
      </w:pPr>
    </w:p>
    <w:p w14:paraId="28B2684C" w14:textId="742749B7" w:rsidR="001E2B98" w:rsidRPr="00D93D74" w:rsidRDefault="001E2B98">
      <w:pPr>
        <w:pStyle w:val="Naslov3"/>
        <w:numPr>
          <w:ilvl w:val="2"/>
          <w:numId w:val="6"/>
        </w:numPr>
      </w:pPr>
      <w:bookmarkStart w:id="818" w:name="_Toc216099752"/>
      <w:bookmarkStart w:id="819" w:name="_Toc220932875"/>
      <w:bookmarkStart w:id="820" w:name="_Toc228252043"/>
      <w:r w:rsidRPr="00D93D74">
        <w:t>Between</w:t>
      </w:r>
      <w:ins w:id="821" w:author="Urša Miklavčič [2]" w:date="2026-04-17T12:33:00Z" w16du:dateUtc="2026-04-17T10:33:00Z">
        <w:r w:rsidR="00112248">
          <w:t>-</w:t>
        </w:r>
      </w:ins>
      <w:r w:rsidRPr="00D93D74">
        <w:t xml:space="preserve"> and within-individual dynamics of </w:t>
      </w:r>
      <w:ins w:id="822" w:author="Urša Miklavčič [2]" w:date="2026-04-17T12:33:00Z" w16du:dateUtc="2026-04-17T10:33:00Z">
        <w:r w:rsidR="00112248">
          <w:t>ethanol-resistant community and sporobiota</w:t>
        </w:r>
        <w:bookmarkEnd w:id="820"/>
        <w:r w:rsidR="00112248">
          <w:t xml:space="preserve"> </w:t>
        </w:r>
      </w:ins>
      <w:del w:id="823" w:author="Urša Miklavčič [2]" w:date="2026-04-17T12:33:00Z" w16du:dateUtc="2026-04-17T10:33:00Z">
        <w:r w:rsidR="000F530F" w:rsidRPr="00D93D74" w:rsidDel="00112248">
          <w:delText xml:space="preserve">spore-forming and non-spore-forming bacterial </w:delText>
        </w:r>
        <w:r w:rsidRPr="00D93D74" w:rsidDel="00112248">
          <w:delText>communities over time</w:delText>
        </w:r>
      </w:del>
      <w:bookmarkEnd w:id="818"/>
      <w:bookmarkEnd w:id="819"/>
    </w:p>
    <w:p w14:paraId="53CE915E" w14:textId="4E567F1E" w:rsidR="00216C48" w:rsidRDefault="00524225" w:rsidP="00524225">
      <w:pPr>
        <w:rPr>
          <w:ins w:id="824" w:author="Urša Miklavčič [2]" w:date="2026-04-17T12:58:00Z" w16du:dateUtc="2026-04-17T10:58:00Z"/>
        </w:rPr>
      </w:pPr>
      <w:commentRangeStart w:id="825"/>
      <w:r w:rsidRPr="00D93D74">
        <w:t xml:space="preserve">Ethanol-resistant </w:t>
      </w:r>
      <w:del w:id="826" w:author="Urša Miklavčič [2]" w:date="2026-04-20T12:56:00Z" w16du:dateUtc="2026-04-20T10:56:00Z">
        <w:r w:rsidRPr="00D93D74" w:rsidDel="00DE18CC">
          <w:delText xml:space="preserve">taxa </w:delText>
        </w:r>
      </w:del>
      <w:ins w:id="827" w:author="Urša Miklavčič [2]" w:date="2026-04-20T12:56:00Z" w16du:dateUtc="2026-04-20T10:56:00Z">
        <w:r w:rsidR="00DE18CC">
          <w:t>OTUs and species</w:t>
        </w:r>
        <w:r w:rsidR="00DE18CC" w:rsidRPr="00D93D74">
          <w:t xml:space="preserve"> </w:t>
        </w:r>
      </w:ins>
      <w:r w:rsidRPr="00D93D74">
        <w:t>exhibited greater sharing across participants and enhanced temporal stability within individual over the six months</w:t>
      </w:r>
      <w:commentRangeEnd w:id="825"/>
      <w:r w:rsidR="0034031C" w:rsidRPr="00D93D74">
        <w:rPr>
          <w:rStyle w:val="Pripombasklic"/>
          <w:sz w:val="24"/>
          <w:szCs w:val="22"/>
        </w:rPr>
        <w:commentReference w:id="825"/>
      </w:r>
      <w:r w:rsidRPr="00D93D74">
        <w:t xml:space="preserve">. This is pattern was especially pronounced among ethanol-resistant spore-forming </w:t>
      </w:r>
      <w:del w:id="828" w:author="Urša Miklavčič [2]" w:date="2026-04-20T12:56:00Z" w16du:dateUtc="2026-04-20T10:56:00Z">
        <w:r w:rsidRPr="00D93D74" w:rsidDel="00DE18CC">
          <w:delText>bacteria</w:delText>
        </w:r>
      </w:del>
      <w:ins w:id="829" w:author="Urša Miklavčič [2]" w:date="2026-04-20T12:56:00Z" w16du:dateUtc="2026-04-20T10:56:00Z">
        <w:r w:rsidR="00DE18CC">
          <w:t>species</w:t>
        </w:r>
      </w:ins>
      <w:r w:rsidRPr="00D93D74">
        <w:t xml:space="preserve">. </w:t>
      </w:r>
    </w:p>
    <w:p w14:paraId="7F03B5A5" w14:textId="2368EEED" w:rsidR="00216C48" w:rsidRDefault="00524225" w:rsidP="00524225">
      <w:r w:rsidRPr="00D93D74">
        <w:t xml:space="preserve">Ethanol-resistant communities demonstrated significantly lower variability both between and within individuals compared to the non-resistant communities (16S AS, Jaccard distance, </w:t>
      </w:r>
      <w:r w:rsidR="00216C48" w:rsidRPr="00055836">
        <w:rPr>
          <w:rFonts w:cs="Times New Roman"/>
          <w:szCs w:val="24"/>
        </w:rPr>
        <w:t>PERMANOVA with permutations constrained within participant, p = 0.001 for between- and within-individual comparisons</w:t>
      </w:r>
      <w:r w:rsidRPr="00D93D74">
        <w:t>; Figure 1</w:t>
      </w:r>
      <w:r w:rsidR="00216C48">
        <w:t>2</w:t>
      </w:r>
      <w:r w:rsidRPr="00D93D74">
        <w:t>A). The reduced within-individual variability of ethanol-</w:t>
      </w:r>
      <w:r w:rsidRPr="00D93D74">
        <w:lastRenderedPageBreak/>
        <w:t xml:space="preserve">resistant communities was particularly evident within the phylum </w:t>
      </w:r>
      <w:r w:rsidRPr="00D93D74">
        <w:rPr>
          <w:i/>
          <w:iCs/>
        </w:rPr>
        <w:t>Bacillota</w:t>
      </w:r>
      <w:r w:rsidRPr="00D93D74">
        <w:t xml:space="preserve"> compared with other bacterial phyla, whereas reduced between-individual variability was observed both in </w:t>
      </w:r>
      <w:r w:rsidRPr="00D93D74">
        <w:rPr>
          <w:i/>
          <w:iCs/>
        </w:rPr>
        <w:t>Bacillota</w:t>
      </w:r>
      <w:r w:rsidRPr="00D93D74">
        <w:t xml:space="preserve"> and across other phyla. A similar pattern was observed when comparing spore-forming and non-spore-forming species, as both between and within individual Jaccard distances were significantly lower for spore-forming bacteria than non-spore-forming (metagenomic data, </w:t>
      </w:r>
      <w:r w:rsidR="00216C48" w:rsidRPr="00055836">
        <w:rPr>
          <w:rFonts w:cs="Times New Roman"/>
          <w:szCs w:val="24"/>
        </w:rPr>
        <w:t>PERMANOVA with permutations constrained within participant, p = 0.001 for between and within individuals</w:t>
      </w:r>
      <w:r w:rsidRPr="00D93D74">
        <w:t>; Figure 1</w:t>
      </w:r>
      <w:r w:rsidR="00216C48">
        <w:t>2</w:t>
      </w:r>
      <w:r w:rsidR="002F7108">
        <w:t>D</w:t>
      </w:r>
      <w:r w:rsidRPr="00D93D74">
        <w:t xml:space="preserve">). </w:t>
      </w:r>
    </w:p>
    <w:p w14:paraId="1EE0F728" w14:textId="067FBC9D" w:rsidR="00216C48" w:rsidRDefault="00216C48" w:rsidP="00524225">
      <w:r w:rsidRPr="00216C48">
        <w:t>Resistance to ethanol was the key factor for species- and OTU-level overlap across individuals in our cohort (Figure 2B, E; n=9). This effect was most pronounced among ethanol-resistant spore-forming species (Figure 2E, Fisher’s exact test, all pairwise Benjamini-Hochberg-adjusted p &lt; 0.001, Figure 2B).</w:t>
      </w:r>
    </w:p>
    <w:p w14:paraId="0591B45C" w14:textId="1F5A861D" w:rsidR="00524225" w:rsidRPr="00D93D74" w:rsidRDefault="00524225" w:rsidP="00524225">
      <w:r w:rsidRPr="00D93D74">
        <w:t>We next quantified temporal trends of within-individual persistence, by exploring the amount of time a taxon was detected across six months sampling period within each individual. At the OTU-level, a significantly larger fraction of ethanol-resistant OTUs remained present throughout the six months compared to ethanol non-resistant taxa (Figure 1</w:t>
      </w:r>
      <w:r w:rsidR="00216C48">
        <w:t>2</w:t>
      </w:r>
      <w:r w:rsidRPr="00D93D74">
        <w:t>C, Wilcox rank-sum test, p &lt; 0.001). An even more pronounced pattern was observed at the species-level, where ethanol-resistant spore-forming species were the most persistent within individual, being detected at approximately 92% of sampled time points on average, compared to approximately 72% time points for ethanol non-resistant, non-spore-formers (Figure 1</w:t>
      </w:r>
      <w:r w:rsidR="00216C48">
        <w:t>2</w:t>
      </w:r>
      <w:r w:rsidR="002F7108">
        <w:t>E</w:t>
      </w:r>
      <w:r w:rsidRPr="00D93D74">
        <w:t>, pairwise Wilcoxon rank sum tests all pairwise Benjamini–Hochberg adjusted p &lt; 0.05). These results indicate that ethanol resistance particularly in combination with sporulation ability is associated with an increased fraction of highly persistent taxa within individual.</w:t>
      </w:r>
    </w:p>
    <w:p w14:paraId="50AA90B5" w14:textId="77777777" w:rsidR="00524225" w:rsidRPr="00D93D74" w:rsidRDefault="00524225" w:rsidP="00524225"/>
    <w:p w14:paraId="5EE321C7" w14:textId="5A3B401A" w:rsidR="00524225" w:rsidRPr="00D93D74" w:rsidRDefault="0034031C" w:rsidP="00524225">
      <w:pPr>
        <w:rPr>
          <w:b/>
          <w:bCs/>
          <w:sz w:val="22"/>
        </w:rPr>
      </w:pPr>
      <w:commentRangeStart w:id="830"/>
      <w:commentRangeStart w:id="831"/>
      <w:commentRangeEnd w:id="830"/>
      <w:r>
        <w:rPr>
          <w:rStyle w:val="Pripombasklic"/>
          <w:b/>
          <w:bCs/>
          <w:noProof/>
          <w:sz w:val="22"/>
          <w:szCs w:val="22"/>
        </w:rPr>
        <w:lastRenderedPageBreak/>
        <w:commentReference w:id="830"/>
      </w:r>
      <w:commentRangeEnd w:id="831"/>
      <w:r w:rsidR="00DE18CC">
        <w:rPr>
          <w:rStyle w:val="Pripombasklic"/>
          <w:b/>
          <w:bCs/>
          <w:noProof/>
          <w:sz w:val="22"/>
          <w:szCs w:val="22"/>
        </w:rPr>
        <w:commentReference w:id="831"/>
      </w:r>
      <w:r w:rsidR="002F7108">
        <w:rPr>
          <w:b/>
          <w:bCs/>
          <w:noProof/>
          <w:sz w:val="22"/>
        </w:rPr>
        <w:drawing>
          <wp:inline distT="0" distB="0" distL="0" distR="0" wp14:anchorId="163FA5AF" wp14:editId="798B56AD">
            <wp:extent cx="5931535" cy="3251835"/>
            <wp:effectExtent l="0" t="0" r="0" b="5715"/>
            <wp:docPr id="2134937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1535" cy="3251835"/>
                    </a:xfrm>
                    <a:prstGeom prst="rect">
                      <a:avLst/>
                    </a:prstGeom>
                    <a:noFill/>
                    <a:ln>
                      <a:noFill/>
                    </a:ln>
                  </pic:spPr>
                </pic:pic>
              </a:graphicData>
            </a:graphic>
          </wp:inline>
        </w:drawing>
      </w:r>
    </w:p>
    <w:p w14:paraId="0747DD16" w14:textId="24CAD8B3" w:rsidR="002F7108" w:rsidRPr="002F7108" w:rsidRDefault="00524225" w:rsidP="002F7108">
      <w:pPr>
        <w:pStyle w:val="Napis"/>
        <w:rPr>
          <w:b w:val="0"/>
          <w:bCs/>
          <w:sz w:val="22"/>
          <w:szCs w:val="22"/>
        </w:rPr>
      </w:pPr>
      <w:r w:rsidRPr="002F7108">
        <w:rPr>
          <w:bCs/>
          <w:sz w:val="22"/>
          <w:szCs w:val="22"/>
        </w:rPr>
        <w:t xml:space="preserve">Figure </w:t>
      </w:r>
      <w:r w:rsidR="002F7108">
        <w:rPr>
          <w:bCs/>
          <w:sz w:val="22"/>
          <w:szCs w:val="22"/>
        </w:rPr>
        <w:t>12</w:t>
      </w:r>
      <w:r w:rsidRPr="002F7108">
        <w:rPr>
          <w:bCs/>
          <w:sz w:val="22"/>
          <w:szCs w:val="22"/>
        </w:rPr>
        <w:t xml:space="preserve">. </w:t>
      </w:r>
      <w:bookmarkStart w:id="832" w:name="_Hlk222732182"/>
      <w:r w:rsidR="002F7108" w:rsidRPr="002F7108">
        <w:rPr>
          <w:bCs/>
          <w:sz w:val="22"/>
          <w:szCs w:val="22"/>
        </w:rPr>
        <w:t>Dynamics of ethanol-resistant and ethanol non-resistant community and sporobiota between and within individuals.</w:t>
      </w:r>
      <w:r w:rsidR="002F7108" w:rsidRPr="002F7108">
        <w:rPr>
          <w:sz w:val="22"/>
          <w:szCs w:val="22"/>
        </w:rPr>
        <w:t xml:space="preserve"> </w:t>
      </w:r>
      <w:bookmarkEnd w:id="832"/>
      <w:r w:rsidR="002F7108" w:rsidRPr="002F7108">
        <w:rPr>
          <w:b w:val="0"/>
          <w:bCs/>
          <w:sz w:val="22"/>
          <w:szCs w:val="22"/>
        </w:rPr>
        <w:t xml:space="preserve">A) Boxplots showing between- and within-individual variability in community composition for ethanol-resistant and non-resistant communities in the 16S AS dataset and B) for spore-forming and non-spore-forming communities in the metagenomic dataset. </w:t>
      </w:r>
      <w:bookmarkStart w:id="833" w:name="_Hlk223683379"/>
      <w:r w:rsidR="002F7108" w:rsidRPr="002F7108">
        <w:rPr>
          <w:b w:val="0"/>
          <w:bCs/>
          <w:sz w:val="22"/>
          <w:szCs w:val="22"/>
        </w:rPr>
        <w:t>Variability was assessed using Jaccard distance, calculated separately for each community. Jaccard distances was derived from randomly subsampled communities, with the median distance used for visualisation and statistical comparisons. Distributions were compared using a PERMANOVA.</w:t>
      </w:r>
      <w:bookmarkEnd w:id="833"/>
      <w:r w:rsidR="002F7108" w:rsidRPr="002F7108">
        <w:rPr>
          <w:b w:val="0"/>
          <w:bCs/>
          <w:sz w:val="22"/>
          <w:szCs w:val="22"/>
        </w:rPr>
        <w:t xml:space="preserve"> B) and E) stacked bar plots show the number of taxa present in only 1 individual vs more than 1 individual, based on their ethanol-resistance and spore-forming ability. In this analysis only highly persistent taxa were included (present in more than 90% of time-points per individual; 206 species and 873 OTUs). C) and F) Persistence of taxa within individuals. Persistence was calculated for each taxon in each participant, excluding taxa detected at only one time point. Lines represent the median percentage of taxa across participants detected at a given percentage of sampled time points. Colours indicate classification as ethanol-resistant or ethanol-non-resistant, and line type indicates sporulation ability. Statistical significance is indicated as *** for p &lt; 0.001.</w:t>
      </w:r>
    </w:p>
    <w:p w14:paraId="54D4F617" w14:textId="77777777" w:rsidR="00F665E9" w:rsidRDefault="00F665E9" w:rsidP="00386B8B">
      <w:pPr>
        <w:rPr>
          <w:ins w:id="834" w:author="Urša Miklavčič [2]" w:date="2026-04-20T13:00:00Z" w16du:dateUtc="2026-04-20T11:00:00Z"/>
          <w:rFonts w:cs="Times New Roman"/>
          <w:szCs w:val="24"/>
        </w:rPr>
      </w:pPr>
    </w:p>
    <w:p w14:paraId="6B6F1781" w14:textId="5F2908B0" w:rsidR="00DE18CC" w:rsidRDefault="00DE18CC" w:rsidP="00386B8B">
      <w:pPr>
        <w:rPr>
          <w:ins w:id="835" w:author="Urša Miklavčič [2]" w:date="2026-04-20T13:01:00Z" w16du:dateUtc="2026-04-20T11:01:00Z"/>
          <w:rFonts w:cs="Times New Roman"/>
          <w:szCs w:val="24"/>
        </w:rPr>
      </w:pPr>
      <w:ins w:id="836" w:author="Urša Miklavčič [2]" w:date="2026-04-20T13:00:00Z" w16du:dateUtc="2026-04-20T11:00:00Z">
        <w:r>
          <w:rPr>
            <w:rFonts w:cs="Times New Roman"/>
            <w:szCs w:val="24"/>
          </w:rPr>
          <w:t>Alternative Fi</w:t>
        </w:r>
      </w:ins>
      <w:ins w:id="837" w:author="Urša Miklavčič [2]" w:date="2026-04-20T13:01:00Z" w16du:dateUtc="2026-04-20T11:01:00Z">
        <w:r>
          <w:rPr>
            <w:rFonts w:cs="Times New Roman"/>
            <w:szCs w:val="24"/>
          </w:rPr>
          <w:t>gure 12</w:t>
        </w:r>
      </w:ins>
      <w:ins w:id="838" w:author="Urša Miklavčič [2]" w:date="2026-04-20T13:18:00Z" w16du:dateUtc="2026-04-20T11:18:00Z">
        <w:r w:rsidR="002731BF">
          <w:rPr>
            <w:rFonts w:cs="Times New Roman"/>
            <w:szCs w:val="24"/>
          </w:rPr>
          <w:t xml:space="preserve"> C, F panels</w:t>
        </w:r>
      </w:ins>
      <w:ins w:id="839" w:author="Urša Miklavčič [2]" w:date="2026-04-20T13:01:00Z" w16du:dateUtc="2026-04-20T11:01:00Z">
        <w:r>
          <w:rPr>
            <w:rFonts w:cs="Times New Roman"/>
            <w:szCs w:val="24"/>
          </w:rPr>
          <w:t xml:space="preserve">: </w:t>
        </w:r>
      </w:ins>
      <w:ins w:id="840" w:author="Urša Miklavčič [2]" w:date="2026-04-20T13:21:00Z" w16du:dateUtc="2026-04-20T11:21:00Z">
        <w:r w:rsidR="006E72D3">
          <w:rPr>
            <w:rFonts w:cs="Times New Roman"/>
            <w:szCs w:val="24"/>
          </w:rPr>
          <w:t xml:space="preserve">(could also be placed in supplement, to show we are not obscuring data using line plot) </w:t>
        </w:r>
      </w:ins>
    </w:p>
    <w:p w14:paraId="37FCCF78" w14:textId="094EFB6C" w:rsidR="00DE18CC" w:rsidRDefault="002731BF" w:rsidP="00386B8B">
      <w:pPr>
        <w:rPr>
          <w:ins w:id="841" w:author="Urša Miklavčič [2]" w:date="2026-04-20T13:20:00Z" w16du:dateUtc="2026-04-20T11:20:00Z"/>
          <w:rFonts w:cs="Times New Roman"/>
          <w:szCs w:val="24"/>
        </w:rPr>
      </w:pPr>
      <w:ins w:id="842" w:author="Urša Miklavčič [2]" w:date="2026-04-20T13:20:00Z" w16du:dateUtc="2026-04-20T11:20:00Z">
        <w:r>
          <w:rPr>
            <w:rFonts w:cs="Times New Roman"/>
            <w:noProof/>
            <w:szCs w:val="24"/>
          </w:rPr>
          <w:lastRenderedPageBreak/>
          <w:drawing>
            <wp:inline distT="0" distB="0" distL="0" distR="0" wp14:anchorId="75C5A3C3" wp14:editId="5490FCF3">
              <wp:extent cx="5939790" cy="2075180"/>
              <wp:effectExtent l="0" t="0" r="3810" b="1270"/>
              <wp:docPr id="1028335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9790" cy="2075180"/>
                      </a:xfrm>
                      <a:prstGeom prst="rect">
                        <a:avLst/>
                      </a:prstGeom>
                      <a:noFill/>
                      <a:ln>
                        <a:noFill/>
                      </a:ln>
                    </pic:spPr>
                  </pic:pic>
                </a:graphicData>
              </a:graphic>
            </wp:inline>
          </w:drawing>
        </w:r>
      </w:ins>
    </w:p>
    <w:p w14:paraId="0BA6714C" w14:textId="77777777" w:rsidR="002731BF" w:rsidRPr="00D93D74" w:rsidRDefault="002731BF" w:rsidP="00386B8B">
      <w:pPr>
        <w:rPr>
          <w:rFonts w:cs="Times New Roman"/>
          <w:szCs w:val="24"/>
        </w:rPr>
      </w:pPr>
    </w:p>
    <w:p w14:paraId="68D5BF03" w14:textId="0CDC6C2B" w:rsidR="00CD77AB" w:rsidRPr="00D93D74" w:rsidRDefault="00CD77AB">
      <w:pPr>
        <w:pStyle w:val="Naslov3"/>
        <w:numPr>
          <w:ilvl w:val="2"/>
          <w:numId w:val="6"/>
        </w:numPr>
      </w:pPr>
      <w:bookmarkStart w:id="843" w:name="_Toc216099753"/>
      <w:bookmarkStart w:id="844" w:name="_Toc220932876"/>
      <w:bookmarkStart w:id="845" w:name="_Toc228252044"/>
      <w:r w:rsidRPr="00D93D74">
        <w:t xml:space="preserve">Sporulation frequency of ethanol-resistant </w:t>
      </w:r>
      <w:r w:rsidRPr="00D93D74">
        <w:rPr>
          <w:i/>
        </w:rPr>
        <w:t>Bacillota</w:t>
      </w:r>
      <w:r w:rsidRPr="00D93D74">
        <w:t xml:space="preserve"> in the human gut is host and time dependent</w:t>
      </w:r>
      <w:bookmarkEnd w:id="843"/>
      <w:bookmarkEnd w:id="844"/>
      <w:bookmarkEnd w:id="845"/>
    </w:p>
    <w:p w14:paraId="024FC4B4" w14:textId="7A2C17C2" w:rsidR="00320506" w:rsidRPr="00D93D74" w:rsidRDefault="00CD77AB" w:rsidP="00320506">
      <w:pPr>
        <w:rPr>
          <w:rFonts w:cs="Times New Roman"/>
          <w:szCs w:val="24"/>
        </w:rPr>
      </w:pPr>
      <w:r w:rsidRPr="00D93D74">
        <w:rPr>
          <w:rFonts w:cs="Times New Roman"/>
          <w:szCs w:val="24"/>
        </w:rPr>
        <w:t xml:space="preserve">Sporulation frequency was calculated for OTUs determined as part of the ethanol-resistant </w:t>
      </w:r>
      <w:r w:rsidR="00486762" w:rsidRPr="00D93D74">
        <w:rPr>
          <w:rFonts w:cs="Times New Roman"/>
          <w:szCs w:val="24"/>
        </w:rPr>
        <w:t>community</w:t>
      </w:r>
      <w:r w:rsidRPr="00D93D74">
        <w:rPr>
          <w:rFonts w:cs="Times New Roman"/>
          <w:szCs w:val="24"/>
        </w:rPr>
        <w:t xml:space="preserve"> with taxonomic classification to the phylum </w:t>
      </w:r>
      <w:r w:rsidRPr="00D93D74">
        <w:rPr>
          <w:rFonts w:cs="Times New Roman"/>
          <w:i/>
          <w:iCs/>
          <w:szCs w:val="24"/>
        </w:rPr>
        <w:t>Bacillota</w:t>
      </w:r>
      <w:r w:rsidRPr="00D93D74">
        <w:rPr>
          <w:rFonts w:cs="Times New Roman"/>
          <w:szCs w:val="24"/>
        </w:rPr>
        <w:t xml:space="preserve">. </w:t>
      </w:r>
      <w:r w:rsidR="00320506" w:rsidRPr="00D93D74">
        <w:rPr>
          <w:rFonts w:cs="Times New Roman"/>
          <w:szCs w:val="24"/>
        </w:rPr>
        <w:t>For each OT</w:t>
      </w:r>
      <w:r w:rsidR="00D6030C" w:rsidRPr="00D93D74">
        <w:rPr>
          <w:rFonts w:cs="Times New Roman"/>
          <w:szCs w:val="24"/>
        </w:rPr>
        <w:t>U</w:t>
      </w:r>
      <w:r w:rsidR="00320506" w:rsidRPr="00D93D74">
        <w:rPr>
          <w:rFonts w:cs="Times New Roman"/>
          <w:szCs w:val="24"/>
        </w:rPr>
        <w:t xml:space="preserve">, the ratio of </w:t>
      </w:r>
      <w:r w:rsidRPr="00D93D74">
        <w:rPr>
          <w:rFonts w:cs="Times New Roman"/>
          <w:szCs w:val="24"/>
        </w:rPr>
        <w:t xml:space="preserve">normalised abundance in </w:t>
      </w:r>
      <w:r w:rsidR="00B41263" w:rsidRPr="00D93D74">
        <w:rPr>
          <w:rFonts w:cs="Times New Roman"/>
          <w:szCs w:val="24"/>
        </w:rPr>
        <w:t>untreated samples</w:t>
      </w:r>
      <w:r w:rsidR="00320506" w:rsidRPr="00D93D74">
        <w:rPr>
          <w:rFonts w:cs="Times New Roman"/>
          <w:szCs w:val="24"/>
        </w:rPr>
        <w:t xml:space="preserve"> (including sequences from both vegetative cells and ethanol-resistant forms)</w:t>
      </w:r>
      <w:r w:rsidRPr="00D93D74">
        <w:rPr>
          <w:rFonts w:cs="Times New Roman"/>
          <w:szCs w:val="24"/>
        </w:rPr>
        <w:t xml:space="preserve"> samples </w:t>
      </w:r>
      <w:r w:rsidR="00486762" w:rsidRPr="00D93D74">
        <w:rPr>
          <w:rFonts w:cs="Times New Roman"/>
          <w:szCs w:val="24"/>
        </w:rPr>
        <w:t>to</w:t>
      </w:r>
      <w:r w:rsidRPr="00D93D74">
        <w:rPr>
          <w:rFonts w:cs="Times New Roman"/>
          <w:szCs w:val="24"/>
        </w:rPr>
        <w:t xml:space="preserve"> normalised abundance in ethanol treated samples </w:t>
      </w:r>
      <w:r w:rsidR="00320506" w:rsidRPr="00D93D74">
        <w:rPr>
          <w:rFonts w:cs="Times New Roman"/>
          <w:szCs w:val="24"/>
        </w:rPr>
        <w:t xml:space="preserve">(enriched for spores and other ethanol-resistant cell forms) </w:t>
      </w:r>
      <w:r w:rsidRPr="00D93D74">
        <w:rPr>
          <w:rFonts w:cs="Times New Roman"/>
          <w:szCs w:val="24"/>
        </w:rPr>
        <w:t xml:space="preserve">was </w:t>
      </w:r>
      <w:r w:rsidR="00320506" w:rsidRPr="00D93D74">
        <w:rPr>
          <w:rFonts w:cs="Times New Roman"/>
          <w:szCs w:val="24"/>
        </w:rPr>
        <w:t xml:space="preserve">defined as the </w:t>
      </w:r>
      <w:r w:rsidRPr="00D93D74">
        <w:rPr>
          <w:rFonts w:cs="Times New Roman"/>
          <w:szCs w:val="24"/>
        </w:rPr>
        <w:t>sporulation frequency (</w:t>
      </w:r>
      <w:r w:rsidR="00EF6518" w:rsidRPr="00D93D74">
        <w:rPr>
          <w:rFonts w:cs="Times New Roman"/>
          <w:szCs w:val="24"/>
        </w:rPr>
        <w:t xml:space="preserve">Supplement Text </w:t>
      </w:r>
      <w:ins w:id="846" w:author="Urša Miklavčič [2]" w:date="2026-04-21T13:25:00Z" w16du:dateUtc="2026-04-21T11:25:00Z">
        <w:r w:rsidR="00554FAF">
          <w:rPr>
            <w:rFonts w:cs="Times New Roman"/>
            <w:szCs w:val="24"/>
          </w:rPr>
          <w:t>3</w:t>
        </w:r>
      </w:ins>
      <w:del w:id="847" w:author="Urša Miklavčič [2]" w:date="2026-04-21T13:25:00Z" w16du:dateUtc="2026-04-21T11:25:00Z">
        <w:r w:rsidR="00EF6518" w:rsidRPr="00D93D74" w:rsidDel="00554FAF">
          <w:rPr>
            <w:rFonts w:cs="Times New Roman"/>
            <w:szCs w:val="24"/>
          </w:rPr>
          <w:delText>2</w:delText>
        </w:r>
      </w:del>
      <w:r w:rsidRPr="00D93D74">
        <w:rPr>
          <w:rFonts w:cs="Times New Roman"/>
          <w:szCs w:val="24"/>
        </w:rPr>
        <w:t>).</w:t>
      </w:r>
      <w:r w:rsidR="00EF6518" w:rsidRPr="00D93D74">
        <w:rPr>
          <w:rFonts w:cs="Times New Roman"/>
          <w:szCs w:val="24"/>
        </w:rPr>
        <w:t xml:space="preserve"> </w:t>
      </w:r>
      <w:r w:rsidR="00320506" w:rsidRPr="00D93D74">
        <w:rPr>
          <w:rFonts w:cs="Times New Roman"/>
          <w:szCs w:val="24"/>
        </w:rPr>
        <w:t>Sporulation frequency thus reflects the fraction of an OTU population in a sporulated state at a given time point in a</w:t>
      </w:r>
      <w:r w:rsidR="00EF6518" w:rsidRPr="00D93D74">
        <w:rPr>
          <w:rFonts w:cs="Times New Roman"/>
          <w:szCs w:val="24"/>
        </w:rPr>
        <w:t xml:space="preserve"> given </w:t>
      </w:r>
      <w:r w:rsidR="00320506" w:rsidRPr="00D93D74">
        <w:rPr>
          <w:rFonts w:cs="Times New Roman"/>
          <w:szCs w:val="24"/>
        </w:rPr>
        <w:t>host.</w:t>
      </w:r>
    </w:p>
    <w:p w14:paraId="0A564A47" w14:textId="0ED3CBF0" w:rsidR="00CD77AB" w:rsidRPr="00D93D74" w:rsidRDefault="00CD77AB" w:rsidP="00CD77AB">
      <w:pPr>
        <w:rPr>
          <w:rFonts w:cs="Times New Roman"/>
          <w:szCs w:val="24"/>
        </w:rPr>
      </w:pPr>
      <w:r w:rsidRPr="00D93D74">
        <w:rPr>
          <w:rFonts w:cs="Times New Roman"/>
          <w:szCs w:val="24"/>
        </w:rPr>
        <w:t xml:space="preserve">The sporulation frequency for all OTUs within an individual increases or decreases simultaneously at a single time point in the majority of time points (Figure </w:t>
      </w:r>
      <w:r w:rsidR="00486762" w:rsidRPr="00D93D74">
        <w:rPr>
          <w:rFonts w:cs="Times New Roman"/>
          <w:szCs w:val="24"/>
        </w:rPr>
        <w:t>1</w:t>
      </w:r>
      <w:r w:rsidR="002F7108">
        <w:rPr>
          <w:rFonts w:cs="Times New Roman"/>
          <w:szCs w:val="24"/>
        </w:rPr>
        <w:t>3</w:t>
      </w:r>
      <w:r w:rsidRPr="00D93D74">
        <w:rPr>
          <w:rFonts w:cs="Times New Roman"/>
          <w:szCs w:val="24"/>
        </w:rPr>
        <w:t xml:space="preserve">A). This indicates a dependency on the current state of the gut in each host. We </w:t>
      </w:r>
      <w:r w:rsidR="00486762" w:rsidRPr="00D93D74">
        <w:rPr>
          <w:rFonts w:cs="Times New Roman"/>
          <w:szCs w:val="24"/>
        </w:rPr>
        <w:t>examined</w:t>
      </w:r>
      <w:r w:rsidRPr="00D93D74">
        <w:rPr>
          <w:rFonts w:cs="Times New Roman"/>
          <w:szCs w:val="24"/>
        </w:rPr>
        <w:t xml:space="preserve"> the correlation between the variation in sporulation frequency of each OTU at a single time point, normalised by the mean variation in sporulation frequency of </w:t>
      </w:r>
      <w:r w:rsidR="00486762" w:rsidRPr="00D93D74">
        <w:rPr>
          <w:rFonts w:cs="Times New Roman"/>
          <w:szCs w:val="24"/>
        </w:rPr>
        <w:t>that</w:t>
      </w:r>
      <w:r w:rsidRPr="00D93D74">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7405C4E8" w14:textId="081C2795" w:rsidR="00CD77AB" w:rsidRPr="00D93D74" w:rsidRDefault="00CB40F9" w:rsidP="00CD77AB">
      <w:pPr>
        <w:rPr>
          <w:rFonts w:cs="Times New Roman"/>
          <w:szCs w:val="24"/>
        </w:rPr>
      </w:pPr>
      <w:r w:rsidRPr="00D93D74">
        <w:rPr>
          <w:rFonts w:cs="Times New Roman"/>
          <w:szCs w:val="24"/>
        </w:rPr>
        <w:t xml:space="preserve">Variance in sporulation frequency of an OTU within an individual, compared to the variance in sporulation frequency of the same OTU across the whole population, indicates host specificity. This is demonstrated by the ratio between the variance of OTU </w:t>
      </w:r>
      <w:r w:rsidRPr="00D93D74">
        <w:rPr>
          <w:rFonts w:cs="Times New Roman"/>
          <w:i/>
          <w:iCs/>
          <w:szCs w:val="24"/>
        </w:rPr>
        <w:t>i</w:t>
      </w:r>
      <w:r w:rsidRPr="00D93D74">
        <w:rPr>
          <w:rFonts w:cs="Times New Roman"/>
          <w:szCs w:val="24"/>
        </w:rPr>
        <w:t xml:space="preserve"> in an individual and the variance of OTU </w:t>
      </w:r>
      <w:r w:rsidRPr="00D93D74">
        <w:rPr>
          <w:rFonts w:cs="Times New Roman"/>
          <w:i/>
          <w:iCs/>
          <w:szCs w:val="24"/>
        </w:rPr>
        <w:t>i</w:t>
      </w:r>
      <w:r w:rsidRPr="00D93D74">
        <w:rPr>
          <w:rFonts w:cs="Times New Roman"/>
          <w:szCs w:val="24"/>
        </w:rPr>
        <w:t xml:space="preserve"> in the population, which falls below 1 in all but two individuals (Figure 1</w:t>
      </w:r>
      <w:r w:rsidR="002F7108">
        <w:rPr>
          <w:rFonts w:cs="Times New Roman"/>
          <w:szCs w:val="24"/>
        </w:rPr>
        <w:t>3</w:t>
      </w:r>
      <w:r w:rsidR="00D6030C" w:rsidRPr="00D93D74">
        <w:rPr>
          <w:rFonts w:cs="Times New Roman"/>
          <w:szCs w:val="24"/>
        </w:rPr>
        <w:t>C</w:t>
      </w:r>
      <w:r w:rsidRPr="00D93D74">
        <w:rPr>
          <w:rFonts w:cs="Times New Roman"/>
          <w:szCs w:val="24"/>
        </w:rPr>
        <w:t xml:space="preserve">). An exception was the increased sporulation frequency in individual H, relative to the population variance, which can be attributed to antibiotic consumption between days 71 and 84 of the study. </w:t>
      </w:r>
      <w:commentRangeStart w:id="848"/>
      <w:r w:rsidRPr="00D93D74">
        <w:rPr>
          <w:rFonts w:cs="Times New Roman"/>
          <w:szCs w:val="24"/>
        </w:rPr>
        <w:t>There was also a slight increase in individual C, associated with five days spent abroad in the second month of the study</w:t>
      </w:r>
      <w:commentRangeEnd w:id="848"/>
      <w:r w:rsidR="0034031C" w:rsidRPr="00D93D74">
        <w:rPr>
          <w:rStyle w:val="Pripombasklic"/>
          <w:rFonts w:cs="Times New Roman"/>
          <w:sz w:val="24"/>
          <w:szCs w:val="24"/>
        </w:rPr>
        <w:commentReference w:id="848"/>
      </w:r>
      <w:r w:rsidRPr="00D93D74">
        <w:rPr>
          <w:rFonts w:cs="Times New Roman"/>
          <w:szCs w:val="24"/>
        </w:rPr>
        <w:t xml:space="preserve">. Notably, in individual H this coincided with a decrease in alpha diversity, while in individual C there was an increase in alpha diversity. The Kruskal test shows significantly different variance in sporulation frequency of OTUs between individuals in our study </w:t>
      </w:r>
      <w:r w:rsidRPr="00D93D74">
        <w:rPr>
          <w:rFonts w:cs="Times New Roman"/>
          <w:szCs w:val="24"/>
        </w:rPr>
        <w:lastRenderedPageBreak/>
        <w:t>(p = 1.7 × 10⁻⁸), which strengthens our comparison, as the population variance reflects highly diverse individuals. In contrast, comparison of the variance in sporulation frequency between different OTUs is not significantly different (Kruskal test, p = 0.96, Figure 1</w:t>
      </w:r>
      <w:r w:rsidR="002F7108">
        <w:rPr>
          <w:rFonts w:cs="Times New Roman"/>
          <w:szCs w:val="24"/>
        </w:rPr>
        <w:t>3</w:t>
      </w:r>
      <w:r w:rsidR="00D6030C" w:rsidRPr="00D93D74">
        <w:rPr>
          <w:rFonts w:cs="Times New Roman"/>
          <w:szCs w:val="24"/>
        </w:rPr>
        <w:t>B</w:t>
      </w:r>
      <w:r w:rsidRPr="00D93D74">
        <w:rPr>
          <w:rFonts w:cs="Times New Roman"/>
          <w:szCs w:val="24"/>
        </w:rPr>
        <w:t>). Further confirmation of the dependence of sporulation frequency on host and time, rather than OTU classification, is provided by positive Pearson correlations between sporulation frequencies of OTUs within an individual (Supplement Figure 1</w:t>
      </w:r>
      <w:ins w:id="849" w:author="Urša Miklavčič [2]" w:date="2026-04-21T13:25:00Z" w16du:dateUtc="2026-04-21T11:25:00Z">
        <w:r w:rsidR="00554FAF">
          <w:rPr>
            <w:rFonts w:cs="Times New Roman"/>
            <w:szCs w:val="24"/>
          </w:rPr>
          <w:t>3</w:t>
        </w:r>
      </w:ins>
      <w:del w:id="850" w:author="Urša Miklavčič [2]" w:date="2026-04-20T14:31:00Z" w16du:dateUtc="2026-04-20T12:31:00Z">
        <w:r w:rsidR="00ED4887" w:rsidRPr="00D93D74" w:rsidDel="0063522F">
          <w:rPr>
            <w:rFonts w:cs="Times New Roman"/>
            <w:szCs w:val="24"/>
          </w:rPr>
          <w:delText>6</w:delText>
        </w:r>
      </w:del>
      <w:r w:rsidRPr="00D93D74">
        <w:rPr>
          <w:rFonts w:cs="Times New Roman"/>
          <w:szCs w:val="24"/>
        </w:rPr>
        <w:t xml:space="preserve">). </w:t>
      </w:r>
    </w:p>
    <w:p w14:paraId="1E2D0032" w14:textId="4021FBE0" w:rsidR="00E9210E" w:rsidRPr="00D93D74" w:rsidRDefault="00524225" w:rsidP="00E9210E">
      <w:pPr>
        <w:keepNext/>
      </w:pPr>
      <w:r w:rsidRPr="00D93D74">
        <w:rPr>
          <w:noProof/>
        </w:rPr>
        <w:drawing>
          <wp:inline distT="0" distB="0" distL="0" distR="0" wp14:anchorId="72C8A41A" wp14:editId="3B30B503">
            <wp:extent cx="5943600" cy="4570047"/>
            <wp:effectExtent l="0" t="0" r="0" b="2540"/>
            <wp:docPr id="1749030860" name="Picture 1"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30860" name="Picture 1" descr="A group of graphs and diagram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570047"/>
                    </a:xfrm>
                    <a:prstGeom prst="rect">
                      <a:avLst/>
                    </a:prstGeom>
                    <a:noFill/>
                    <a:ln>
                      <a:noFill/>
                    </a:ln>
                  </pic:spPr>
                </pic:pic>
              </a:graphicData>
            </a:graphic>
          </wp:inline>
        </w:drawing>
      </w:r>
    </w:p>
    <w:p w14:paraId="2DE41533" w14:textId="1AB8CE7A" w:rsidR="00524225" w:rsidRPr="00D93D74" w:rsidRDefault="00E9210E" w:rsidP="00524225">
      <w:pPr>
        <w:rPr>
          <w:sz w:val="22"/>
        </w:rPr>
      </w:pPr>
      <w:bookmarkStart w:id="851" w:name="_Toc216101630"/>
      <w:r w:rsidRPr="00D93D74">
        <w:rPr>
          <w:b/>
          <w:bCs/>
          <w:sz w:val="22"/>
        </w:rPr>
        <w:t xml:space="preserve">Figure </w:t>
      </w:r>
      <w:r w:rsidR="00524225" w:rsidRPr="00D93D74">
        <w:rPr>
          <w:b/>
          <w:bCs/>
          <w:sz w:val="22"/>
        </w:rPr>
        <w:t>1</w:t>
      </w:r>
      <w:r w:rsidR="002F7108">
        <w:rPr>
          <w:b/>
          <w:bCs/>
          <w:sz w:val="22"/>
        </w:rPr>
        <w:t>3</w:t>
      </w:r>
      <w:r w:rsidRPr="00D93D74">
        <w:rPr>
          <w:b/>
          <w:bCs/>
          <w:sz w:val="22"/>
        </w:rPr>
        <w:t xml:space="preserve">. </w:t>
      </w:r>
      <w:bookmarkEnd w:id="851"/>
      <w:r w:rsidR="00524225" w:rsidRPr="00D93D74">
        <w:rPr>
          <w:b/>
          <w:bCs/>
          <w:sz w:val="22"/>
        </w:rPr>
        <w:t>Influence of individual, time or OTU identity on sporulation frequency.</w:t>
      </w:r>
      <w:r w:rsidR="00524225" w:rsidRPr="00D93D74">
        <w:rPr>
          <w:sz w:val="22"/>
        </w:rPr>
        <w:t xml:space="preserve"> The analysis includes only highly prevalent OTUs belonging to ethanol-resistant </w:t>
      </w:r>
      <w:r w:rsidR="00524225" w:rsidRPr="00D93D74">
        <w:rPr>
          <w:i/>
          <w:sz w:val="22"/>
        </w:rPr>
        <w:t>Bacillota</w:t>
      </w:r>
      <w:r w:rsidR="00524225" w:rsidRPr="00D93D74">
        <w:rPr>
          <w:sz w:val="22"/>
        </w:rPr>
        <w:t xml:space="preserve"> (present in &gt; 80% of samples, n = 22). A) Sporulation frequency of each OTU over the study duration, shown separately for each participant. Sporulation frequency was calculated as a ratio of normalized OTU abundance and ethanol-treated samples (e</w:t>
      </w:r>
      <w:r w:rsidR="00524225" w:rsidRPr="00D93D74">
        <w:rPr>
          <w:sz w:val="22"/>
          <w:vertAlign w:val="subscript"/>
        </w:rPr>
        <w:t>i</w:t>
      </w:r>
      <w:r w:rsidR="00524225" w:rsidRPr="00D93D74">
        <w:rPr>
          <w:sz w:val="22"/>
        </w:rPr>
        <w:t>) and untreated samples (m</w:t>
      </w:r>
      <w:r w:rsidR="00524225" w:rsidRPr="00D93D74">
        <w:rPr>
          <w:sz w:val="22"/>
          <w:vertAlign w:val="subscript"/>
        </w:rPr>
        <w:t>i</w:t>
      </w:r>
      <w:r w:rsidR="00524225" w:rsidRPr="00D93D74">
        <w:rPr>
          <w:sz w:val="22"/>
        </w:rPr>
        <w:t>), and log10-transformed for visualisation purposes. B) Ratio of within-individual to population-level variance in sporulation frequency, plotted by OTU. C) Ratio of within-individual to population-level variance in sporulation frequency, plotted by study participant. The vertical line (x = 1) indicates where within-individual (OTU or participant) variance equals the population-wide variance.</w:t>
      </w:r>
    </w:p>
    <w:p w14:paraId="200EEAFD" w14:textId="77777777" w:rsidR="00211C72" w:rsidRDefault="00211C72" w:rsidP="00E9210E">
      <w:pPr>
        <w:pStyle w:val="Napis"/>
      </w:pPr>
    </w:p>
    <w:p w14:paraId="7E852DE1" w14:textId="11A1BC34" w:rsidR="00211C72" w:rsidRPr="00BB70D2" w:rsidRDefault="00351ADF">
      <w:pPr>
        <w:pStyle w:val="Naslov2"/>
        <w:numPr>
          <w:ilvl w:val="1"/>
          <w:numId w:val="3"/>
        </w:numPr>
      </w:pPr>
      <w:bookmarkStart w:id="852" w:name="_Toc212712219"/>
      <w:bookmarkStart w:id="853" w:name="_Toc216099758"/>
      <w:bookmarkStart w:id="854" w:name="_Toc220932881"/>
      <w:bookmarkStart w:id="855" w:name="_Toc228252045"/>
      <w:r>
        <w:lastRenderedPageBreak/>
        <w:t>L</w:t>
      </w:r>
      <w:r w:rsidR="00211C72" w:rsidRPr="00BB70D2">
        <w:t>ONGITUDINAL CHANGES IN THE RESISTOME DEPENDING ON CHANGES IN THE INTESTINAL MICROBIOTA</w:t>
      </w:r>
      <w:bookmarkEnd w:id="852"/>
      <w:bookmarkEnd w:id="853"/>
      <w:bookmarkEnd w:id="854"/>
      <w:bookmarkEnd w:id="855"/>
      <w:r w:rsidR="00211C72" w:rsidRPr="00BB70D2">
        <w:t xml:space="preserve"> </w:t>
      </w:r>
    </w:p>
    <w:p w14:paraId="563E0B65" w14:textId="77777777" w:rsidR="00211C72" w:rsidRPr="00BB70D2" w:rsidRDefault="00211C72">
      <w:pPr>
        <w:pStyle w:val="Naslov3"/>
        <w:numPr>
          <w:ilvl w:val="2"/>
          <w:numId w:val="3"/>
        </w:numPr>
      </w:pPr>
      <w:bookmarkStart w:id="856" w:name="_Toc220932882"/>
      <w:bookmarkStart w:id="857" w:name="_Toc216099759"/>
      <w:bookmarkStart w:id="858" w:name="_Toc228252046"/>
      <w:r w:rsidRPr="00BB70D2">
        <w:t>Overall diversity and abundance of antimicrobial resistance genes</w:t>
      </w:r>
      <w:bookmarkEnd w:id="856"/>
      <w:bookmarkEnd w:id="858"/>
      <w:r w:rsidRPr="00BB70D2">
        <w:t xml:space="preserve"> </w:t>
      </w:r>
      <w:bookmarkEnd w:id="857"/>
    </w:p>
    <w:p w14:paraId="254808DF" w14:textId="59E7AD03" w:rsidR="00211C72" w:rsidRPr="00D93D74" w:rsidRDefault="00211C72" w:rsidP="00211C72">
      <w:r w:rsidRPr="00D93D74">
        <w:t xml:space="preserve">Across the nine individuals in our cohort during six months and in total of 116 </w:t>
      </w:r>
      <w:r w:rsidR="00BB70D2">
        <w:t xml:space="preserve">untreated </w:t>
      </w:r>
      <w:r w:rsidRPr="00D93D74">
        <w:t xml:space="preserve">samples, we detected 111 antimicrobial resistance genes (ARGs) spanning 16 classes and 5 resistance mechanisms, as annotated by AMRfinder and the CARD database (Figure </w:t>
      </w:r>
      <w:r w:rsidR="0063522F">
        <w:t>14</w:t>
      </w:r>
      <w:r w:rsidRPr="00D93D74">
        <w:t xml:space="preserve">). We also identified two stress response genes, </w:t>
      </w:r>
      <w:r w:rsidRPr="00D93D74">
        <w:rPr>
          <w:i/>
          <w:iCs/>
        </w:rPr>
        <w:t>gacL</w:t>
      </w:r>
      <w:r w:rsidRPr="00D93D74">
        <w:t xml:space="preserve"> and </w:t>
      </w:r>
      <w:r w:rsidRPr="00D93D74">
        <w:rPr>
          <w:i/>
          <w:iCs/>
        </w:rPr>
        <w:t>qacEdelta1</w:t>
      </w:r>
      <w:r w:rsidRPr="00D93D74">
        <w:t>. Notably, clinically important carbapenem genes prevalent in Slovenia (</w:t>
      </w:r>
      <w:commentRangeStart w:id="859"/>
      <w:r w:rsidRPr="00D93D74">
        <w:rPr>
          <w:i/>
          <w:iCs/>
        </w:rPr>
        <w:t>bla</w:t>
      </w:r>
      <w:r w:rsidRPr="00D93D74">
        <w:rPr>
          <w:vertAlign w:val="subscript"/>
        </w:rPr>
        <w:t>KPC</w:t>
      </w:r>
      <w:r w:rsidRPr="00D93D74">
        <w:t xml:space="preserve">, </w:t>
      </w:r>
      <w:r w:rsidRPr="00D93D74">
        <w:rPr>
          <w:i/>
          <w:iCs/>
        </w:rPr>
        <w:t>bla</w:t>
      </w:r>
      <w:r w:rsidRPr="00D93D74">
        <w:rPr>
          <w:vertAlign w:val="subscript"/>
        </w:rPr>
        <w:t>NDM</w:t>
      </w:r>
      <w:r w:rsidRPr="00D93D74">
        <w:t xml:space="preserve">, </w:t>
      </w:r>
      <w:r w:rsidRPr="00D93D74">
        <w:rPr>
          <w:i/>
          <w:iCs/>
        </w:rPr>
        <w:t>bla</w:t>
      </w:r>
      <w:r w:rsidRPr="00D93D74">
        <w:rPr>
          <w:vertAlign w:val="subscript"/>
        </w:rPr>
        <w:t>OXA-48</w:t>
      </w:r>
      <w:r w:rsidRPr="00D93D74">
        <w:t xml:space="preserve"> or </w:t>
      </w:r>
      <w:r w:rsidRPr="00D93D74">
        <w:rPr>
          <w:i/>
          <w:iCs/>
        </w:rPr>
        <w:t>bla</w:t>
      </w:r>
      <w:r w:rsidRPr="00D93D74">
        <w:rPr>
          <w:vertAlign w:val="subscript"/>
        </w:rPr>
        <w:t>VIM</w:t>
      </w:r>
      <w:commentRangeEnd w:id="859"/>
      <w:r w:rsidRPr="00D93D74">
        <w:rPr>
          <w:rStyle w:val="Pripombasklic"/>
          <w:sz w:val="24"/>
          <w:szCs w:val="22"/>
        </w:rPr>
        <w:commentReference w:id="859"/>
      </w:r>
      <w:r w:rsidRPr="00D93D74">
        <w:t xml:space="preserve">) and </w:t>
      </w:r>
      <w:r w:rsidRPr="00D93D74">
        <w:rPr>
          <w:i/>
          <w:iCs/>
        </w:rPr>
        <w:t>Acinetobacter</w:t>
      </w:r>
      <w:r w:rsidRPr="00D93D74">
        <w:t xml:space="preserve">-associated </w:t>
      </w:r>
      <w:r w:rsidRPr="00D93D74">
        <w:rPr>
          <w:i/>
          <w:iCs/>
        </w:rPr>
        <w:t>bla</w:t>
      </w:r>
      <w:r w:rsidRPr="00D93D74">
        <w:rPr>
          <w:vertAlign w:val="subscript"/>
        </w:rPr>
        <w:t>OXA-23</w:t>
      </w:r>
      <w:r w:rsidRPr="00D93D74">
        <w:t xml:space="preserve"> and </w:t>
      </w:r>
      <w:r w:rsidRPr="00D93D74">
        <w:rPr>
          <w:i/>
          <w:iCs/>
        </w:rPr>
        <w:t>bla</w:t>
      </w:r>
      <w:r w:rsidRPr="00D93D74">
        <w:rPr>
          <w:vertAlign w:val="subscript"/>
        </w:rPr>
        <w:t>OXA-24</w:t>
      </w:r>
      <w:r w:rsidRPr="00D93D74">
        <w:t xml:space="preserve"> were absent. The only clinically relevant ARG detected was </w:t>
      </w:r>
      <w:r w:rsidRPr="00D93D74">
        <w:rPr>
          <w:i/>
          <w:iCs/>
        </w:rPr>
        <w:t>bla</w:t>
      </w:r>
      <w:r w:rsidRPr="00D93D74">
        <w:rPr>
          <w:vertAlign w:val="subscript"/>
        </w:rPr>
        <w:t>CTX-M1</w:t>
      </w:r>
      <w:r w:rsidRPr="00D93D74">
        <w:t xml:space="preserve">, found at very low abundance in a single individual (I) on a contig classified within the </w:t>
      </w:r>
      <w:r w:rsidRPr="00D93D74">
        <w:rPr>
          <w:i/>
          <w:iCs/>
        </w:rPr>
        <w:t>Enterobacteriaceae</w:t>
      </w:r>
      <w:r w:rsidRPr="00D93D74">
        <w:t xml:space="preserve"> family</w:t>
      </w:r>
      <w:ins w:id="860" w:author="Urša Miklavčič [2]" w:date="2026-04-21T13:30:00Z" w16du:dateUtc="2026-04-21T11:30:00Z">
        <w:r w:rsidR="00554FAF">
          <w:t xml:space="preserve"> (Supplement Figure </w:t>
        </w:r>
      </w:ins>
      <w:r w:rsidRPr="00D93D74">
        <w:t xml:space="preserve">. </w:t>
      </w:r>
    </w:p>
    <w:p w14:paraId="57890B0F" w14:textId="783CA783" w:rsidR="00211C72" w:rsidRDefault="00211C72" w:rsidP="00211C72">
      <w:r w:rsidRPr="00D93D74">
        <w:t xml:space="preserve">The highest richness of ARGs was observed in aminoglycoside resistance genes, followed by glycopeptide, tetracycline, and beta-lactam classes (Figure </w:t>
      </w:r>
      <w:r w:rsidR="0063522F">
        <w:t>14</w:t>
      </w:r>
      <w:r w:rsidRPr="00D93D74">
        <w:t xml:space="preserve">A). The diversity of ARGs per class did not correlate with the abundance of ARGs in the class. The most abundant ARGs confer resistance to tetracyclines, protein synthesis inhibitors (lincosamide, macrolide, and streptogramin), and beta-lactamases that inactivate antibiotics (Figure </w:t>
      </w:r>
      <w:r w:rsidR="0063522F">
        <w:t>14</w:t>
      </w:r>
      <w:r w:rsidRPr="00D93D74">
        <w:t xml:space="preserve">B). </w:t>
      </w:r>
    </w:p>
    <w:p w14:paraId="37601EA4" w14:textId="77777777" w:rsidR="00D46952" w:rsidRPr="00D93D74" w:rsidRDefault="00D46952" w:rsidP="00D46952">
      <w:r w:rsidRPr="00D93D74">
        <w:t xml:space="preserve">Taxonomically, ARG diversity </w:t>
      </w:r>
      <w:del w:id="861" w:author="Urša Miklavčič [2]" w:date="2026-04-20T14:27:00Z" w16du:dateUtc="2026-04-20T12:27:00Z">
        <w:r w:rsidRPr="00D93D74" w:rsidDel="0063522F">
          <w:delText xml:space="preserve">and abundance </w:delText>
        </w:r>
      </w:del>
      <w:r w:rsidRPr="00D93D74">
        <w:t xml:space="preserve">was highest for phylum </w:t>
      </w:r>
      <w:r w:rsidRPr="00D93D74">
        <w:rPr>
          <w:i/>
          <w:iCs/>
        </w:rPr>
        <w:t>Bacillota</w:t>
      </w:r>
      <w:r w:rsidRPr="00D93D74">
        <w:t xml:space="preserve">, followed by </w:t>
      </w:r>
      <w:r w:rsidRPr="00D93D74">
        <w:rPr>
          <w:i/>
          <w:iCs/>
        </w:rPr>
        <w:t xml:space="preserve">Pseudomonadota </w:t>
      </w:r>
      <w:r w:rsidRPr="00D93D74">
        <w:t xml:space="preserve">and </w:t>
      </w:r>
      <w:r w:rsidRPr="00D93D74">
        <w:rPr>
          <w:i/>
          <w:iCs/>
        </w:rPr>
        <w:t>Bacteroidota</w:t>
      </w:r>
      <w:r w:rsidRPr="00D93D74">
        <w:t xml:space="preserve">, </w:t>
      </w:r>
      <w:del w:id="862" w:author="Urša Miklavčič [2]" w:date="2026-04-20T14:27:00Z" w16du:dateUtc="2026-04-20T12:27:00Z">
        <w:r w:rsidRPr="00D93D74" w:rsidDel="0063522F">
          <w:delText>however</w:delText>
        </w:r>
      </w:del>
      <w:ins w:id="863" w:author="Urša Miklavčič [2]" w:date="2026-04-20T14:27:00Z" w16du:dateUtc="2026-04-20T12:27:00Z">
        <w:r>
          <w:t>and similar</w:t>
        </w:r>
      </w:ins>
      <w:ins w:id="864" w:author="Urša Miklavčič [2]" w:date="2026-04-20T14:28:00Z" w16du:dateUtc="2026-04-20T12:28:00Z">
        <w:r>
          <w:t>ly</w:t>
        </w:r>
      </w:ins>
      <w:r w:rsidRPr="00D93D74">
        <w:t xml:space="preserve">, ARG abundance was </w:t>
      </w:r>
      <w:ins w:id="865" w:author="Urša Miklavčič [2]" w:date="2026-04-20T14:28:00Z" w16du:dateUtc="2026-04-20T12:28:00Z">
        <w:r>
          <w:t xml:space="preserve">highest for phylum </w:t>
        </w:r>
        <w:r>
          <w:rPr>
            <w:i/>
            <w:iCs/>
          </w:rPr>
          <w:t xml:space="preserve">Bacillota </w:t>
        </w:r>
        <w:r>
          <w:t xml:space="preserve">but </w:t>
        </w:r>
      </w:ins>
      <w:r w:rsidRPr="00D93D74">
        <w:t xml:space="preserve">greater in </w:t>
      </w:r>
      <w:r w:rsidRPr="00D93D74">
        <w:rPr>
          <w:i/>
          <w:iCs/>
        </w:rPr>
        <w:t>Bacteroidota</w:t>
      </w:r>
      <w:r w:rsidRPr="00D93D74">
        <w:t xml:space="preserve">, than </w:t>
      </w:r>
      <w:r w:rsidRPr="00D93D74">
        <w:rPr>
          <w:i/>
          <w:iCs/>
        </w:rPr>
        <w:t>Pseudomonadota</w:t>
      </w:r>
      <w:r w:rsidRPr="00D93D74">
        <w:t xml:space="preserve"> (Figure </w:t>
      </w:r>
      <w:ins w:id="866" w:author="Urša Miklavčič [2]" w:date="2026-04-20T14:28:00Z" w16du:dateUtc="2026-04-20T12:28:00Z">
        <w:r>
          <w:t>15</w:t>
        </w:r>
      </w:ins>
      <w:del w:id="867" w:author="Urša Miklavčič [2]" w:date="2026-04-20T14:28:00Z" w16du:dateUtc="2026-04-20T12:28:00Z">
        <w:r w:rsidRPr="00D93D74" w:rsidDel="0063522F">
          <w:delText>21</w:delText>
        </w:r>
      </w:del>
      <w:r w:rsidRPr="00D93D74">
        <w:t>).</w:t>
      </w:r>
    </w:p>
    <w:p w14:paraId="73F61BE6" w14:textId="77777777" w:rsidR="00D46952" w:rsidRPr="00D93D74" w:rsidRDefault="00D46952" w:rsidP="00211C72"/>
    <w:p w14:paraId="3F7A1332" w14:textId="71C3BF33" w:rsidR="00211C72" w:rsidRPr="00D93D74" w:rsidRDefault="00BB70D2" w:rsidP="00211C72">
      <w:pPr>
        <w:keepNext/>
      </w:pPr>
      <w:r>
        <w:rPr>
          <w:noProof/>
        </w:rPr>
        <w:lastRenderedPageBreak/>
        <w:drawing>
          <wp:inline distT="0" distB="0" distL="0" distR="0" wp14:anchorId="0D63F52F" wp14:editId="06D38705">
            <wp:extent cx="5926347" cy="6221327"/>
            <wp:effectExtent l="0" t="0" r="0" b="8255"/>
            <wp:docPr id="205489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l="12355"/>
                    <a:stretch>
                      <a:fillRect/>
                    </a:stretch>
                  </pic:blipFill>
                  <pic:spPr bwMode="auto">
                    <a:xfrm>
                      <a:off x="0" y="0"/>
                      <a:ext cx="5949181" cy="6245298"/>
                    </a:xfrm>
                    <a:prstGeom prst="rect">
                      <a:avLst/>
                    </a:prstGeom>
                    <a:noFill/>
                    <a:ln>
                      <a:noFill/>
                    </a:ln>
                    <a:extLst>
                      <a:ext uri="{53640926-AAD7-44D8-BBD7-CCE9431645EC}">
                        <a14:shadowObscured xmlns:a14="http://schemas.microsoft.com/office/drawing/2010/main"/>
                      </a:ext>
                    </a:extLst>
                  </pic:spPr>
                </pic:pic>
              </a:graphicData>
            </a:graphic>
          </wp:inline>
        </w:drawing>
      </w:r>
    </w:p>
    <w:p w14:paraId="5C5D03E0" w14:textId="3D036E6C" w:rsidR="00211C72" w:rsidRDefault="00211C72" w:rsidP="00D46952">
      <w:pPr>
        <w:pStyle w:val="Napis"/>
        <w:rPr>
          <w:sz w:val="22"/>
          <w:szCs w:val="22"/>
        </w:rPr>
      </w:pPr>
      <w:bookmarkStart w:id="868" w:name="_Toc216101635"/>
      <w:r w:rsidRPr="00D93D74">
        <w:rPr>
          <w:sz w:val="22"/>
          <w:szCs w:val="22"/>
        </w:rPr>
        <w:t xml:space="preserve">Figure </w:t>
      </w:r>
      <w:r w:rsidR="0063522F">
        <w:rPr>
          <w:sz w:val="22"/>
          <w:szCs w:val="22"/>
        </w:rPr>
        <w:t>14</w:t>
      </w:r>
      <w:r w:rsidRPr="00D93D74">
        <w:rPr>
          <w:sz w:val="22"/>
          <w:szCs w:val="22"/>
        </w:rPr>
        <w:t xml:space="preserve">. Diversity and abundance of antimicrobial resistance genes (ARGs) across all individuals untreated samples. </w:t>
      </w:r>
      <w:r w:rsidRPr="00D93D74">
        <w:rPr>
          <w:b w:val="0"/>
          <w:bCs/>
          <w:sz w:val="22"/>
          <w:szCs w:val="22"/>
        </w:rPr>
        <w:t>A) Number of unique ARGs and B) number of mapped reads per million (TPM) to ARGs, coloured by mechanism of resistance based on CARD.</w:t>
      </w:r>
      <w:bookmarkEnd w:id="868"/>
      <w:r w:rsidRPr="00D93D74">
        <w:rPr>
          <w:sz w:val="22"/>
          <w:szCs w:val="22"/>
        </w:rPr>
        <w:t xml:space="preserve"> </w:t>
      </w:r>
    </w:p>
    <w:p w14:paraId="3863DA9A" w14:textId="77777777" w:rsidR="00E03657" w:rsidRPr="00E03657" w:rsidRDefault="00E03657" w:rsidP="00E03657"/>
    <w:p w14:paraId="776A7D1E" w14:textId="61DA8948" w:rsidR="00211C72" w:rsidRPr="00D93D74" w:rsidRDefault="00E03657" w:rsidP="00211C72">
      <w:r>
        <w:rPr>
          <w:noProof/>
        </w:rPr>
        <w:lastRenderedPageBreak/>
        <w:drawing>
          <wp:inline distT="0" distB="0" distL="0" distR="0" wp14:anchorId="0A88615E" wp14:editId="7C1E019A">
            <wp:extent cx="5943600" cy="1819910"/>
            <wp:effectExtent l="0" t="0" r="0" b="8890"/>
            <wp:docPr id="201847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1819910"/>
                    </a:xfrm>
                    <a:prstGeom prst="rect">
                      <a:avLst/>
                    </a:prstGeom>
                    <a:noFill/>
                    <a:ln>
                      <a:noFill/>
                    </a:ln>
                  </pic:spPr>
                </pic:pic>
              </a:graphicData>
            </a:graphic>
          </wp:inline>
        </w:drawing>
      </w:r>
    </w:p>
    <w:p w14:paraId="4B4ED272" w14:textId="360DC8F7" w:rsidR="00211C72" w:rsidRPr="00E03657" w:rsidRDefault="00211C72" w:rsidP="00E03657">
      <w:pPr>
        <w:pStyle w:val="Napis"/>
        <w:rPr>
          <w:sz w:val="22"/>
          <w:szCs w:val="22"/>
        </w:rPr>
      </w:pPr>
      <w:r w:rsidRPr="00D93D74">
        <w:rPr>
          <w:bCs/>
          <w:sz w:val="22"/>
        </w:rPr>
        <w:t xml:space="preserve">Figure </w:t>
      </w:r>
      <w:ins w:id="869" w:author="Urša Miklavčič [2]" w:date="2026-04-20T14:28:00Z" w16du:dateUtc="2026-04-20T12:28:00Z">
        <w:r w:rsidR="0063522F">
          <w:rPr>
            <w:bCs/>
            <w:sz w:val="22"/>
          </w:rPr>
          <w:t>15</w:t>
        </w:r>
      </w:ins>
      <w:del w:id="870" w:author="Urša Miklavčič [2]" w:date="2026-04-20T14:28:00Z" w16du:dateUtc="2026-04-20T12:28:00Z">
        <w:r w:rsidRPr="00D93D74" w:rsidDel="0063522F">
          <w:rPr>
            <w:bCs/>
            <w:sz w:val="22"/>
          </w:rPr>
          <w:delText>21</w:delText>
        </w:r>
      </w:del>
      <w:r w:rsidRPr="00D93D74">
        <w:rPr>
          <w:bCs/>
          <w:sz w:val="22"/>
        </w:rPr>
        <w:t xml:space="preserve">. Diversity and abundance of ARGs based on the taxonomical classification of contig on which the ARG was detected. </w:t>
      </w:r>
      <w:r w:rsidR="00E03657" w:rsidRPr="00D93D74">
        <w:rPr>
          <w:b w:val="0"/>
          <w:bCs/>
          <w:sz w:val="22"/>
          <w:szCs w:val="22"/>
        </w:rPr>
        <w:t xml:space="preserve">A) Number of unique ARGs and B) number of mapped reads per million (TPM) </w:t>
      </w:r>
      <w:r w:rsidR="00E03657">
        <w:rPr>
          <w:b w:val="0"/>
          <w:bCs/>
          <w:sz w:val="22"/>
          <w:szCs w:val="22"/>
        </w:rPr>
        <w:t xml:space="preserve">detected on contigs classified as stated on y-axis. Coloured by class of ARG. </w:t>
      </w:r>
    </w:p>
    <w:p w14:paraId="29EC44A5" w14:textId="77777777" w:rsidR="00211C72" w:rsidRDefault="00211C72" w:rsidP="00211C72">
      <w:pPr>
        <w:rPr>
          <w:sz w:val="22"/>
        </w:rPr>
      </w:pPr>
    </w:p>
    <w:p w14:paraId="7D536EEB" w14:textId="77777777" w:rsidR="00351ADF" w:rsidRPr="00D93D74" w:rsidRDefault="00351ADF" w:rsidP="00211C72">
      <w:pPr>
        <w:rPr>
          <w:sz w:val="22"/>
        </w:rPr>
      </w:pPr>
    </w:p>
    <w:p w14:paraId="1CE05D4B" w14:textId="5E5E3BB8" w:rsidR="00211C72" w:rsidRPr="00D93D74" w:rsidRDefault="00211C72">
      <w:pPr>
        <w:pStyle w:val="Naslov3"/>
        <w:numPr>
          <w:ilvl w:val="2"/>
          <w:numId w:val="3"/>
        </w:numPr>
      </w:pPr>
      <w:bookmarkStart w:id="871" w:name="_Toc216099760"/>
      <w:bookmarkStart w:id="872" w:name="_Toc220932883"/>
      <w:bookmarkStart w:id="873" w:name="_Toc228252047"/>
      <w:r w:rsidRPr="00D93D74">
        <w:t>Per</w:t>
      </w:r>
      <w:commentRangeStart w:id="874"/>
      <w:r w:rsidRPr="00D93D74">
        <w:t>sistence of antimicrobial resistance genes in the human gut</w:t>
      </w:r>
      <w:bookmarkEnd w:id="871"/>
      <w:bookmarkEnd w:id="872"/>
      <w:bookmarkEnd w:id="873"/>
      <w:commentRangeEnd w:id="874"/>
      <w:r w:rsidRPr="00D93D74">
        <w:rPr>
          <w:rStyle w:val="Pripombasklic"/>
          <w:sz w:val="24"/>
          <w:szCs w:val="22"/>
        </w:rPr>
        <w:commentReference w:id="874"/>
      </w:r>
    </w:p>
    <w:p w14:paraId="1A2CF446" w14:textId="5B389152" w:rsidR="00DB47CB" w:rsidRDefault="00211C72" w:rsidP="00211C72">
      <w:pPr>
        <w:rPr>
          <w:ins w:id="875" w:author="Urša Miklavčič [2]" w:date="2026-04-21T10:01:00Z" w16du:dateUtc="2026-04-21T08:01:00Z"/>
          <w:rFonts w:cs="Times New Roman"/>
          <w:szCs w:val="24"/>
        </w:rPr>
      </w:pPr>
      <w:r w:rsidRPr="00D93D74">
        <w:rPr>
          <w:rFonts w:cs="Times New Roman"/>
          <w:szCs w:val="24"/>
        </w:rPr>
        <w:t xml:space="preserve">We detected between 81 and 101 unique ARGs per individual, </w:t>
      </w:r>
      <w:commentRangeStart w:id="876"/>
      <w:del w:id="877" w:author="Urša Miklavčič [2]" w:date="2026-04-20T16:18:00Z" w16du:dateUtc="2026-04-20T14:18:00Z">
        <w:r w:rsidRPr="00D93D74" w:rsidDel="00574911">
          <w:rPr>
            <w:rFonts w:cs="Times New Roman"/>
            <w:szCs w:val="24"/>
          </w:rPr>
          <w:delText xml:space="preserve">with </w:delText>
        </w:r>
      </w:del>
      <w:ins w:id="878" w:author="Urša Miklavčič [2]" w:date="2026-04-20T16:18:00Z" w16du:dateUtc="2026-04-20T14:18:00Z">
        <w:r w:rsidR="00574911">
          <w:rPr>
            <w:rFonts w:cs="Times New Roman"/>
            <w:szCs w:val="24"/>
          </w:rPr>
          <w:t>of which</w:t>
        </w:r>
        <w:r w:rsidR="00574911" w:rsidRPr="00D93D74">
          <w:rPr>
            <w:rFonts w:cs="Times New Roman"/>
            <w:szCs w:val="24"/>
          </w:rPr>
          <w:t xml:space="preserve"> </w:t>
        </w:r>
      </w:ins>
      <w:r w:rsidRPr="00D93D74">
        <w:rPr>
          <w:rFonts w:cs="Times New Roman"/>
          <w:szCs w:val="24"/>
        </w:rPr>
        <w:t>3</w:t>
      </w:r>
      <w:ins w:id="879" w:author="Urša Miklavčič [2]" w:date="2026-04-20T16:11:00Z" w16du:dateUtc="2026-04-20T14:11:00Z">
        <w:r w:rsidR="00574911">
          <w:rPr>
            <w:rFonts w:cs="Times New Roman"/>
            <w:szCs w:val="24"/>
          </w:rPr>
          <w:t>9</w:t>
        </w:r>
      </w:ins>
      <w:del w:id="880" w:author="Urša Miklavčič [2]" w:date="2026-04-20T16:11:00Z" w16du:dateUtc="2026-04-20T14:11:00Z">
        <w:r w:rsidRPr="00D93D74" w:rsidDel="00574911">
          <w:rPr>
            <w:rFonts w:cs="Times New Roman"/>
            <w:szCs w:val="24"/>
          </w:rPr>
          <w:delText>2</w:delText>
        </w:r>
      </w:del>
      <w:r w:rsidRPr="00D93D74">
        <w:rPr>
          <w:rFonts w:cs="Times New Roman"/>
          <w:szCs w:val="24"/>
        </w:rPr>
        <w:t>% to 6</w:t>
      </w:r>
      <w:ins w:id="881" w:author="Urša Miklavčič [2]" w:date="2026-04-20T16:12:00Z" w16du:dateUtc="2026-04-20T14:12:00Z">
        <w:r w:rsidR="00574911">
          <w:rPr>
            <w:rFonts w:cs="Times New Roman"/>
            <w:szCs w:val="24"/>
          </w:rPr>
          <w:t>6</w:t>
        </w:r>
      </w:ins>
      <w:del w:id="882" w:author="Urša Miklavčič [2]" w:date="2026-04-20T16:12:00Z" w16du:dateUtc="2026-04-20T14:12:00Z">
        <w:r w:rsidRPr="00D93D74" w:rsidDel="00574911">
          <w:rPr>
            <w:rFonts w:cs="Times New Roman"/>
            <w:szCs w:val="24"/>
          </w:rPr>
          <w:delText>3</w:delText>
        </w:r>
      </w:del>
      <w:r w:rsidRPr="00D93D74">
        <w:rPr>
          <w:rFonts w:cs="Times New Roman"/>
          <w:szCs w:val="24"/>
        </w:rPr>
        <w:t xml:space="preserve">% </w:t>
      </w:r>
      <w:commentRangeEnd w:id="876"/>
      <w:r w:rsidRPr="00D93D74">
        <w:rPr>
          <w:rStyle w:val="Pripombasklic"/>
          <w:rFonts w:cs="Times New Roman"/>
          <w:sz w:val="24"/>
          <w:szCs w:val="24"/>
        </w:rPr>
        <w:commentReference w:id="876"/>
      </w:r>
      <w:r w:rsidRPr="00D93D74">
        <w:rPr>
          <w:rFonts w:cs="Times New Roman"/>
          <w:szCs w:val="24"/>
        </w:rPr>
        <w:t xml:space="preserve">(average </w:t>
      </w:r>
      <w:ins w:id="883" w:author="Urša Miklavčič [2]" w:date="2026-04-20T16:12:00Z" w16du:dateUtc="2026-04-20T14:12:00Z">
        <w:r w:rsidR="00574911">
          <w:rPr>
            <w:rFonts w:cs="Times New Roman"/>
            <w:szCs w:val="24"/>
          </w:rPr>
          <w:t>49</w:t>
        </w:r>
      </w:ins>
      <w:del w:id="884" w:author="Urša Miklavčič [2]" w:date="2026-04-20T16:12:00Z" w16du:dateUtc="2026-04-20T14:12:00Z">
        <w:r w:rsidRPr="00D93D74" w:rsidDel="00574911">
          <w:rPr>
            <w:rFonts w:cs="Times New Roman"/>
            <w:szCs w:val="24"/>
          </w:rPr>
          <w:delText>36</w:delText>
        </w:r>
      </w:del>
      <w:r w:rsidRPr="00D93D74">
        <w:rPr>
          <w:rFonts w:cs="Times New Roman"/>
          <w:szCs w:val="24"/>
        </w:rPr>
        <w:t>%)</w:t>
      </w:r>
      <w:ins w:id="885" w:author="Urša Miklavčič [2]" w:date="2026-04-20T16:18:00Z" w16du:dateUtc="2026-04-20T14:18:00Z">
        <w:r w:rsidR="00574911">
          <w:rPr>
            <w:rFonts w:cs="Times New Roman"/>
            <w:szCs w:val="24"/>
          </w:rPr>
          <w:t xml:space="preserve"> were</w:t>
        </w:r>
      </w:ins>
      <w:del w:id="886" w:author="Urša Miklavčič [2]" w:date="2026-04-20T16:18:00Z" w16du:dateUtc="2026-04-20T14:18:00Z">
        <w:r w:rsidRPr="00D93D74" w:rsidDel="00574911">
          <w:rPr>
            <w:rFonts w:cs="Times New Roman"/>
            <w:szCs w:val="24"/>
          </w:rPr>
          <w:delText xml:space="preserve"> ARGs out of all ARGs per individual being</w:delText>
        </w:r>
      </w:del>
      <w:r w:rsidRPr="00D93D74">
        <w:rPr>
          <w:rFonts w:cs="Times New Roman"/>
          <w:szCs w:val="24"/>
        </w:rPr>
        <w:t xml:space="preserve"> consistently present over six months</w:t>
      </w:r>
      <w:del w:id="887" w:author="Urša Miklavčič [2]" w:date="2026-04-21T09:53:00Z" w16du:dateUtc="2026-04-21T07:53:00Z">
        <w:r w:rsidRPr="00D93D74" w:rsidDel="00C701FA">
          <w:rPr>
            <w:rFonts w:cs="Times New Roman"/>
            <w:szCs w:val="24"/>
          </w:rPr>
          <w:delText xml:space="preserve"> in each participant</w:delText>
        </w:r>
      </w:del>
      <w:del w:id="888" w:author="Urša Miklavčič [2]" w:date="2026-04-20T17:04:00Z" w16du:dateUtc="2026-04-20T15:04:00Z">
        <w:r w:rsidRPr="00D93D74" w:rsidDel="008033F7">
          <w:rPr>
            <w:rFonts w:cs="Times New Roman"/>
            <w:szCs w:val="24"/>
          </w:rPr>
          <w:delText xml:space="preserve"> (</w:delText>
        </w:r>
      </w:del>
      <w:del w:id="889" w:author="Urša Miklavčič [2]" w:date="2026-04-20T16:19:00Z" w16du:dateUtc="2026-04-20T14:19:00Z">
        <w:r w:rsidRPr="00D93D74" w:rsidDel="00574911">
          <w:rPr>
            <w:rFonts w:cs="Times New Roman"/>
            <w:szCs w:val="24"/>
          </w:rPr>
          <w:delText>Supplement Figure 23</w:delText>
        </w:r>
      </w:del>
      <w:del w:id="890" w:author="Urša Miklavčič [2]" w:date="2026-04-20T17:04:00Z" w16du:dateUtc="2026-04-20T15:04:00Z">
        <w:r w:rsidRPr="00D93D74" w:rsidDel="008033F7">
          <w:rPr>
            <w:rFonts w:cs="Times New Roman"/>
            <w:szCs w:val="24"/>
          </w:rPr>
          <w:delText>)</w:delText>
        </w:r>
      </w:del>
      <w:r w:rsidRPr="00D93D74">
        <w:rPr>
          <w:rFonts w:cs="Times New Roman"/>
          <w:szCs w:val="24"/>
        </w:rPr>
        <w:t xml:space="preserve">. </w:t>
      </w:r>
      <w:ins w:id="891" w:author="Urša Miklavčič [2]" w:date="2026-04-21T09:53:00Z" w16du:dateUtc="2026-04-21T07:53:00Z">
        <w:r w:rsidR="00C701FA">
          <w:rPr>
            <w:rFonts w:cs="Times New Roman"/>
            <w:szCs w:val="24"/>
          </w:rPr>
          <w:t>Overall, i</w:t>
        </w:r>
      </w:ins>
      <w:ins w:id="892" w:author="Urša Miklavčič [2]" w:date="2026-04-21T09:34:00Z" w16du:dateUtc="2026-04-21T07:34:00Z">
        <w:r w:rsidR="00DB47CB">
          <w:rPr>
            <w:rFonts w:cs="Times New Roman"/>
            <w:szCs w:val="24"/>
          </w:rPr>
          <w:t xml:space="preserve">ndividual characteristics and </w:t>
        </w:r>
      </w:ins>
      <w:ins w:id="893" w:author="Urša Miklavčič [2]" w:date="2026-04-21T09:54:00Z" w16du:dateUtc="2026-04-21T07:54:00Z">
        <w:r w:rsidR="00C701FA">
          <w:rPr>
            <w:rFonts w:cs="Times New Roman"/>
            <w:szCs w:val="24"/>
          </w:rPr>
          <w:t xml:space="preserve">reported </w:t>
        </w:r>
      </w:ins>
      <w:ins w:id="894" w:author="Urša Miklavčič [2]" w:date="2026-04-21T09:34:00Z" w16du:dateUtc="2026-04-21T07:34:00Z">
        <w:r w:rsidR="00DB47CB">
          <w:rPr>
            <w:rFonts w:cs="Times New Roman"/>
            <w:szCs w:val="24"/>
          </w:rPr>
          <w:t xml:space="preserve">life events </w:t>
        </w:r>
      </w:ins>
      <w:ins w:id="895" w:author="Urša Miklavčič [2]" w:date="2026-04-21T09:35:00Z" w16du:dateUtc="2026-04-21T07:35:00Z">
        <w:r w:rsidR="00DB47CB">
          <w:rPr>
            <w:rFonts w:cs="Times New Roman"/>
            <w:szCs w:val="24"/>
          </w:rPr>
          <w:t xml:space="preserve">had limited </w:t>
        </w:r>
      </w:ins>
      <w:ins w:id="896" w:author="Urša Miklavčič [2]" w:date="2026-04-21T09:54:00Z" w16du:dateUtc="2026-04-21T07:54:00Z">
        <w:r w:rsidR="00C701FA">
          <w:rPr>
            <w:rFonts w:cs="Times New Roman"/>
            <w:szCs w:val="24"/>
          </w:rPr>
          <w:t>influence</w:t>
        </w:r>
      </w:ins>
      <w:ins w:id="897" w:author="Urša Miklavčič [2]" w:date="2026-04-21T09:35:00Z" w16du:dateUtc="2026-04-21T07:35:00Z">
        <w:r w:rsidR="00DB47CB">
          <w:rPr>
            <w:rFonts w:cs="Times New Roman"/>
            <w:szCs w:val="24"/>
          </w:rPr>
          <w:t xml:space="preserve"> on diversity </w:t>
        </w:r>
      </w:ins>
      <w:ins w:id="898" w:author="Urša Miklavčič [2]" w:date="2026-04-21T09:54:00Z" w16du:dateUtc="2026-04-21T07:54:00Z">
        <w:r w:rsidR="00C701FA">
          <w:rPr>
            <w:rFonts w:cs="Times New Roman"/>
            <w:szCs w:val="24"/>
          </w:rPr>
          <w:t>and</w:t>
        </w:r>
      </w:ins>
      <w:ins w:id="899" w:author="Urša Miklavčič [2]" w:date="2026-04-21T09:35:00Z" w16du:dateUtc="2026-04-21T07:35:00Z">
        <w:r w:rsidR="00DB47CB">
          <w:rPr>
            <w:rFonts w:cs="Times New Roman"/>
            <w:szCs w:val="24"/>
          </w:rPr>
          <w:t xml:space="preserve"> abundance of ARGs</w:t>
        </w:r>
      </w:ins>
      <w:ins w:id="900" w:author="Urša Miklavčič [2]" w:date="2026-04-21T10:01:00Z" w16du:dateUtc="2026-04-21T08:01:00Z">
        <w:r w:rsidR="00A01C68">
          <w:rPr>
            <w:rFonts w:cs="Times New Roman"/>
            <w:szCs w:val="24"/>
          </w:rPr>
          <w:t xml:space="preserve"> (Figure 16)</w:t>
        </w:r>
      </w:ins>
      <w:ins w:id="901" w:author="Urša Miklavčič [2]" w:date="2026-04-21T09:36:00Z" w16du:dateUtc="2026-04-21T07:36:00Z">
        <w:r w:rsidR="00DB47CB">
          <w:rPr>
            <w:rFonts w:cs="Times New Roman"/>
            <w:szCs w:val="24"/>
          </w:rPr>
          <w:t xml:space="preserve">. </w:t>
        </w:r>
      </w:ins>
      <w:ins w:id="902" w:author="Urša Miklavčič [2]" w:date="2026-04-21T09:54:00Z" w16du:dateUtc="2026-04-21T07:54:00Z">
        <w:r w:rsidR="00C701FA">
          <w:rPr>
            <w:rFonts w:cs="Times New Roman"/>
            <w:szCs w:val="24"/>
          </w:rPr>
          <w:t xml:space="preserve">To </w:t>
        </w:r>
      </w:ins>
      <w:ins w:id="903" w:author="Urša Miklavčič [2]" w:date="2026-04-21T10:01:00Z" w16du:dateUtc="2026-04-21T08:01:00Z">
        <w:r w:rsidR="00A01C68">
          <w:rPr>
            <w:rFonts w:cs="Times New Roman"/>
            <w:szCs w:val="24"/>
          </w:rPr>
          <w:t>assess</w:t>
        </w:r>
      </w:ins>
      <w:ins w:id="904" w:author="Urša Miklavčič [2]" w:date="2026-04-21T09:54:00Z" w16du:dateUtc="2026-04-21T07:54:00Z">
        <w:r w:rsidR="00C701FA">
          <w:rPr>
            <w:rFonts w:cs="Times New Roman"/>
            <w:szCs w:val="24"/>
          </w:rPr>
          <w:t xml:space="preserve"> </w:t>
        </w:r>
      </w:ins>
      <w:ins w:id="905" w:author="Urša Miklavčič [2]" w:date="2026-04-21T10:01:00Z" w16du:dateUtc="2026-04-21T08:01:00Z">
        <w:r w:rsidR="00A01C68">
          <w:rPr>
            <w:rFonts w:cs="Times New Roman"/>
            <w:szCs w:val="24"/>
          </w:rPr>
          <w:t>these effects</w:t>
        </w:r>
      </w:ins>
      <w:ins w:id="906" w:author="Urša Miklavčič [2]" w:date="2026-04-21T09:54:00Z" w16du:dateUtc="2026-04-21T07:54:00Z">
        <w:r w:rsidR="00C701FA">
          <w:rPr>
            <w:rFonts w:cs="Times New Roman"/>
            <w:szCs w:val="24"/>
          </w:rPr>
          <w:t>, we fitted a l</w:t>
        </w:r>
      </w:ins>
      <w:ins w:id="907" w:author="Urša Miklavčič [2]" w:date="2026-04-21T09:36:00Z" w16du:dateUtc="2026-04-21T07:36:00Z">
        <w:r w:rsidR="00DB47CB">
          <w:rPr>
            <w:rFonts w:cs="Times New Roman"/>
            <w:szCs w:val="24"/>
          </w:rPr>
          <w:t>inear mixed-effects model</w:t>
        </w:r>
      </w:ins>
      <w:ins w:id="908" w:author="Urša Miklavčič [2]" w:date="2026-04-21T09:54:00Z" w16du:dateUtc="2026-04-21T07:54:00Z">
        <w:r w:rsidR="00C701FA">
          <w:rPr>
            <w:rFonts w:cs="Times New Roman"/>
            <w:szCs w:val="24"/>
          </w:rPr>
          <w:t>s</w:t>
        </w:r>
      </w:ins>
      <w:ins w:id="909" w:author="Urša Miklavčič [2]" w:date="2026-04-21T09:36:00Z" w16du:dateUtc="2026-04-21T07:36:00Z">
        <w:r w:rsidR="00DB47CB">
          <w:rPr>
            <w:rFonts w:cs="Times New Roman"/>
            <w:szCs w:val="24"/>
          </w:rPr>
          <w:t xml:space="preserve"> including </w:t>
        </w:r>
      </w:ins>
      <w:ins w:id="910" w:author="Urša Miklavčič [2]" w:date="2026-04-21T09:37:00Z" w16du:dateUtc="2026-04-21T07:37:00Z">
        <w:r w:rsidR="00DB47CB">
          <w:rPr>
            <w:rFonts w:cs="Times New Roman"/>
            <w:szCs w:val="24"/>
          </w:rPr>
          <w:t xml:space="preserve">age, height, weight, </w:t>
        </w:r>
        <w:r w:rsidR="00DA61C2">
          <w:rPr>
            <w:rFonts w:cs="Times New Roman"/>
            <w:szCs w:val="24"/>
          </w:rPr>
          <w:t xml:space="preserve">living conditions (urban/rural, flat/house, number of household members), dietary changes, supplement and medication </w:t>
        </w:r>
      </w:ins>
      <w:ins w:id="911" w:author="Urša Miklavčič [2]" w:date="2026-04-21T09:38:00Z" w16du:dateUtc="2026-04-21T07:38:00Z">
        <w:r w:rsidR="00DA61C2">
          <w:rPr>
            <w:rFonts w:cs="Times New Roman"/>
            <w:szCs w:val="24"/>
          </w:rPr>
          <w:t>consumption</w:t>
        </w:r>
      </w:ins>
      <w:ins w:id="912" w:author="Urša Miklavčič [2]" w:date="2026-04-21T09:39:00Z" w16du:dateUtc="2026-04-21T07:39:00Z">
        <w:r w:rsidR="00DA61C2">
          <w:rPr>
            <w:rFonts w:cs="Times New Roman"/>
            <w:szCs w:val="24"/>
          </w:rPr>
          <w:t>, and vaccination,</w:t>
        </w:r>
      </w:ins>
      <w:ins w:id="913" w:author="Urša Miklavčič [2]" w:date="2026-04-21T09:38:00Z" w16du:dateUtc="2026-04-21T07:38:00Z">
        <w:r w:rsidR="00DA61C2">
          <w:rPr>
            <w:rFonts w:cs="Times New Roman"/>
            <w:szCs w:val="24"/>
          </w:rPr>
          <w:t xml:space="preserve"> stress level</w:t>
        </w:r>
      </w:ins>
      <w:ins w:id="914" w:author="Urša Miklavčič [2]" w:date="2026-04-21T09:39:00Z" w16du:dateUtc="2026-04-21T07:39:00Z">
        <w:r w:rsidR="00DA61C2">
          <w:rPr>
            <w:rFonts w:cs="Times New Roman"/>
            <w:szCs w:val="24"/>
          </w:rPr>
          <w:t>, physical activity</w:t>
        </w:r>
      </w:ins>
      <w:ins w:id="915" w:author="Urša Miklavčič [2]" w:date="2026-04-21T09:38:00Z" w16du:dateUtc="2026-04-21T07:38:00Z">
        <w:r w:rsidR="00DA61C2">
          <w:rPr>
            <w:rFonts w:cs="Times New Roman"/>
            <w:szCs w:val="24"/>
          </w:rPr>
          <w:t xml:space="preserve"> and other reported life events such as travel</w:t>
        </w:r>
      </w:ins>
      <w:ins w:id="916" w:author="Urša Miklavčič [2]" w:date="2026-04-21T09:55:00Z" w16du:dateUtc="2026-04-21T07:55:00Z">
        <w:r w:rsidR="00C701FA">
          <w:rPr>
            <w:rFonts w:cs="Times New Roman"/>
            <w:szCs w:val="24"/>
          </w:rPr>
          <w:t xml:space="preserve">, as well as </w:t>
        </w:r>
      </w:ins>
      <w:ins w:id="917" w:author="Urša Miklavčič [2]" w:date="2026-04-21T09:39:00Z" w16du:dateUtc="2026-04-21T07:39:00Z">
        <w:r w:rsidR="00DA61C2">
          <w:rPr>
            <w:rFonts w:cs="Times New Roman"/>
            <w:szCs w:val="24"/>
          </w:rPr>
          <w:t xml:space="preserve">Bristol stool scale </w:t>
        </w:r>
      </w:ins>
      <w:ins w:id="918" w:author="Urša Miklavčič [2]" w:date="2026-04-21T09:55:00Z" w16du:dateUtc="2026-04-21T07:55:00Z">
        <w:r w:rsidR="00C701FA">
          <w:rPr>
            <w:rFonts w:cs="Times New Roman"/>
            <w:szCs w:val="24"/>
          </w:rPr>
          <w:t>scores</w:t>
        </w:r>
      </w:ins>
      <w:ins w:id="919" w:author="Urša Miklavčič [2]" w:date="2026-04-21T09:39:00Z" w16du:dateUtc="2026-04-21T07:39:00Z">
        <w:r w:rsidR="00DA61C2">
          <w:rPr>
            <w:rFonts w:cs="Times New Roman"/>
            <w:szCs w:val="24"/>
          </w:rPr>
          <w:t xml:space="preserve">. </w:t>
        </w:r>
      </w:ins>
    </w:p>
    <w:p w14:paraId="4B2B0180" w14:textId="03D8F5B2" w:rsidR="00A01C68" w:rsidRDefault="00A01C68" w:rsidP="00211C72">
      <w:pPr>
        <w:rPr>
          <w:ins w:id="920" w:author="Urša Miklavčič [2]" w:date="2026-04-21T09:40:00Z" w16du:dateUtc="2026-04-21T07:40:00Z"/>
          <w:rFonts w:cs="Times New Roman"/>
          <w:szCs w:val="24"/>
        </w:rPr>
      </w:pPr>
      <w:ins w:id="921" w:author="Urša Miklavčič [2]" w:date="2026-04-21T10:01:00Z" w16du:dateUtc="2026-04-21T08:01:00Z">
        <w:r>
          <w:rPr>
            <w:rFonts w:cs="Times New Roman"/>
            <w:szCs w:val="24"/>
          </w:rPr>
          <w:t>For ARG diversity (Figure 16A), only a small number of variables showed statistically significant associations. Body weight was negatively associated with ARG richness (estimate = -0.034, p = 0.022), while supplement consumption was associated with increased ARG richness (estimate = 1.14, p = 0.03). No individual supplement category (omega3, proteins etc.) showed significant effect. The random effect of individual explained negligible variance, indicating minimal between individual differences after accounting for covariates.</w:t>
        </w:r>
      </w:ins>
    </w:p>
    <w:p w14:paraId="33D2583A" w14:textId="7094899C" w:rsidR="00C701FA" w:rsidRDefault="00C701FA" w:rsidP="00211C72">
      <w:pPr>
        <w:rPr>
          <w:ins w:id="922" w:author="Urša Miklavčič [2]" w:date="2026-04-21T09:43:00Z" w16du:dateUtc="2026-04-21T07:43:00Z"/>
          <w:rFonts w:cs="Times New Roman"/>
          <w:szCs w:val="24"/>
        </w:rPr>
      </w:pPr>
      <w:ins w:id="923" w:author="Urša Miklavčič [2]" w:date="2026-04-21T09:55:00Z" w16du:dateUtc="2026-04-21T07:55:00Z">
        <w:r>
          <w:rPr>
            <w:rFonts w:cs="Times New Roman"/>
            <w:szCs w:val="24"/>
          </w:rPr>
          <w:t>For ARG abundance</w:t>
        </w:r>
      </w:ins>
      <w:ins w:id="924" w:author="Urša Miklavčič [2]" w:date="2026-04-21T10:02:00Z" w16du:dateUtc="2026-04-21T08:02:00Z">
        <w:r w:rsidR="00A01C68">
          <w:rPr>
            <w:rFonts w:cs="Times New Roman"/>
            <w:szCs w:val="24"/>
          </w:rPr>
          <w:t xml:space="preserve"> (Figure 16B)</w:t>
        </w:r>
      </w:ins>
      <w:ins w:id="925" w:author="Urša Miklavčič [2]" w:date="2026-04-21T09:55:00Z" w16du:dateUtc="2026-04-21T07:55:00Z">
        <w:r>
          <w:rPr>
            <w:rFonts w:cs="Times New Roman"/>
            <w:szCs w:val="24"/>
          </w:rPr>
          <w:t xml:space="preserve">, most variables were </w:t>
        </w:r>
      </w:ins>
      <w:ins w:id="926" w:author="Urša Miklavčič [2]" w:date="2026-04-21T09:41:00Z" w16du:dateUtc="2026-04-21T07:41:00Z">
        <w:r w:rsidR="00DA61C2">
          <w:rPr>
            <w:rFonts w:cs="Times New Roman"/>
            <w:szCs w:val="24"/>
          </w:rPr>
          <w:t>not significantly ass</w:t>
        </w:r>
      </w:ins>
      <w:ins w:id="927" w:author="Urša Miklavčič [2]" w:date="2026-04-21T09:42:00Z" w16du:dateUtc="2026-04-21T07:42:00Z">
        <w:r w:rsidR="00DA61C2">
          <w:rPr>
            <w:rFonts w:cs="Times New Roman"/>
            <w:szCs w:val="24"/>
          </w:rPr>
          <w:t xml:space="preserve">ociated (all p &gt; 0.05), </w:t>
        </w:r>
      </w:ins>
      <w:ins w:id="928" w:author="Urša Miklavčič [2]" w:date="2026-04-21T09:56:00Z" w16du:dateUtc="2026-04-21T07:56:00Z">
        <w:r>
          <w:rPr>
            <w:rFonts w:cs="Times New Roman"/>
            <w:szCs w:val="24"/>
          </w:rPr>
          <w:t>including</w:t>
        </w:r>
      </w:ins>
      <w:ins w:id="929" w:author="Urša Miklavčič [2]" w:date="2026-04-21T09:42:00Z" w16du:dateUtc="2026-04-21T07:42:00Z">
        <w:r w:rsidR="00DA61C2">
          <w:rPr>
            <w:rFonts w:cs="Times New Roman"/>
            <w:szCs w:val="24"/>
          </w:rPr>
          <w:t xml:space="preserve"> predefined events such as illness or antibiotic treatment. </w:t>
        </w:r>
      </w:ins>
      <w:ins w:id="930" w:author="Urša Miklavčič [2]" w:date="2026-04-21T09:57:00Z" w16du:dateUtc="2026-04-21T07:57:00Z">
        <w:r>
          <w:rPr>
            <w:rFonts w:cs="Times New Roman"/>
            <w:szCs w:val="24"/>
          </w:rPr>
          <w:t>Only, v</w:t>
        </w:r>
      </w:ins>
      <w:ins w:id="931" w:author="Urša Miklavčič [2]" w:date="2026-04-21T09:43:00Z" w16du:dateUtc="2026-04-21T07:43:00Z">
        <w:r w:rsidR="00DA61C2">
          <w:rPr>
            <w:rFonts w:cs="Times New Roman"/>
            <w:szCs w:val="24"/>
          </w:rPr>
          <w:t>accination was associated with a modes</w:t>
        </w:r>
      </w:ins>
      <w:ins w:id="932" w:author="Urša Miklavčič [2]" w:date="2026-04-21T09:46:00Z" w16du:dateUtc="2026-04-21T07:46:00Z">
        <w:r w:rsidR="00DA61C2">
          <w:rPr>
            <w:rFonts w:cs="Times New Roman"/>
            <w:szCs w:val="24"/>
          </w:rPr>
          <w:t>t</w:t>
        </w:r>
      </w:ins>
      <w:ins w:id="933" w:author="Urša Miklavčič [2]" w:date="2026-04-21T09:43:00Z" w16du:dateUtc="2026-04-21T07:43:00Z">
        <w:r w:rsidR="00DA61C2">
          <w:rPr>
            <w:rFonts w:cs="Times New Roman"/>
            <w:szCs w:val="24"/>
          </w:rPr>
          <w:t xml:space="preserve"> decrease in ARG abundance (estimate = -61.5, p = 0.031)</w:t>
        </w:r>
      </w:ins>
      <w:ins w:id="934" w:author="Urša Miklavčič [2]" w:date="2026-04-21T09:56:00Z" w16du:dateUtc="2026-04-21T07:56:00Z">
        <w:r>
          <w:rPr>
            <w:rFonts w:cs="Times New Roman"/>
            <w:szCs w:val="24"/>
          </w:rPr>
          <w:t>.</w:t>
        </w:r>
      </w:ins>
      <w:ins w:id="935" w:author="Urša Miklavčič [2]" w:date="2026-04-21T09:43:00Z" w16du:dateUtc="2026-04-21T07:43:00Z">
        <w:r w:rsidR="00DA61C2">
          <w:rPr>
            <w:rFonts w:cs="Times New Roman"/>
            <w:szCs w:val="24"/>
          </w:rPr>
          <w:t xml:space="preserve"> </w:t>
        </w:r>
      </w:ins>
      <w:ins w:id="936" w:author="Urša Miklavčič [2]" w:date="2026-04-21T09:56:00Z" w16du:dateUtc="2026-04-21T07:56:00Z">
        <w:r>
          <w:rPr>
            <w:rFonts w:cs="Times New Roman"/>
            <w:szCs w:val="24"/>
          </w:rPr>
          <w:t xml:space="preserve">However, this effect should be interpreted cautiously </w:t>
        </w:r>
      </w:ins>
      <w:ins w:id="937" w:author="Urša Miklavčič [2]" w:date="2026-04-21T09:57:00Z" w16du:dateUtc="2026-04-21T07:57:00Z">
        <w:r>
          <w:rPr>
            <w:rFonts w:cs="Times New Roman"/>
            <w:szCs w:val="24"/>
          </w:rPr>
          <w:t xml:space="preserve">given the </w:t>
        </w:r>
      </w:ins>
      <w:ins w:id="938" w:author="Urša Miklavčič [2]" w:date="2026-04-21T09:44:00Z" w16du:dateUtc="2026-04-21T07:44:00Z">
        <w:r w:rsidR="00DA61C2">
          <w:rPr>
            <w:rFonts w:cs="Times New Roman"/>
            <w:szCs w:val="24"/>
          </w:rPr>
          <w:t xml:space="preserve">large number of predictors tested. </w:t>
        </w:r>
      </w:ins>
      <w:ins w:id="939" w:author="Urša Miklavčič [2]" w:date="2026-04-21T09:57:00Z" w16du:dateUtc="2026-04-21T07:57:00Z">
        <w:r w:rsidR="00A01C68">
          <w:rPr>
            <w:rFonts w:cs="Times New Roman"/>
            <w:szCs w:val="24"/>
          </w:rPr>
          <w:t>S</w:t>
        </w:r>
      </w:ins>
      <w:ins w:id="940" w:author="Urša Miklavčič [2]" w:date="2026-04-21T09:45:00Z" w16du:dateUtc="2026-04-21T07:45:00Z">
        <w:r w:rsidR="00DA61C2">
          <w:rPr>
            <w:rFonts w:cs="Times New Roman"/>
            <w:szCs w:val="24"/>
          </w:rPr>
          <w:t xml:space="preserve">ubstantial variability </w:t>
        </w:r>
      </w:ins>
      <w:ins w:id="941" w:author="Urša Miklavčič [2]" w:date="2026-04-21T09:57:00Z" w16du:dateUtc="2026-04-21T07:57:00Z">
        <w:r w:rsidR="00A01C68">
          <w:rPr>
            <w:rFonts w:cs="Times New Roman"/>
            <w:szCs w:val="24"/>
          </w:rPr>
          <w:t xml:space="preserve">was observed both </w:t>
        </w:r>
      </w:ins>
      <w:ins w:id="942" w:author="Urša Miklavčič [2]" w:date="2026-04-21T09:45:00Z" w16du:dateUtc="2026-04-21T07:45:00Z">
        <w:r w:rsidR="00DA61C2">
          <w:rPr>
            <w:rFonts w:cs="Times New Roman"/>
            <w:szCs w:val="24"/>
          </w:rPr>
          <w:t xml:space="preserve">between individuals (SD ~ 142) and within </w:t>
        </w:r>
      </w:ins>
      <w:ins w:id="943" w:author="Urša Miklavčič [2]" w:date="2026-04-21T09:58:00Z" w16du:dateUtc="2026-04-21T07:58:00Z">
        <w:r w:rsidR="00A01C68">
          <w:rPr>
            <w:rFonts w:cs="Times New Roman"/>
            <w:szCs w:val="24"/>
          </w:rPr>
          <w:t>i</w:t>
        </w:r>
      </w:ins>
      <w:ins w:id="944" w:author="Urša Miklavčič [2]" w:date="2026-04-21T09:45:00Z" w16du:dateUtc="2026-04-21T07:45:00Z">
        <w:r w:rsidR="00DA61C2">
          <w:rPr>
            <w:rFonts w:cs="Times New Roman"/>
            <w:szCs w:val="24"/>
          </w:rPr>
          <w:t>ndividual</w:t>
        </w:r>
      </w:ins>
      <w:ins w:id="945" w:author="Urša Miklavčič [2]" w:date="2026-04-21T09:58:00Z" w16du:dateUtc="2026-04-21T07:58:00Z">
        <w:r w:rsidR="00A01C68">
          <w:rPr>
            <w:rFonts w:cs="Times New Roman"/>
            <w:szCs w:val="24"/>
          </w:rPr>
          <w:t>s</w:t>
        </w:r>
      </w:ins>
      <w:ins w:id="946" w:author="Urša Miklavčič [2]" w:date="2026-04-21T09:45:00Z" w16du:dateUtc="2026-04-21T07:45:00Z">
        <w:r w:rsidR="00DA61C2">
          <w:rPr>
            <w:rFonts w:cs="Times New Roman"/>
            <w:szCs w:val="24"/>
          </w:rPr>
          <w:t xml:space="preserve"> over time (SD ~ 162), suggesting ARG abundance is highly variable and not well explained by the reported </w:t>
        </w:r>
      </w:ins>
      <w:ins w:id="947" w:author="Urša Miklavčič [2]" w:date="2026-04-21T09:58:00Z" w16du:dateUtc="2026-04-21T07:58:00Z">
        <w:r w:rsidR="00A01C68">
          <w:rPr>
            <w:rFonts w:cs="Times New Roman"/>
            <w:szCs w:val="24"/>
          </w:rPr>
          <w:t>variables</w:t>
        </w:r>
      </w:ins>
      <w:ins w:id="948" w:author="Urša Miklavčič [2]" w:date="2026-04-21T09:46:00Z" w16du:dateUtc="2026-04-21T07:46:00Z">
        <w:r w:rsidR="00DA61C2">
          <w:rPr>
            <w:rFonts w:cs="Times New Roman"/>
            <w:szCs w:val="24"/>
          </w:rPr>
          <w:t xml:space="preserve">. </w:t>
        </w:r>
      </w:ins>
      <w:ins w:id="949" w:author="Urša Miklavčič [2]" w:date="2026-04-21T09:43:00Z" w16du:dateUtc="2026-04-21T07:43:00Z">
        <w:r w:rsidR="00DA61C2">
          <w:rPr>
            <w:rFonts w:cs="Times New Roman"/>
            <w:szCs w:val="24"/>
          </w:rPr>
          <w:t xml:space="preserve"> </w:t>
        </w:r>
      </w:ins>
      <w:ins w:id="950" w:author="Urša Miklavčič [2]" w:date="2026-04-21T09:51:00Z" w16du:dateUtc="2026-04-21T07:51:00Z">
        <w:r>
          <w:rPr>
            <w:rFonts w:cs="Times New Roman"/>
            <w:szCs w:val="24"/>
          </w:rPr>
          <w:t xml:space="preserve">This contrasts </w:t>
        </w:r>
      </w:ins>
      <w:ins w:id="951" w:author="Urša Miklavčič [2]" w:date="2026-04-21T10:00:00Z" w16du:dateUtc="2026-04-21T08:00:00Z">
        <w:r w:rsidR="00A01C68">
          <w:rPr>
            <w:rFonts w:cs="Times New Roman"/>
            <w:szCs w:val="24"/>
          </w:rPr>
          <w:t xml:space="preserve">with the </w:t>
        </w:r>
      </w:ins>
      <w:ins w:id="952" w:author="Urša Miklavčič [2]" w:date="2026-04-21T10:03:00Z" w16du:dateUtc="2026-04-21T08:03:00Z">
        <w:r w:rsidR="00A01C68">
          <w:rPr>
            <w:rFonts w:cs="Times New Roman"/>
            <w:szCs w:val="24"/>
          </w:rPr>
          <w:t>diversity</w:t>
        </w:r>
      </w:ins>
      <w:ins w:id="953" w:author="Urša Miklavčič [2]" w:date="2026-04-21T09:51:00Z" w16du:dateUtc="2026-04-21T07:51:00Z">
        <w:r>
          <w:rPr>
            <w:rFonts w:cs="Times New Roman"/>
            <w:szCs w:val="24"/>
          </w:rPr>
          <w:t xml:space="preserve"> model, where </w:t>
        </w:r>
      </w:ins>
      <w:ins w:id="954" w:author="Urša Miklavčič [2]" w:date="2026-04-21T10:02:00Z" w16du:dateUtc="2026-04-21T08:02:00Z">
        <w:r w:rsidR="00A01C68">
          <w:rPr>
            <w:rFonts w:cs="Times New Roman"/>
            <w:szCs w:val="24"/>
          </w:rPr>
          <w:t>minimal</w:t>
        </w:r>
      </w:ins>
      <w:ins w:id="955" w:author="Urša Miklavčič [2]" w:date="2026-04-21T09:51:00Z" w16du:dateUtc="2026-04-21T07:51:00Z">
        <w:r>
          <w:rPr>
            <w:rFonts w:cs="Times New Roman"/>
            <w:szCs w:val="24"/>
          </w:rPr>
          <w:t xml:space="preserve"> between individual </w:t>
        </w:r>
      </w:ins>
      <w:ins w:id="956" w:author="Urša Miklavčič [2]" w:date="2026-04-21T09:52:00Z" w16du:dateUtc="2026-04-21T07:52:00Z">
        <w:r>
          <w:rPr>
            <w:rFonts w:cs="Times New Roman"/>
            <w:szCs w:val="24"/>
          </w:rPr>
          <w:t xml:space="preserve">variance was observed. </w:t>
        </w:r>
      </w:ins>
    </w:p>
    <w:p w14:paraId="10826C93" w14:textId="04305B3D" w:rsidR="00B06B46" w:rsidRPr="00D93D74" w:rsidRDefault="00211C72" w:rsidP="00211C72">
      <w:pPr>
        <w:rPr>
          <w:rFonts w:cs="Times New Roman"/>
          <w:szCs w:val="24"/>
        </w:rPr>
      </w:pPr>
      <w:del w:id="957" w:author="Urša Miklavčič [2]" w:date="2026-04-20T16:59:00Z" w16du:dateUtc="2026-04-20T14:59:00Z">
        <w:r w:rsidRPr="00D93D74" w:rsidDel="00180BB8">
          <w:rPr>
            <w:rFonts w:cs="Times New Roman"/>
            <w:szCs w:val="24"/>
          </w:rPr>
          <w:delText xml:space="preserve">Individuals who reported </w:delText>
        </w:r>
      </w:del>
      <w:del w:id="958" w:author="Urša Miklavčič [2]" w:date="2026-04-20T16:58:00Z" w16du:dateUtc="2026-04-20T14:58:00Z">
        <w:r w:rsidRPr="00D93D74" w:rsidDel="00180BB8">
          <w:rPr>
            <w:rFonts w:cs="Times New Roman"/>
            <w:szCs w:val="24"/>
          </w:rPr>
          <w:delText>pre</w:delText>
        </w:r>
      </w:del>
      <w:del w:id="959" w:author="Urša Miklavčič [2]" w:date="2026-04-20T16:23:00Z" w16du:dateUtc="2026-04-20T14:23:00Z">
        <w:r w:rsidRPr="00D93D74" w:rsidDel="009F7D92">
          <w:rPr>
            <w:rFonts w:cs="Times New Roman"/>
            <w:szCs w:val="24"/>
          </w:rPr>
          <w:delText>-</w:delText>
        </w:r>
      </w:del>
      <w:del w:id="960" w:author="Urša Miklavčič [2]" w:date="2026-04-20T16:58:00Z" w16du:dateUtc="2026-04-20T14:58:00Z">
        <w:r w:rsidRPr="00D93D74" w:rsidDel="00180BB8">
          <w:rPr>
            <w:rFonts w:cs="Times New Roman"/>
            <w:szCs w:val="24"/>
          </w:rPr>
          <w:delText xml:space="preserve">defined events </w:delText>
        </w:r>
      </w:del>
      <w:del w:id="961" w:author="Urša Miklavčič [2]" w:date="2026-04-21T10:01:00Z" w16du:dateUtc="2026-04-21T08:01:00Z">
        <w:r w:rsidRPr="00D93D74" w:rsidDel="00A01C68">
          <w:rPr>
            <w:rFonts w:cs="Times New Roman"/>
            <w:szCs w:val="24"/>
          </w:rPr>
          <w:delText xml:space="preserve">did not </w:delText>
        </w:r>
      </w:del>
      <w:del w:id="962" w:author="Urša Miklavčič [2]" w:date="2026-04-20T16:59:00Z" w16du:dateUtc="2026-04-20T14:59:00Z">
        <w:r w:rsidRPr="00D93D74" w:rsidDel="00180BB8">
          <w:rPr>
            <w:rFonts w:cs="Times New Roman"/>
            <w:szCs w:val="24"/>
          </w:rPr>
          <w:delText>have higher</w:delText>
        </w:r>
      </w:del>
      <w:del w:id="963" w:author="Urša Miklavčič [2]" w:date="2026-04-21T10:01:00Z" w16du:dateUtc="2026-04-21T08:01:00Z">
        <w:r w:rsidRPr="00D93D74" w:rsidDel="00A01C68">
          <w:rPr>
            <w:rFonts w:cs="Times New Roman"/>
            <w:szCs w:val="24"/>
          </w:rPr>
          <w:delText xml:space="preserve"> abundance </w:delText>
        </w:r>
      </w:del>
      <w:del w:id="964" w:author="Urša Miklavčič [2]" w:date="2026-04-20T17:01:00Z" w16du:dateUtc="2026-04-20T15:01:00Z">
        <w:r w:rsidRPr="00D93D74" w:rsidDel="008033F7">
          <w:rPr>
            <w:rFonts w:cs="Times New Roman"/>
            <w:szCs w:val="24"/>
          </w:rPr>
          <w:delText xml:space="preserve">or diversity </w:delText>
        </w:r>
      </w:del>
      <w:del w:id="965" w:author="Urša Miklavčič [2]" w:date="2026-04-21T10:01:00Z" w16du:dateUtc="2026-04-21T08:01:00Z">
        <w:r w:rsidRPr="00D93D74" w:rsidDel="00A01C68">
          <w:rPr>
            <w:rFonts w:cs="Times New Roman"/>
            <w:szCs w:val="24"/>
          </w:rPr>
          <w:delText>of ARGs,</w:delText>
        </w:r>
      </w:del>
      <w:del w:id="966" w:author="Urša Miklavčič [2]" w:date="2026-04-20T17:00:00Z" w16du:dateUtc="2026-04-20T15:00:00Z">
        <w:r w:rsidRPr="00D93D74" w:rsidDel="00180BB8">
          <w:rPr>
            <w:rFonts w:cs="Times New Roman"/>
            <w:szCs w:val="24"/>
          </w:rPr>
          <w:delText xml:space="preserve"> nor did they have more persistent ARGs</w:delText>
        </w:r>
      </w:del>
      <w:del w:id="967" w:author="Urša Miklavčič [2]" w:date="2026-04-21T10:01:00Z" w16du:dateUtc="2026-04-21T08:01:00Z">
        <w:r w:rsidRPr="00D93D74" w:rsidDel="00A01C68">
          <w:rPr>
            <w:rFonts w:cs="Times New Roman"/>
            <w:szCs w:val="24"/>
          </w:rPr>
          <w:delText xml:space="preserve">. In the six months study interval, we did not detect any true loss or gain of a new ARG within individuals (Supplement Figure </w:delText>
        </w:r>
      </w:del>
      <w:del w:id="968" w:author="Urša Miklavčič [2]" w:date="2026-04-20T16:19:00Z" w16du:dateUtc="2026-04-20T14:19:00Z">
        <w:r w:rsidRPr="00D93D74" w:rsidDel="00574911">
          <w:rPr>
            <w:rFonts w:cs="Times New Roman"/>
            <w:szCs w:val="24"/>
          </w:rPr>
          <w:delText>24</w:delText>
        </w:r>
      </w:del>
      <w:del w:id="969" w:author="Urša Miklavčič [2]" w:date="2026-04-21T10:01:00Z" w16du:dateUtc="2026-04-21T08:01:00Z">
        <w:r w:rsidRPr="00D93D74" w:rsidDel="00A01C68">
          <w:rPr>
            <w:rFonts w:cs="Times New Roman"/>
            <w:szCs w:val="24"/>
          </w:rPr>
          <w:delText>).</w:delText>
        </w:r>
        <w:r w:rsidR="00E03657" w:rsidRPr="00D93D74" w:rsidDel="00A01C68">
          <w:rPr>
            <w:rFonts w:cs="Times New Roman"/>
            <w:szCs w:val="24"/>
          </w:rPr>
          <w:delText>The only decrease in bacterial diversity that could be correlated with a lifestyle change occurred in individual H during antibiotic consumption (amoxicillin, days 70 to 84, Figure 10). Although other individuals also consumed antibiotics (E, day 10, doxycycline), travelled (A, B, C, D, G, H, I), or experienced periods of stress (D, I, G), none of these events influenced bacterial diversity or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correlated positively with bacterial diversity, whereas lincosamide, sulphonamide, trimethoprim, and some macrolide resistance genes correlated negatively (Supplement Figure 25).</w:delText>
        </w:r>
      </w:del>
    </w:p>
    <w:p w14:paraId="0EFE6BF6" w14:textId="70D7E678" w:rsidR="00211C72" w:rsidRPr="00D93D74" w:rsidRDefault="00211C72" w:rsidP="00211C72">
      <w:pPr>
        <w:keepNext/>
      </w:pPr>
      <w:del w:id="970" w:author="Urša Miklavčič [2]" w:date="2026-04-20T17:06:00Z" w16du:dateUtc="2026-04-20T15:06:00Z">
        <w:r w:rsidRPr="00D93D74" w:rsidDel="008033F7">
          <w:rPr>
            <w:rFonts w:cs="Times New Roman"/>
            <w:szCs w:val="24"/>
          </w:rPr>
          <w:lastRenderedPageBreak/>
          <w:delText xml:space="preserve">We observed no significant correlation between reported events and changes in the abundance or diversity of ARGs beyond normal fluctuations within individuals over six months (Figure </w:delText>
        </w:r>
      </w:del>
      <w:del w:id="971" w:author="Urša Miklavčič [2]" w:date="2026-04-20T16:51:00Z" w16du:dateUtc="2026-04-20T14:51:00Z">
        <w:r w:rsidRPr="00D93D74" w:rsidDel="00180BB8">
          <w:rPr>
            <w:rFonts w:cs="Times New Roman"/>
            <w:szCs w:val="24"/>
          </w:rPr>
          <w:delText>22</w:delText>
        </w:r>
      </w:del>
      <w:del w:id="972" w:author="Urša Miklavčič [2]" w:date="2026-04-20T17:06:00Z" w16du:dateUtc="2026-04-20T15:06:00Z">
        <w:r w:rsidRPr="00D93D74" w:rsidDel="008033F7">
          <w:rPr>
            <w:rFonts w:cs="Times New Roman"/>
            <w:szCs w:val="24"/>
          </w:rPr>
          <w:delText xml:space="preserve">). </w:delText>
        </w:r>
      </w:del>
      <w:r w:rsidR="00B8200E">
        <w:rPr>
          <w:rFonts w:cs="Times New Roman"/>
          <w:noProof/>
          <w:szCs w:val="24"/>
        </w:rPr>
        <w:drawing>
          <wp:inline distT="0" distB="0" distL="0" distR="0" wp14:anchorId="20708886" wp14:editId="59F8CE8A">
            <wp:extent cx="5762140" cy="6927011"/>
            <wp:effectExtent l="0" t="0" r="0" b="7620"/>
            <wp:docPr id="554674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5445" cy="6930984"/>
                    </a:xfrm>
                    <a:prstGeom prst="rect">
                      <a:avLst/>
                    </a:prstGeom>
                    <a:noFill/>
                    <a:ln>
                      <a:noFill/>
                    </a:ln>
                  </pic:spPr>
                </pic:pic>
              </a:graphicData>
            </a:graphic>
          </wp:inline>
        </w:drawing>
      </w:r>
    </w:p>
    <w:p w14:paraId="51808712" w14:textId="255B7284" w:rsidR="00211C72" w:rsidRDefault="00211C72" w:rsidP="00211C72">
      <w:pPr>
        <w:pStyle w:val="Napis"/>
        <w:rPr>
          <w:ins w:id="973" w:author="Urša Miklavčič [2]" w:date="2026-04-21T10:24:00Z" w16du:dateUtc="2026-04-21T08:24:00Z"/>
          <w:b w:val="0"/>
          <w:bCs/>
          <w:sz w:val="22"/>
          <w:szCs w:val="22"/>
        </w:rPr>
      </w:pPr>
      <w:bookmarkStart w:id="974" w:name="_Toc216101636"/>
      <w:r w:rsidRPr="00D93D74">
        <w:rPr>
          <w:sz w:val="22"/>
          <w:szCs w:val="22"/>
        </w:rPr>
        <w:t>Figure</w:t>
      </w:r>
      <w:r w:rsidR="00574911">
        <w:rPr>
          <w:sz w:val="22"/>
          <w:szCs w:val="22"/>
        </w:rPr>
        <w:t xml:space="preserve"> 16</w:t>
      </w:r>
      <w:r w:rsidRPr="00D93D74">
        <w:rPr>
          <w:sz w:val="22"/>
          <w:szCs w:val="22"/>
        </w:rPr>
        <w:t xml:space="preserve">. </w:t>
      </w:r>
      <w:ins w:id="975" w:author="Urša Miklavčič [2]" w:date="2026-04-21T10:21:00Z" w16du:dateUtc="2026-04-21T08:21:00Z">
        <w:r w:rsidR="005C4B6B">
          <w:rPr>
            <w:sz w:val="22"/>
            <w:szCs w:val="22"/>
          </w:rPr>
          <w:t xml:space="preserve">Stable ARG </w:t>
        </w:r>
      </w:ins>
      <w:del w:id="976" w:author="Urša Miklavčič [2]" w:date="2026-04-21T10:21:00Z" w16du:dateUtc="2026-04-21T08:21:00Z">
        <w:r w:rsidR="00180BB8" w:rsidDel="005C4B6B">
          <w:rPr>
            <w:sz w:val="22"/>
            <w:szCs w:val="22"/>
          </w:rPr>
          <w:delText>A</w:delText>
        </w:r>
      </w:del>
      <w:ins w:id="977" w:author="Urša Miklavčič [2]" w:date="2026-04-21T10:21:00Z" w16du:dateUtc="2026-04-21T08:21:00Z">
        <w:r w:rsidR="005C4B6B">
          <w:rPr>
            <w:sz w:val="22"/>
            <w:szCs w:val="22"/>
          </w:rPr>
          <w:t>a</w:t>
        </w:r>
      </w:ins>
      <w:r w:rsidR="00180BB8">
        <w:rPr>
          <w:sz w:val="22"/>
          <w:szCs w:val="22"/>
        </w:rPr>
        <w:t>bundance and d</w:t>
      </w:r>
      <w:r w:rsidRPr="00D93D74">
        <w:rPr>
          <w:sz w:val="22"/>
          <w:szCs w:val="22"/>
        </w:rPr>
        <w:t xml:space="preserve">iversity </w:t>
      </w:r>
      <w:del w:id="978" w:author="Urša Miklavčič [2]" w:date="2026-04-21T10:21:00Z" w16du:dateUtc="2026-04-21T08:21:00Z">
        <w:r w:rsidRPr="00D93D74" w:rsidDel="005C4B6B">
          <w:rPr>
            <w:sz w:val="22"/>
            <w:szCs w:val="22"/>
          </w:rPr>
          <w:delText xml:space="preserve">of ARG classes </w:delText>
        </w:r>
      </w:del>
      <w:r w:rsidRPr="00D93D74">
        <w:rPr>
          <w:sz w:val="22"/>
          <w:szCs w:val="22"/>
        </w:rPr>
        <w:t xml:space="preserve">over time within each participant. </w:t>
      </w:r>
      <w:r w:rsidRPr="00D93D74">
        <w:rPr>
          <w:b w:val="0"/>
          <w:bCs/>
          <w:sz w:val="22"/>
          <w:szCs w:val="22"/>
        </w:rPr>
        <w:t>Shown are the classes with more than five unique ARGs, reducing the number of ARGs to 86 and leaving 7 ARG classes.</w:t>
      </w:r>
      <w:bookmarkEnd w:id="974"/>
      <w:r w:rsidR="00B8200E">
        <w:rPr>
          <w:b w:val="0"/>
          <w:bCs/>
          <w:sz w:val="22"/>
          <w:szCs w:val="22"/>
        </w:rPr>
        <w:t xml:space="preserve"> </w:t>
      </w:r>
      <w:r w:rsidRPr="00D93D74">
        <w:rPr>
          <w:b w:val="0"/>
          <w:bCs/>
          <w:sz w:val="22"/>
          <w:szCs w:val="22"/>
        </w:rPr>
        <w:t xml:space="preserve">Each plot depicts one participant (labelled with capital letters A to I), with days on the x-axis indicating when stool samples were collected. Vertical coloured lines indicate out-of-the-ordinary events reported by participants in their questionnaires.  </w:t>
      </w:r>
    </w:p>
    <w:p w14:paraId="23A07271" w14:textId="77777777" w:rsidR="00186AC8" w:rsidRPr="00186AC8" w:rsidRDefault="00186AC8">
      <w:pPr>
        <w:rPr>
          <w:ins w:id="979" w:author="Urša Miklavčič [2]" w:date="2026-04-21T10:04:00Z" w16du:dateUtc="2026-04-21T08:04:00Z"/>
          <w:b/>
          <w:rPrChange w:id="980" w:author="Urša Miklavčič [2]" w:date="2026-04-21T10:24:00Z" w16du:dateUtc="2026-04-21T08:24:00Z">
            <w:rPr>
              <w:ins w:id="981" w:author="Urša Miklavčič [2]" w:date="2026-04-21T10:04:00Z" w16du:dateUtc="2026-04-21T08:04:00Z"/>
              <w:b w:val="0"/>
              <w:bCs/>
              <w:sz w:val="22"/>
              <w:szCs w:val="22"/>
            </w:rPr>
          </w:rPrChange>
        </w:rPr>
        <w:pPrChange w:id="982" w:author="Urša Miklavčič [2]" w:date="2026-04-21T10:24:00Z" w16du:dateUtc="2026-04-21T08:24:00Z">
          <w:pPr>
            <w:pStyle w:val="Napis"/>
          </w:pPr>
        </w:pPrChange>
      </w:pPr>
    </w:p>
    <w:p w14:paraId="5BF87901" w14:textId="1CA420D9" w:rsidR="002D3B69" w:rsidRDefault="002D3B69" w:rsidP="008B0133">
      <w:pPr>
        <w:rPr>
          <w:ins w:id="983" w:author="Urša Miklavčič [2]" w:date="2026-04-21T10:15:00Z" w16du:dateUtc="2026-04-21T08:15:00Z"/>
        </w:rPr>
      </w:pPr>
      <w:ins w:id="984" w:author="Urša Miklavčič [2]" w:date="2026-04-21T10:12:00Z" w16du:dateUtc="2026-04-21T08:12:00Z">
        <w:r>
          <w:lastRenderedPageBreak/>
          <w:t>Bacterial diversity (Shannon diversity index) showed no consistent association with ARG diversity across samples</w:t>
        </w:r>
      </w:ins>
      <w:ins w:id="985" w:author="Urša Miklavčič [2]" w:date="2026-04-21T10:18:00Z" w16du:dateUtc="2026-04-21T08:18:00Z">
        <w:r>
          <w:t xml:space="preserve">, </w:t>
        </w:r>
      </w:ins>
      <w:ins w:id="986" w:author="Urša Miklavčič [2]" w:date="2026-04-21T10:13:00Z" w16du:dateUtc="2026-04-21T08:13:00Z">
        <w:r>
          <w:t xml:space="preserve">after accounting for </w:t>
        </w:r>
      </w:ins>
      <w:ins w:id="987" w:author="Urša Miklavčič [2]" w:date="2026-04-21T10:14:00Z" w16du:dateUtc="2026-04-21T08:14:00Z">
        <w:r>
          <w:t>repeated</w:t>
        </w:r>
      </w:ins>
      <w:ins w:id="988" w:author="Urša Miklavčič [2]" w:date="2026-04-21T10:13:00Z" w16du:dateUtc="2026-04-21T08:13:00Z">
        <w:r>
          <w:t xml:space="preserve"> measures and ARG class structure</w:t>
        </w:r>
      </w:ins>
      <w:ins w:id="989" w:author="Urša Miklavčič [2]" w:date="2026-04-21T10:18:00Z" w16du:dateUtc="2026-04-21T08:18:00Z">
        <w:r>
          <w:t xml:space="preserve"> (Figure 17A). T</w:t>
        </w:r>
      </w:ins>
      <w:ins w:id="990" w:author="Urša Miklavčič [2]" w:date="2026-04-21T10:15:00Z" w16du:dateUtc="2026-04-21T08:15:00Z">
        <w:r>
          <w:t xml:space="preserve">hough </w:t>
        </w:r>
      </w:ins>
      <w:ins w:id="991" w:author="Urša Miklavčič [2]" w:date="2026-04-21T10:14:00Z" w16du:dateUtc="2026-04-21T08:14:00Z">
        <w:r>
          <w:t xml:space="preserve">there are substantial differences in baseline richness </w:t>
        </w:r>
      </w:ins>
      <w:ins w:id="992" w:author="Urša Miklavčič [2]" w:date="2026-04-21T10:15:00Z" w16du:dateUtc="2026-04-21T08:15:00Z">
        <w:r>
          <w:t xml:space="preserve">between ARG classes. </w:t>
        </w:r>
      </w:ins>
    </w:p>
    <w:p w14:paraId="1BC4A157" w14:textId="2ECD0108" w:rsidR="002D3B69" w:rsidRDefault="002D3B69" w:rsidP="008B0133">
      <w:pPr>
        <w:rPr>
          <w:ins w:id="993" w:author="Urša Miklavčič [2]" w:date="2026-04-21T10:24:00Z" w16du:dateUtc="2026-04-21T08:24:00Z"/>
        </w:rPr>
      </w:pPr>
      <w:ins w:id="994" w:author="Urša Miklavčič [2]" w:date="2026-04-21T10:15:00Z" w16du:dateUtc="2026-04-21T08:15:00Z">
        <w:r w:rsidRPr="002D3B69">
          <w:t xml:space="preserve">When </w:t>
        </w:r>
        <w:r>
          <w:t>lookin</w:t>
        </w:r>
      </w:ins>
      <w:ins w:id="995" w:author="Urša Miklavčič [2]" w:date="2026-04-21T10:16:00Z" w16du:dateUtc="2026-04-21T08:16:00Z">
        <w:r>
          <w:t>g into</w:t>
        </w:r>
      </w:ins>
      <w:ins w:id="996" w:author="Urša Miklavčič [2]" w:date="2026-04-21T10:15:00Z" w16du:dateUtc="2026-04-21T08:15:00Z">
        <w:r w:rsidRPr="002D3B69">
          <w:t xml:space="preserve"> ARG abundance (log₁₀ TPM), a different pattern emerged</w:t>
        </w:r>
      </w:ins>
      <w:ins w:id="997" w:author="Urša Miklavčič [2]" w:date="2026-04-21T10:17:00Z" w16du:dateUtc="2026-04-21T08:17:00Z">
        <w:r>
          <w:t xml:space="preserve"> (Figure 17B)</w:t>
        </w:r>
      </w:ins>
      <w:ins w:id="998" w:author="Urša Miklavčič [2]" w:date="2026-04-21T10:16:00Z" w16du:dateUtc="2026-04-21T08:16:00Z">
        <w:r>
          <w:t>. A</w:t>
        </w:r>
      </w:ins>
      <w:ins w:id="999" w:author="Urša Miklavčič [2]" w:date="2026-04-21T10:15:00Z" w16du:dateUtc="2026-04-21T08:15:00Z">
        <w:r w:rsidRPr="002D3B69">
          <w:t xml:space="preserve">lthough no overall association between Shannon diversity and ARG abundance was detected, significant class-dependent interactions were observed. Specifically, the relationship between bacterial diversity and ARG abundance varied in both magnitude and direction across ARG classes, with some classes exhibiting positive associations </w:t>
        </w:r>
      </w:ins>
      <w:ins w:id="1000" w:author="Urša Miklavčič [2]" w:date="2026-04-21T10:17:00Z" w16du:dateUtc="2026-04-21T08:17:00Z">
        <w:r>
          <w:t xml:space="preserve">(lincosamide/macrolide/streptogramin) </w:t>
        </w:r>
      </w:ins>
      <w:ins w:id="1001" w:author="Urša Miklavčič [2]" w:date="2026-04-21T10:15:00Z" w16du:dateUtc="2026-04-21T08:15:00Z">
        <w:r w:rsidRPr="002D3B69">
          <w:t xml:space="preserve">and others negative associations </w:t>
        </w:r>
      </w:ins>
      <w:ins w:id="1002" w:author="Urša Miklavčič [2]" w:date="2026-04-21T10:17:00Z" w16du:dateUtc="2026-04-21T08:17:00Z">
        <w:r>
          <w:t xml:space="preserve">(macrolide and trimethoprim) </w:t>
        </w:r>
      </w:ins>
      <w:ins w:id="1003" w:author="Urša Miklavčič [2]" w:date="2026-04-21T10:15:00Z" w16du:dateUtc="2026-04-21T08:15:00Z">
        <w:r w:rsidRPr="002D3B69">
          <w:t>with increasing Shannon diversity.</w:t>
        </w:r>
      </w:ins>
    </w:p>
    <w:p w14:paraId="1448DA4D" w14:textId="77777777" w:rsidR="00186AC8" w:rsidRDefault="00186AC8" w:rsidP="008B0133">
      <w:pPr>
        <w:rPr>
          <w:ins w:id="1004" w:author="Urša Miklavčič [2]" w:date="2026-04-21T10:15:00Z" w16du:dateUtc="2026-04-21T08:15:00Z"/>
        </w:rPr>
      </w:pPr>
    </w:p>
    <w:p w14:paraId="6F6FAD32" w14:textId="12E726F0" w:rsidR="00791A51" w:rsidRPr="008B0133" w:rsidDel="002D3B69" w:rsidRDefault="00791A51">
      <w:pPr>
        <w:rPr>
          <w:del w:id="1005" w:author="Urša Miklavčič [2]" w:date="2026-04-21T10:12:00Z" w16du:dateUtc="2026-04-21T08:12:00Z"/>
          <w:b/>
          <w:rPrChange w:id="1006" w:author="Urša Miklavčič [2]" w:date="2026-04-21T10:04:00Z" w16du:dateUtc="2026-04-21T08:04:00Z">
            <w:rPr>
              <w:del w:id="1007" w:author="Urša Miklavčič [2]" w:date="2026-04-21T10:12:00Z" w16du:dateUtc="2026-04-21T08:12:00Z"/>
              <w:b w:val="0"/>
              <w:bCs/>
              <w:sz w:val="22"/>
              <w:szCs w:val="22"/>
            </w:rPr>
          </w:rPrChange>
        </w:rPr>
        <w:pPrChange w:id="1008" w:author="Urša Miklavčič [2]" w:date="2026-04-21T10:04:00Z" w16du:dateUtc="2026-04-21T08:04:00Z">
          <w:pPr>
            <w:pStyle w:val="Napis"/>
          </w:pPr>
        </w:pPrChange>
      </w:pPr>
    </w:p>
    <w:p w14:paraId="6456E21F" w14:textId="5F335901" w:rsidR="00B8200E" w:rsidDel="008B0133" w:rsidRDefault="00B8200E" w:rsidP="00180BB8">
      <w:pPr>
        <w:rPr>
          <w:del w:id="1009" w:author="Urša Miklavčič [2]" w:date="2026-04-21T10:03:00Z" w16du:dateUtc="2026-04-21T08:03:00Z"/>
          <w:rFonts w:cs="Times New Roman"/>
          <w:szCs w:val="24"/>
        </w:rPr>
      </w:pPr>
    </w:p>
    <w:p w14:paraId="520D57BF" w14:textId="0CEBDB42" w:rsidR="00256E34" w:rsidRPr="00256E34" w:rsidRDefault="00256E34" w:rsidP="002A1897">
      <w:pPr>
        <w:rPr>
          <w:ins w:id="1010" w:author="Urša Miklavčič [2]" w:date="2026-04-20T17:36:00Z" w16du:dateUtc="2026-04-20T15:36:00Z"/>
        </w:rPr>
      </w:pPr>
      <w:r>
        <w:rPr>
          <w:noProof/>
        </w:rPr>
        <w:drawing>
          <wp:inline distT="0" distB="0" distL="0" distR="0" wp14:anchorId="0D4FD630" wp14:editId="508E0D61">
            <wp:extent cx="5788325" cy="6183339"/>
            <wp:effectExtent l="0" t="0" r="3175" b="8255"/>
            <wp:docPr id="1906544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1140"/>
                    <a:stretch>
                      <a:fillRect/>
                    </a:stretch>
                  </pic:blipFill>
                  <pic:spPr bwMode="auto">
                    <a:xfrm>
                      <a:off x="0" y="0"/>
                      <a:ext cx="5797924" cy="6193593"/>
                    </a:xfrm>
                    <a:prstGeom prst="rect">
                      <a:avLst/>
                    </a:prstGeom>
                    <a:noFill/>
                    <a:ln>
                      <a:noFill/>
                    </a:ln>
                    <a:extLst>
                      <a:ext uri="{53640926-AAD7-44D8-BBD7-CCE9431645EC}">
                        <a14:shadowObscured xmlns:a14="http://schemas.microsoft.com/office/drawing/2010/main"/>
                      </a:ext>
                    </a:extLst>
                  </pic:spPr>
                </pic:pic>
              </a:graphicData>
            </a:graphic>
          </wp:inline>
        </w:drawing>
      </w:r>
    </w:p>
    <w:p w14:paraId="4AB25CD3" w14:textId="18A517E8" w:rsidR="00E904D0" w:rsidRPr="00D93D74" w:rsidRDefault="00256E34" w:rsidP="00E9210E">
      <w:pPr>
        <w:pStyle w:val="Napis"/>
        <w:rPr>
          <w:rFonts w:cs="Times New Roman"/>
          <w:szCs w:val="24"/>
        </w:rPr>
      </w:pPr>
      <w:r>
        <w:t xml:space="preserve">Figure 17. </w:t>
      </w:r>
      <w:ins w:id="1011" w:author="Urša Miklavčič [2]" w:date="2026-04-21T10:21:00Z" w16du:dateUtc="2026-04-21T08:21:00Z">
        <w:r w:rsidR="005C4B6B">
          <w:t>Relationship between b</w:t>
        </w:r>
      </w:ins>
      <w:ins w:id="1012" w:author="Urša Miklavčič [2]" w:date="2026-04-21T10:09:00Z" w16du:dateUtc="2026-04-21T08:09:00Z">
        <w:r w:rsidR="00FF0C81">
          <w:t xml:space="preserve">acterial diversity </w:t>
        </w:r>
      </w:ins>
      <w:ins w:id="1013" w:author="Urša Miklavčič [2]" w:date="2026-04-21T10:21:00Z" w16du:dateUtc="2026-04-21T08:21:00Z">
        <w:r w:rsidR="005C4B6B">
          <w:t>and</w:t>
        </w:r>
      </w:ins>
      <w:ins w:id="1014" w:author="Urša Miklavčič [2]" w:date="2026-04-21T10:10:00Z" w16du:dateUtc="2026-04-21T08:10:00Z">
        <w:r w:rsidR="00FF0C81">
          <w:t xml:space="preserve"> ARG abundance and diversity </w:t>
        </w:r>
      </w:ins>
      <w:ins w:id="1015" w:author="Urša Miklavčič [2]" w:date="2026-04-21T10:21:00Z" w16du:dateUtc="2026-04-21T08:21:00Z">
        <w:r w:rsidR="005C4B6B">
          <w:t>vary by ARG class</w:t>
        </w:r>
      </w:ins>
      <w:ins w:id="1016" w:author="Urša Miklavčič [2]" w:date="2026-04-21T10:03:00Z" w16du:dateUtc="2026-04-21T08:03:00Z">
        <w:r w:rsidR="008B0133" w:rsidRPr="00D93D74">
          <w:rPr>
            <w:sz w:val="22"/>
            <w:szCs w:val="22"/>
          </w:rPr>
          <w:t xml:space="preserve">. </w:t>
        </w:r>
      </w:ins>
      <w:ins w:id="1017" w:author="Urša Miklavčič [2]" w:date="2026-04-21T10:22:00Z" w16du:dateUtc="2026-04-21T08:22:00Z">
        <w:r w:rsidR="005C4B6B">
          <w:rPr>
            <w:b w:val="0"/>
            <w:bCs/>
            <w:sz w:val="22"/>
            <w:szCs w:val="22"/>
          </w:rPr>
          <w:t>Only ARG classes with more than 5 unique ARGs are included</w:t>
        </w:r>
      </w:ins>
      <w:ins w:id="1018" w:author="Urša Miklavčič [2]" w:date="2026-04-21T10:03:00Z" w16du:dateUtc="2026-04-21T08:03:00Z">
        <w:r w:rsidR="008B0133" w:rsidRPr="00D93D74">
          <w:rPr>
            <w:b w:val="0"/>
            <w:bCs/>
            <w:sz w:val="22"/>
            <w:szCs w:val="22"/>
          </w:rPr>
          <w:t xml:space="preserve">, reducing the number of ARGs to 86 </w:t>
        </w:r>
      </w:ins>
      <w:ins w:id="1019" w:author="Urša Miklavčič [2]" w:date="2026-04-21T10:22:00Z" w16du:dateUtc="2026-04-21T08:22:00Z">
        <w:r w:rsidR="005C4B6B">
          <w:rPr>
            <w:b w:val="0"/>
            <w:bCs/>
            <w:sz w:val="22"/>
            <w:szCs w:val="22"/>
          </w:rPr>
          <w:t>across</w:t>
        </w:r>
      </w:ins>
      <w:ins w:id="1020" w:author="Urša Miklavčič [2]" w:date="2026-04-21T10:03:00Z" w16du:dateUtc="2026-04-21T08:03:00Z">
        <w:r w:rsidR="008B0133" w:rsidRPr="00D93D74">
          <w:rPr>
            <w:b w:val="0"/>
            <w:bCs/>
            <w:sz w:val="22"/>
            <w:szCs w:val="22"/>
          </w:rPr>
          <w:t xml:space="preserve"> 7 classes.</w:t>
        </w:r>
        <w:r w:rsidR="008B0133">
          <w:rPr>
            <w:b w:val="0"/>
            <w:bCs/>
            <w:sz w:val="22"/>
            <w:szCs w:val="22"/>
          </w:rPr>
          <w:t xml:space="preserve"> </w:t>
        </w:r>
      </w:ins>
      <w:ins w:id="1021" w:author="Urša Miklavčič [2]" w:date="2026-04-21T10:23:00Z" w16du:dateUtc="2026-04-21T08:23:00Z">
        <w:r w:rsidR="005C4B6B">
          <w:rPr>
            <w:b w:val="0"/>
            <w:bCs/>
            <w:sz w:val="22"/>
            <w:szCs w:val="22"/>
          </w:rPr>
          <w:t xml:space="preserve">Each panel shows </w:t>
        </w:r>
        <w:r w:rsidR="005C4B6B" w:rsidRPr="005C4B6B">
          <w:rPr>
            <w:b w:val="0"/>
            <w:bCs/>
            <w:sz w:val="22"/>
            <w:szCs w:val="22"/>
          </w:rPr>
          <w:t xml:space="preserve">the association between Shannon diversity (calculated from species-level abundance data) and either A) ARG diversity (number of unique ARGs) or B) ARG abundance (log-transformed TPM) for a given ARG class. Lines represent </w:t>
        </w:r>
        <w:r w:rsidR="005C4B6B">
          <w:rPr>
            <w:b w:val="0"/>
            <w:bCs/>
            <w:sz w:val="22"/>
            <w:szCs w:val="22"/>
          </w:rPr>
          <w:t xml:space="preserve">linear </w:t>
        </w:r>
      </w:ins>
      <w:ins w:id="1022" w:author="Urša Miklavčič [2]" w:date="2026-04-21T10:35:00Z" w16du:dateUtc="2026-04-21T08:35:00Z">
        <w:r w:rsidR="002846F5">
          <w:rPr>
            <w:b w:val="0"/>
            <w:bCs/>
            <w:sz w:val="22"/>
            <w:szCs w:val="22"/>
          </w:rPr>
          <w:t>association</w:t>
        </w:r>
      </w:ins>
      <w:ins w:id="1023" w:author="Urša Miklavčič [2]" w:date="2026-04-21T10:23:00Z" w16du:dateUtc="2026-04-21T08:23:00Z">
        <w:r w:rsidR="005C4B6B">
          <w:rPr>
            <w:b w:val="0"/>
            <w:bCs/>
            <w:sz w:val="22"/>
            <w:szCs w:val="22"/>
          </w:rPr>
          <w:t xml:space="preserve">, with p </w:t>
        </w:r>
        <w:r w:rsidR="005C4B6B" w:rsidRPr="005C4B6B">
          <w:rPr>
            <w:b w:val="0"/>
            <w:bCs/>
            <w:sz w:val="22"/>
            <w:szCs w:val="22"/>
          </w:rPr>
          <w:t>values from linear mixed-effects models with individual included as a random effect</w:t>
        </w:r>
      </w:ins>
      <w:ins w:id="1024" w:author="Urša Miklavčič [2]" w:date="2026-04-21T10:24:00Z" w16du:dateUtc="2026-04-21T08:24:00Z">
        <w:r w:rsidR="005C4B6B">
          <w:rPr>
            <w:b w:val="0"/>
            <w:bCs/>
            <w:sz w:val="22"/>
            <w:szCs w:val="22"/>
          </w:rPr>
          <w:t xml:space="preserve"> and ARG class and time as fixed values.</w:t>
        </w:r>
      </w:ins>
      <w:r w:rsidR="00E904D0" w:rsidRPr="00D93D74">
        <w:br w:type="page"/>
      </w:r>
    </w:p>
    <w:p w14:paraId="42BC8F81" w14:textId="1813521B" w:rsidR="00CD77AB" w:rsidRPr="00D93D74" w:rsidRDefault="00C65827">
      <w:pPr>
        <w:pStyle w:val="Naslov2"/>
        <w:numPr>
          <w:ilvl w:val="1"/>
          <w:numId w:val="3"/>
        </w:numPr>
      </w:pPr>
      <w:bookmarkStart w:id="1025" w:name="_Toc212712217"/>
      <w:bookmarkStart w:id="1026" w:name="_Toc216099754"/>
      <w:bookmarkStart w:id="1027" w:name="_Toc220932877"/>
      <w:bookmarkStart w:id="1028" w:name="_Toc228252048"/>
      <w:r w:rsidRPr="00D93D74">
        <w:lastRenderedPageBreak/>
        <w:t xml:space="preserve">CULTIVATION AND MOLECULAR CHARACTERIZATION OF THE REPRESENTATIVE </w:t>
      </w:r>
      <w:r w:rsidR="00386B8B" w:rsidRPr="00D93D74">
        <w:t>SPORE-FORMING SPECIES</w:t>
      </w:r>
      <w:bookmarkEnd w:id="1025"/>
      <w:bookmarkEnd w:id="1026"/>
      <w:bookmarkEnd w:id="1027"/>
      <w:bookmarkEnd w:id="1028"/>
    </w:p>
    <w:p w14:paraId="5C9D8AD5" w14:textId="1E0BDE47" w:rsidR="00007F32" w:rsidRPr="00D93D74" w:rsidRDefault="00007F32" w:rsidP="00007F32">
      <w:r w:rsidRPr="00D93D74">
        <w:t xml:space="preserve">This analysis was done on three stool samples of a single participant. Participant H consumed amoxicillin, a broad-spectrum penicillin, midway through the study from day 70 to 84. During this period bacterial diversity and normalised abundance decreased, and sporulation frequency across </w:t>
      </w:r>
      <w:del w:id="1029" w:author="Urša Miklavčič [2]" w:date="2026-04-21T10:36:00Z" w16du:dateUtc="2026-04-21T08:36:00Z">
        <w:r w:rsidRPr="00D93D74" w:rsidDel="002846F5">
          <w:delText xml:space="preserve">OTUs </w:delText>
        </w:r>
      </w:del>
      <w:ins w:id="1030" w:author="Urša Miklavčič [2]" w:date="2026-04-21T10:36:00Z" w16du:dateUtc="2026-04-21T08:36:00Z">
        <w:r w:rsidR="002846F5">
          <w:t>taxa</w:t>
        </w:r>
        <w:r w:rsidR="002846F5" w:rsidRPr="00D93D74">
          <w:t xml:space="preserve"> </w:t>
        </w:r>
      </w:ins>
      <w:r w:rsidRPr="00D93D74">
        <w:t>was significantly higher than in other participants. This made participant H an informative case for investigating strain dynamics of selected spore-forming species. Spore-forming bacteria were isolated from three time points: one month before, during, and one month after antibiotic use.</w:t>
      </w:r>
    </w:p>
    <w:p w14:paraId="0D08AA24" w14:textId="77777777" w:rsidR="00542F69" w:rsidRPr="00D93D74" w:rsidRDefault="00542F69" w:rsidP="00542F69"/>
    <w:p w14:paraId="0B2EB257" w14:textId="4DE4F838" w:rsidR="00CD77AB" w:rsidRPr="00D93D74" w:rsidRDefault="00CD77AB">
      <w:pPr>
        <w:pStyle w:val="Naslov3"/>
        <w:numPr>
          <w:ilvl w:val="2"/>
          <w:numId w:val="3"/>
        </w:numPr>
      </w:pPr>
      <w:bookmarkStart w:id="1031" w:name="_Toc212712218"/>
      <w:bookmarkStart w:id="1032" w:name="_Toc216099755"/>
      <w:bookmarkStart w:id="1033" w:name="_Toc220932878"/>
      <w:bookmarkStart w:id="1034" w:name="_Toc228252049"/>
      <w:r w:rsidRPr="00D93D74">
        <w:t xml:space="preserve">Cultivation </w:t>
      </w:r>
      <w:r w:rsidR="00DC1E07" w:rsidRPr="00D93D74">
        <w:t xml:space="preserve">and </w:t>
      </w:r>
      <w:ins w:id="1035" w:author="Urša Miklavčič [2]" w:date="2026-04-21T10:37:00Z" w16du:dateUtc="2026-04-21T08:37:00Z">
        <w:r w:rsidR="002846F5">
          <w:t xml:space="preserve">whole-genome </w:t>
        </w:r>
      </w:ins>
      <w:r w:rsidR="00DC1E07" w:rsidRPr="00D93D74">
        <w:t xml:space="preserve">sequencing </w:t>
      </w:r>
      <w:r w:rsidRPr="00D93D74">
        <w:t xml:space="preserve">of </w:t>
      </w:r>
      <w:r w:rsidR="00DC1E07" w:rsidRPr="00D93D74">
        <w:t xml:space="preserve">selected </w:t>
      </w:r>
      <w:r w:rsidRPr="00D93D74">
        <w:t xml:space="preserve">spore-forming species from ethanol </w:t>
      </w:r>
      <w:r w:rsidR="00542F69" w:rsidRPr="00D93D74">
        <w:t>treated</w:t>
      </w:r>
      <w:r w:rsidRPr="00D93D74">
        <w:t xml:space="preserve"> </w:t>
      </w:r>
      <w:r w:rsidR="00DC1E07" w:rsidRPr="00D93D74">
        <w:t xml:space="preserve">stool </w:t>
      </w:r>
      <w:r w:rsidRPr="00D93D74">
        <w:t>samples</w:t>
      </w:r>
      <w:bookmarkEnd w:id="1031"/>
      <w:bookmarkEnd w:id="1032"/>
      <w:bookmarkEnd w:id="1033"/>
      <w:bookmarkEnd w:id="1034"/>
    </w:p>
    <w:p w14:paraId="050FA288" w14:textId="16B74DB2" w:rsidR="009634C0" w:rsidRPr="00D93D74" w:rsidDel="002846F5" w:rsidRDefault="00651A38" w:rsidP="00CD77AB">
      <w:pPr>
        <w:rPr>
          <w:del w:id="1036" w:author="Urša Miklavčič [2]" w:date="2026-04-21T10:38:00Z" w16du:dateUtc="2026-04-21T08:38:00Z"/>
          <w:rFonts w:cs="Times New Roman"/>
          <w:szCs w:val="24"/>
        </w:rPr>
      </w:pPr>
      <w:r w:rsidRPr="00D93D74">
        <w:rPr>
          <w:rFonts w:cs="Times New Roman"/>
          <w:szCs w:val="24"/>
        </w:rPr>
        <w:t xml:space="preserve">Pre-, mid- and post-antibiotic stool samples of participant H (H005, H007, H009 respectively) were exposed </w:t>
      </w:r>
      <w:r w:rsidR="00CD77AB" w:rsidRPr="00D93D74">
        <w:rPr>
          <w:rFonts w:cs="Times New Roman"/>
          <w:szCs w:val="24"/>
        </w:rPr>
        <w:t>to ethanol shock</w:t>
      </w:r>
      <w:ins w:id="1037" w:author="Urša Miklavčič [2]" w:date="2026-04-21T10:37:00Z" w16du:dateUtc="2026-04-21T08:37:00Z">
        <w:r w:rsidR="002846F5">
          <w:rPr>
            <w:rFonts w:cs="Times New Roman"/>
            <w:szCs w:val="24"/>
          </w:rPr>
          <w:t xml:space="preserve">. </w:t>
        </w:r>
      </w:ins>
      <w:del w:id="1038" w:author="Urša Miklavčič [2]" w:date="2026-04-21T10:37:00Z" w16du:dateUtc="2026-04-21T08:37:00Z">
        <w:r w:rsidR="008B2A44" w:rsidRPr="00D93D74" w:rsidDel="002846F5">
          <w:rPr>
            <w:rFonts w:cs="Times New Roman"/>
            <w:szCs w:val="24"/>
          </w:rPr>
          <w:delText xml:space="preserve"> and </w:delText>
        </w:r>
      </w:del>
      <w:del w:id="1039" w:author="Urša Miklavčič [2]" w:date="2026-04-21T10:38:00Z" w16du:dateUtc="2026-04-21T08:38:00Z">
        <w:r w:rsidR="008B2A44" w:rsidRPr="00D93D74" w:rsidDel="002846F5">
          <w:rPr>
            <w:rFonts w:cs="Times New Roman"/>
            <w:szCs w:val="24"/>
          </w:rPr>
          <w:delText xml:space="preserve">after </w:delText>
        </w:r>
      </w:del>
      <w:del w:id="1040" w:author="Urša Miklavčič [2]" w:date="2026-04-21T10:37:00Z" w16du:dateUtc="2026-04-21T08:37:00Z">
        <w:r w:rsidR="008B2A44" w:rsidRPr="00D93D74" w:rsidDel="002846F5">
          <w:rPr>
            <w:rFonts w:cs="Times New Roman"/>
            <w:szCs w:val="24"/>
          </w:rPr>
          <w:delText>cultivation</w:delText>
        </w:r>
        <w:r w:rsidR="00715E54" w:rsidRPr="00D93D74" w:rsidDel="002846F5">
          <w:rPr>
            <w:rFonts w:cs="Times New Roman"/>
            <w:szCs w:val="24"/>
          </w:rPr>
          <w:delText xml:space="preserve"> </w:delText>
        </w:r>
        <w:r w:rsidR="00E65829" w:rsidRPr="00D93D74" w:rsidDel="002846F5">
          <w:rPr>
            <w:rFonts w:cs="Times New Roman"/>
            <w:szCs w:val="24"/>
          </w:rPr>
          <w:delText xml:space="preserve">approximately </w:delText>
        </w:r>
        <w:r w:rsidR="000848F8" w:rsidRPr="00D93D74" w:rsidDel="002846F5">
          <w:rPr>
            <w:rFonts w:cs="Times New Roman"/>
            <w:szCs w:val="24"/>
          </w:rPr>
          <w:delText>6</w:delText>
        </w:r>
        <w:r w:rsidR="00352514" w:rsidRPr="00D93D74" w:rsidDel="002846F5">
          <w:rPr>
            <w:rFonts w:cs="Times New Roman"/>
            <w:szCs w:val="24"/>
          </w:rPr>
          <w:delText xml:space="preserve">0 colonies per sample </w:delText>
        </w:r>
        <w:r w:rsidR="009634C0" w:rsidRPr="00D93D74" w:rsidDel="002846F5">
          <w:rPr>
            <w:rFonts w:cs="Times New Roman"/>
            <w:szCs w:val="24"/>
          </w:rPr>
          <w:delText>were picked and re-streaked o</w:delText>
        </w:r>
        <w:r w:rsidR="002E735E" w:rsidRPr="00D93D74" w:rsidDel="002846F5">
          <w:rPr>
            <w:rFonts w:cs="Times New Roman"/>
            <w:szCs w:val="24"/>
          </w:rPr>
          <w:delText>n</w:delText>
        </w:r>
        <w:r w:rsidR="009634C0" w:rsidRPr="00D93D74" w:rsidDel="002846F5">
          <w:rPr>
            <w:rFonts w:cs="Times New Roman"/>
            <w:szCs w:val="24"/>
          </w:rPr>
          <w:delText>to</w:delText>
        </w:r>
        <w:r w:rsidR="002E735E" w:rsidRPr="00D93D74" w:rsidDel="002846F5">
          <w:rPr>
            <w:rFonts w:cs="Times New Roman"/>
            <w:szCs w:val="24"/>
          </w:rPr>
          <w:delText xml:space="preserve"> fresh media to obtain pure isolates</w:delText>
        </w:r>
        <w:r w:rsidR="008B2A44" w:rsidRPr="00D93D74" w:rsidDel="002846F5">
          <w:rPr>
            <w:rFonts w:cs="Times New Roman"/>
            <w:szCs w:val="24"/>
          </w:rPr>
          <w:delText xml:space="preserve">. </w:delText>
        </w:r>
      </w:del>
      <w:del w:id="1041" w:author="Urša Miklavčič [2]" w:date="2026-04-21T10:38:00Z" w16du:dateUtc="2026-04-21T08:38:00Z">
        <w:r w:rsidR="008B2A44" w:rsidRPr="00D93D74" w:rsidDel="002846F5">
          <w:rPr>
            <w:rFonts w:cs="Times New Roman"/>
            <w:szCs w:val="24"/>
          </w:rPr>
          <w:delText>The identification of obtained isolates is shown in Table 1.</w:delText>
        </w:r>
      </w:del>
    </w:p>
    <w:p w14:paraId="00319A55" w14:textId="65123A26" w:rsidR="002471F9" w:rsidRPr="00D93D74" w:rsidRDefault="004D77C6" w:rsidP="00CD77AB">
      <w:pPr>
        <w:rPr>
          <w:rFonts w:cs="Times New Roman"/>
          <w:szCs w:val="24"/>
        </w:rPr>
      </w:pPr>
      <w:r w:rsidRPr="00D93D74">
        <w:rPr>
          <w:rFonts w:cs="Times New Roman"/>
          <w:szCs w:val="24"/>
        </w:rPr>
        <w:t>D</w:t>
      </w:r>
      <w:r w:rsidR="00CD77AB" w:rsidRPr="00D93D74">
        <w:rPr>
          <w:rFonts w:cs="Times New Roman"/>
          <w:szCs w:val="24"/>
        </w:rPr>
        <w:t xml:space="preserve">ue to the highest number </w:t>
      </w:r>
      <w:r w:rsidR="002471F9" w:rsidRPr="00D93D74">
        <w:rPr>
          <w:rFonts w:cs="Times New Roman"/>
          <w:szCs w:val="24"/>
        </w:rPr>
        <w:t>of isolates obtained</w:t>
      </w:r>
      <w:r w:rsidR="00CD77AB" w:rsidRPr="00D93D74">
        <w:rPr>
          <w:rFonts w:cs="Times New Roman"/>
          <w:szCs w:val="24"/>
        </w:rPr>
        <w:t xml:space="preserve"> we selected </w:t>
      </w:r>
      <w:r w:rsidR="00CD77AB" w:rsidRPr="00D93D74">
        <w:rPr>
          <w:rFonts w:cs="Times New Roman"/>
          <w:i/>
          <w:iCs/>
          <w:szCs w:val="24"/>
        </w:rPr>
        <w:t>Clostridium saudiense</w:t>
      </w:r>
      <w:r w:rsidR="00CD77AB" w:rsidRPr="00D93D74">
        <w:rPr>
          <w:rFonts w:cs="Times New Roman"/>
          <w:szCs w:val="24"/>
        </w:rPr>
        <w:t xml:space="preserve"> for </w:t>
      </w:r>
      <w:r w:rsidR="002E735E" w:rsidRPr="00D93D74">
        <w:rPr>
          <w:rFonts w:cs="Times New Roman"/>
          <w:szCs w:val="24"/>
        </w:rPr>
        <w:t xml:space="preserve">whole-genome </w:t>
      </w:r>
      <w:r w:rsidR="00CD77AB" w:rsidRPr="00D93D74">
        <w:rPr>
          <w:rFonts w:cs="Times New Roman"/>
          <w:szCs w:val="24"/>
        </w:rPr>
        <w:t>sequencing</w:t>
      </w:r>
      <w:ins w:id="1042" w:author="Urša Miklavčič [2]" w:date="2026-04-21T10:38:00Z" w16du:dateUtc="2026-04-21T08:38:00Z">
        <w:r w:rsidR="002846F5">
          <w:rPr>
            <w:rFonts w:cs="Times New Roman"/>
            <w:szCs w:val="24"/>
          </w:rPr>
          <w:t xml:space="preserve"> (Table 1)</w:t>
        </w:r>
      </w:ins>
      <w:del w:id="1043" w:author="Urša Miklavčič [2]" w:date="2026-04-21T10:38:00Z" w16du:dateUtc="2026-04-21T08:38:00Z">
        <w:r w:rsidR="000848F8" w:rsidRPr="00D93D74" w:rsidDel="002846F5">
          <w:rPr>
            <w:rFonts w:cs="Times New Roman"/>
            <w:szCs w:val="24"/>
          </w:rPr>
          <w:delText xml:space="preserve"> (</w:delText>
        </w:r>
        <w:r w:rsidR="002471F9" w:rsidRPr="00D93D74" w:rsidDel="002846F5">
          <w:rPr>
            <w:rFonts w:cs="Times New Roman"/>
            <w:szCs w:val="24"/>
          </w:rPr>
          <w:delText>Table 1</w:delText>
        </w:r>
        <w:r w:rsidR="000848F8" w:rsidRPr="00D93D74" w:rsidDel="002846F5">
          <w:rPr>
            <w:rFonts w:cs="Times New Roman"/>
            <w:szCs w:val="24"/>
          </w:rPr>
          <w:delText>)</w:delText>
        </w:r>
      </w:del>
      <w:r w:rsidR="00CD77AB" w:rsidRPr="00D93D74">
        <w:rPr>
          <w:rFonts w:cs="Times New Roman"/>
          <w:szCs w:val="24"/>
        </w:rPr>
        <w:t>.</w:t>
      </w:r>
      <w:r w:rsidRPr="00D93D74">
        <w:rPr>
          <w:rFonts w:cs="Times New Roman"/>
          <w:szCs w:val="24"/>
        </w:rPr>
        <w:t xml:space="preserve"> </w:t>
      </w:r>
      <w:commentRangeStart w:id="1044"/>
      <w:r w:rsidR="009634C0" w:rsidRPr="00D93D74">
        <w:rPr>
          <w:rFonts w:cs="Times New Roman"/>
          <w:szCs w:val="24"/>
        </w:rPr>
        <w:t xml:space="preserve">In total, </w:t>
      </w:r>
      <w:r w:rsidRPr="00D93D74">
        <w:rPr>
          <w:rFonts w:cs="Times New Roman"/>
          <w:szCs w:val="24"/>
        </w:rPr>
        <w:t xml:space="preserve">44 </w:t>
      </w:r>
      <w:r w:rsidR="002E735E" w:rsidRPr="00D93D74">
        <w:rPr>
          <w:rFonts w:cs="Times New Roman"/>
          <w:i/>
          <w:iCs/>
          <w:szCs w:val="24"/>
        </w:rPr>
        <w:t>C. saudiense</w:t>
      </w:r>
      <w:r w:rsidR="002E735E" w:rsidRPr="00D93D74">
        <w:rPr>
          <w:rFonts w:cs="Times New Roman"/>
          <w:szCs w:val="24"/>
        </w:rPr>
        <w:t xml:space="preserve"> </w:t>
      </w:r>
      <w:r w:rsidR="009634C0" w:rsidRPr="00D93D74">
        <w:rPr>
          <w:rFonts w:cs="Times New Roman"/>
          <w:szCs w:val="24"/>
        </w:rPr>
        <w:t xml:space="preserve">genomes were sequenced </w:t>
      </w:r>
      <w:r w:rsidRPr="00D93D74">
        <w:rPr>
          <w:rFonts w:cs="Times New Roman"/>
          <w:szCs w:val="24"/>
        </w:rPr>
        <w:t xml:space="preserve">(Supplement Table </w:t>
      </w:r>
      <w:r w:rsidR="007D4BF8" w:rsidRPr="00D93D74">
        <w:rPr>
          <w:rFonts w:cs="Times New Roman"/>
          <w:szCs w:val="24"/>
        </w:rPr>
        <w:t>5</w:t>
      </w:r>
      <w:r w:rsidR="00DC1E07" w:rsidRPr="00D93D74">
        <w:rPr>
          <w:rFonts w:cs="Times New Roman"/>
          <w:szCs w:val="24"/>
        </w:rPr>
        <w:t>)</w:t>
      </w:r>
      <w:r w:rsidR="00503055" w:rsidRPr="00D93D74">
        <w:rPr>
          <w:rFonts w:cs="Times New Roman"/>
          <w:szCs w:val="24"/>
        </w:rPr>
        <w:t>, as second re-streaking was not successful</w:t>
      </w:r>
      <w:r w:rsidR="008B2A44" w:rsidRPr="00D93D74">
        <w:rPr>
          <w:rFonts w:cs="Times New Roman"/>
          <w:szCs w:val="24"/>
        </w:rPr>
        <w:t xml:space="preserve"> in remaining </w:t>
      </w:r>
      <w:r w:rsidR="00C65827" w:rsidRPr="00D93D74">
        <w:rPr>
          <w:rFonts w:cs="Times New Roman"/>
          <w:szCs w:val="24"/>
        </w:rPr>
        <w:t>43</w:t>
      </w:r>
      <w:r w:rsidR="008B2A44" w:rsidRPr="00D93D74">
        <w:rPr>
          <w:rFonts w:cs="Times New Roman"/>
          <w:szCs w:val="24"/>
        </w:rPr>
        <w:t xml:space="preserve"> isolates</w:t>
      </w:r>
      <w:commentRangeEnd w:id="1044"/>
      <w:r w:rsidR="008B2A44" w:rsidRPr="00D93D74">
        <w:rPr>
          <w:rStyle w:val="Pripombasklic"/>
          <w:rFonts w:cs="Times New Roman"/>
          <w:sz w:val="24"/>
          <w:szCs w:val="24"/>
        </w:rPr>
        <w:commentReference w:id="1044"/>
      </w:r>
      <w:r w:rsidR="00503055" w:rsidRPr="00D93D74">
        <w:rPr>
          <w:rFonts w:cs="Times New Roman"/>
          <w:szCs w:val="24"/>
        </w:rPr>
        <w:t xml:space="preserve">. </w:t>
      </w:r>
      <w:del w:id="1045" w:author="Urša Miklavčič [2]" w:date="2026-04-21T10:40:00Z" w16du:dateUtc="2026-04-21T08:40:00Z">
        <w:r w:rsidR="00503055" w:rsidRPr="00D93D74" w:rsidDel="002846F5">
          <w:rPr>
            <w:rFonts w:cs="Times New Roman"/>
            <w:szCs w:val="24"/>
          </w:rPr>
          <w:delText xml:space="preserve">We obtained </w:delText>
        </w:r>
        <w:r w:rsidRPr="00D93D74" w:rsidDel="002846F5">
          <w:rPr>
            <w:rFonts w:cs="Times New Roman"/>
            <w:szCs w:val="24"/>
          </w:rPr>
          <w:delText xml:space="preserve">8, 16, and 18 </w:delText>
        </w:r>
        <w:r w:rsidR="00503055" w:rsidRPr="00D93D74" w:rsidDel="002846F5">
          <w:rPr>
            <w:rFonts w:cs="Times New Roman"/>
            <w:szCs w:val="24"/>
          </w:rPr>
          <w:delText xml:space="preserve">genomes from </w:delText>
        </w:r>
        <w:r w:rsidR="009634C0" w:rsidRPr="00D93D74" w:rsidDel="002846F5">
          <w:rPr>
            <w:rFonts w:cs="Times New Roman"/>
            <w:szCs w:val="24"/>
          </w:rPr>
          <w:delText>the pre-, mid- and post-antibiotic samples</w:delText>
        </w:r>
        <w:r w:rsidR="00293919" w:rsidRPr="00D93D74" w:rsidDel="002846F5">
          <w:rPr>
            <w:rFonts w:cs="Times New Roman"/>
            <w:szCs w:val="24"/>
          </w:rPr>
          <w:delText>,</w:delText>
        </w:r>
        <w:r w:rsidR="009634C0" w:rsidRPr="00D93D74" w:rsidDel="002846F5">
          <w:rPr>
            <w:rFonts w:cs="Times New Roman"/>
            <w:szCs w:val="24"/>
          </w:rPr>
          <w:delText xml:space="preserve"> respectively. </w:delText>
        </w:r>
      </w:del>
    </w:p>
    <w:p w14:paraId="1F4A320B" w14:textId="77777777" w:rsidR="00007F32" w:rsidRPr="00D93D74" w:rsidRDefault="00007F32" w:rsidP="00723A85">
      <w:pPr>
        <w:pStyle w:val="FigureTable"/>
        <w:rPr>
          <w:b/>
        </w:rPr>
      </w:pPr>
    </w:p>
    <w:p w14:paraId="65465C61" w14:textId="2F3C4033" w:rsidR="00E9210E" w:rsidRPr="00D93D74" w:rsidRDefault="00E9210E" w:rsidP="00723A85">
      <w:pPr>
        <w:pStyle w:val="FigureTable"/>
      </w:pPr>
      <w:r w:rsidRPr="00D93D74">
        <w:rPr>
          <w:b/>
        </w:rPr>
        <w:t xml:space="preserve">Table </w:t>
      </w:r>
      <w:r w:rsidRPr="00D93D74">
        <w:rPr>
          <w:b/>
        </w:rPr>
        <w:fldChar w:fldCharType="begin"/>
      </w:r>
      <w:r w:rsidRPr="00D93D74">
        <w:rPr>
          <w:b/>
        </w:rPr>
        <w:instrText xml:space="preserve"> SEQ Table \* ARABIC </w:instrText>
      </w:r>
      <w:r w:rsidRPr="00D93D74">
        <w:rPr>
          <w:b/>
        </w:rPr>
        <w:fldChar w:fldCharType="separate"/>
      </w:r>
      <w:r w:rsidR="00610A40">
        <w:rPr>
          <w:b/>
          <w:noProof/>
        </w:rPr>
        <w:t>1</w:t>
      </w:r>
      <w:r w:rsidRPr="00D93D74">
        <w:rPr>
          <w:b/>
        </w:rPr>
        <w:fldChar w:fldCharType="end"/>
      </w:r>
      <w:r w:rsidRPr="00D93D74">
        <w:rPr>
          <w:b/>
        </w:rPr>
        <w:t>. Number of obtained isolates after picking and first re-streaking.</w:t>
      </w:r>
      <w:r w:rsidRPr="00D93D74">
        <w:t xml:space="preserve"> Species of isolate was determined with MALDI-TOF</w:t>
      </w:r>
      <w:r w:rsidR="00503055" w:rsidRPr="00D93D74">
        <w:t xml:space="preserve"> MS</w:t>
      </w:r>
      <w:r w:rsidRPr="00D93D74">
        <w:t xml:space="preserve">. H005, H007 and H009 are samples from time point pre-, mid- and post-antibiotic use of participant H. </w:t>
      </w:r>
      <w:r w:rsidRPr="00D93D74">
        <w:rPr>
          <w:szCs w:val="24"/>
        </w:rPr>
        <w:t>Some colonies were lost during the second re-streaking step, due to not growing, which accounts for the unequal numbers</w:t>
      </w:r>
      <w:r w:rsidR="00503055" w:rsidRPr="00D93D74">
        <w:rPr>
          <w:szCs w:val="24"/>
        </w:rPr>
        <w:t xml:space="preserve"> to the sequencing experiment.</w:t>
      </w:r>
    </w:p>
    <w:tbl>
      <w:tblPr>
        <w:tblW w:w="9356" w:type="dxa"/>
        <w:tblCellMar>
          <w:left w:w="70" w:type="dxa"/>
          <w:right w:w="70" w:type="dxa"/>
        </w:tblCellMar>
        <w:tblLook w:val="04A0" w:firstRow="1" w:lastRow="0" w:firstColumn="1" w:lastColumn="0" w:noHBand="0" w:noVBand="1"/>
        <w:tblPrChange w:id="1046" w:author="Urša Miklavčič [2]" w:date="2026-04-21T10:41:00Z" w16du:dateUtc="2026-04-21T08:41:00Z">
          <w:tblPr>
            <w:tblW w:w="9356" w:type="dxa"/>
            <w:tblCellMar>
              <w:left w:w="70" w:type="dxa"/>
              <w:right w:w="70" w:type="dxa"/>
            </w:tblCellMar>
            <w:tblLook w:val="04A0" w:firstRow="1" w:lastRow="0" w:firstColumn="1" w:lastColumn="0" w:noHBand="0" w:noVBand="1"/>
          </w:tblPr>
        </w:tblPrChange>
      </w:tblPr>
      <w:tblGrid>
        <w:gridCol w:w="3119"/>
        <w:gridCol w:w="886"/>
        <w:gridCol w:w="284"/>
        <w:gridCol w:w="1559"/>
        <w:gridCol w:w="1843"/>
        <w:gridCol w:w="1701"/>
        <w:tblGridChange w:id="1047">
          <w:tblGrid>
            <w:gridCol w:w="3119"/>
            <w:gridCol w:w="886"/>
            <w:gridCol w:w="248"/>
            <w:gridCol w:w="1595"/>
            <w:gridCol w:w="106"/>
            <w:gridCol w:w="1737"/>
            <w:gridCol w:w="106"/>
            <w:gridCol w:w="1559"/>
            <w:gridCol w:w="36"/>
          </w:tblGrid>
        </w:tblGridChange>
      </w:tblGrid>
      <w:tr w:rsidR="006A08CB" w:rsidRPr="00D93D74" w14:paraId="44D02DC1" w14:textId="77777777" w:rsidTr="00C823F7">
        <w:trPr>
          <w:trHeight w:val="300"/>
          <w:tblHeader/>
          <w:trPrChange w:id="1048" w:author="Urša Miklavčič [2]" w:date="2026-04-21T10:41:00Z" w16du:dateUtc="2026-04-21T08:41:00Z">
            <w:trPr>
              <w:gridAfter w:val="0"/>
              <w:trHeight w:val="300"/>
              <w:tblHeader/>
            </w:trPr>
          </w:trPrChange>
        </w:trPr>
        <w:tc>
          <w:tcPr>
            <w:tcW w:w="3119" w:type="dxa"/>
            <w:tcBorders>
              <w:top w:val="single" w:sz="4" w:space="0" w:color="auto"/>
              <w:left w:val="nil"/>
              <w:bottom w:val="single" w:sz="4" w:space="0" w:color="auto"/>
              <w:right w:val="nil"/>
            </w:tcBorders>
            <w:noWrap/>
            <w:vAlign w:val="bottom"/>
            <w:hideMark/>
            <w:tcPrChange w:id="1049" w:author="Urša Miklavčič [2]" w:date="2026-04-21T10:41:00Z" w16du:dateUtc="2026-04-21T08:41:00Z">
              <w:tcPr>
                <w:tcW w:w="3119" w:type="dxa"/>
                <w:tcBorders>
                  <w:top w:val="single" w:sz="4" w:space="0" w:color="auto"/>
                  <w:left w:val="nil"/>
                  <w:bottom w:val="single" w:sz="4" w:space="0" w:color="auto"/>
                  <w:right w:val="nil"/>
                </w:tcBorders>
                <w:noWrap/>
                <w:vAlign w:val="bottom"/>
                <w:hideMark/>
              </w:tcPr>
            </w:tcPrChange>
          </w:tcPr>
          <w:p w14:paraId="283BDA83" w14:textId="77777777" w:rsidR="002471F9" w:rsidRPr="00D93D74" w:rsidRDefault="002471F9" w:rsidP="009D2E7E">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Detected species </w:t>
            </w:r>
          </w:p>
        </w:tc>
        <w:tc>
          <w:tcPr>
            <w:tcW w:w="850" w:type="dxa"/>
            <w:tcBorders>
              <w:top w:val="single" w:sz="4" w:space="0" w:color="auto"/>
              <w:left w:val="nil"/>
              <w:bottom w:val="single" w:sz="4" w:space="0" w:color="auto"/>
              <w:right w:val="nil"/>
            </w:tcBorders>
            <w:noWrap/>
            <w:vAlign w:val="bottom"/>
            <w:hideMark/>
            <w:tcPrChange w:id="1050" w:author="Urša Miklavčič [2]" w:date="2026-04-21T10:41:00Z" w16du:dateUtc="2026-04-21T08:41:00Z">
              <w:tcPr>
                <w:tcW w:w="1134" w:type="dxa"/>
                <w:gridSpan w:val="2"/>
                <w:tcBorders>
                  <w:top w:val="single" w:sz="4" w:space="0" w:color="auto"/>
                  <w:left w:val="nil"/>
                  <w:bottom w:val="single" w:sz="4" w:space="0" w:color="auto"/>
                  <w:right w:val="nil"/>
                </w:tcBorders>
                <w:noWrap/>
                <w:vAlign w:val="bottom"/>
                <w:hideMark/>
              </w:tcPr>
            </w:tcPrChange>
          </w:tcPr>
          <w:p w14:paraId="1B3A898A" w14:textId="51A3C68F" w:rsidR="002471F9" w:rsidRPr="00D93D74" w:rsidRDefault="002471F9" w:rsidP="009D2E7E">
            <w:pPr>
              <w:spacing w:after="0" w:line="240" w:lineRule="auto"/>
              <w:jc w:val="left"/>
              <w:rPr>
                <w:rFonts w:eastAsia="Times New Roman" w:cs="Times New Roman"/>
                <w:b/>
                <w:bCs/>
                <w:color w:val="000000"/>
                <w:sz w:val="22"/>
                <w:lang w:eastAsia="sl-SI"/>
              </w:rPr>
            </w:pPr>
            <w:del w:id="1051" w:author="Urša Miklavčič [2]" w:date="2026-04-21T10:41:00Z" w16du:dateUtc="2026-04-21T08:41:00Z">
              <w:r w:rsidRPr="00D93D74" w:rsidDel="00C823F7">
                <w:rPr>
                  <w:rFonts w:eastAsia="Times New Roman" w:cs="Times New Roman"/>
                  <w:b/>
                  <w:bCs/>
                  <w:color w:val="000000"/>
                  <w:sz w:val="22"/>
                  <w:lang w:eastAsia="sl-SI"/>
                </w:rPr>
                <w:delText xml:space="preserve">All samples </w:delText>
              </w:r>
            </w:del>
            <w:ins w:id="1052" w:author="Urša Miklavčič [2]" w:date="2026-04-21T10:41:00Z" w16du:dateUtc="2026-04-21T08:41:00Z">
              <w:r w:rsidR="00C823F7">
                <w:rPr>
                  <w:rFonts w:eastAsia="Times New Roman" w:cs="Times New Roman"/>
                  <w:b/>
                  <w:bCs/>
                  <w:color w:val="000000"/>
                  <w:sz w:val="22"/>
                  <w:lang w:eastAsia="sl-SI"/>
                </w:rPr>
                <w:t>All</w:t>
              </w:r>
            </w:ins>
          </w:p>
        </w:tc>
        <w:tc>
          <w:tcPr>
            <w:tcW w:w="1843" w:type="dxa"/>
            <w:gridSpan w:val="2"/>
            <w:tcBorders>
              <w:top w:val="single" w:sz="4" w:space="0" w:color="auto"/>
              <w:left w:val="nil"/>
              <w:bottom w:val="single" w:sz="4" w:space="0" w:color="auto"/>
              <w:right w:val="nil"/>
            </w:tcBorders>
            <w:noWrap/>
            <w:vAlign w:val="bottom"/>
            <w:hideMark/>
            <w:tcPrChange w:id="1053" w:author="Urša Miklavčič [2]" w:date="2026-04-21T10:41:00Z" w16du:dateUtc="2026-04-21T08:41:00Z">
              <w:tcPr>
                <w:tcW w:w="1701" w:type="dxa"/>
                <w:gridSpan w:val="2"/>
                <w:tcBorders>
                  <w:top w:val="single" w:sz="4" w:space="0" w:color="auto"/>
                  <w:left w:val="nil"/>
                  <w:bottom w:val="single" w:sz="4" w:space="0" w:color="auto"/>
                  <w:right w:val="nil"/>
                </w:tcBorders>
                <w:noWrap/>
                <w:vAlign w:val="bottom"/>
                <w:hideMark/>
              </w:tcPr>
            </w:tcPrChange>
          </w:tcPr>
          <w:p w14:paraId="2FBB4495" w14:textId="6C25D0F7" w:rsidR="002471F9" w:rsidRPr="00D93D74" w:rsidRDefault="006A08CB" w:rsidP="006A08CB">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Before antibiotic </w:t>
            </w:r>
            <w:r w:rsidR="002471F9" w:rsidRPr="00D93D74">
              <w:rPr>
                <w:rFonts w:eastAsia="Times New Roman" w:cs="Times New Roman"/>
                <w:b/>
                <w:bCs/>
                <w:color w:val="000000"/>
                <w:sz w:val="22"/>
                <w:lang w:eastAsia="sl-SI"/>
              </w:rPr>
              <w:t>H005</w:t>
            </w:r>
          </w:p>
        </w:tc>
        <w:tc>
          <w:tcPr>
            <w:tcW w:w="1843" w:type="dxa"/>
            <w:tcBorders>
              <w:top w:val="single" w:sz="4" w:space="0" w:color="auto"/>
              <w:left w:val="nil"/>
              <w:bottom w:val="single" w:sz="4" w:space="0" w:color="auto"/>
              <w:right w:val="nil"/>
            </w:tcBorders>
            <w:noWrap/>
            <w:vAlign w:val="bottom"/>
            <w:hideMark/>
            <w:tcPrChange w:id="1054" w:author="Urša Miklavčič [2]" w:date="2026-04-21T10:41:00Z" w16du:dateUtc="2026-04-21T08:41:00Z">
              <w:tcPr>
                <w:tcW w:w="1843" w:type="dxa"/>
                <w:gridSpan w:val="2"/>
                <w:tcBorders>
                  <w:top w:val="single" w:sz="4" w:space="0" w:color="auto"/>
                  <w:left w:val="nil"/>
                  <w:bottom w:val="single" w:sz="4" w:space="0" w:color="auto"/>
                  <w:right w:val="nil"/>
                </w:tcBorders>
                <w:noWrap/>
                <w:vAlign w:val="bottom"/>
                <w:hideMark/>
              </w:tcPr>
            </w:tcPrChange>
          </w:tcPr>
          <w:p w14:paraId="4404066C" w14:textId="0524A1B5" w:rsidR="006A08CB" w:rsidRPr="00D93D74" w:rsidRDefault="006A08CB" w:rsidP="009D2E7E">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During antibiotic </w:t>
            </w:r>
          </w:p>
          <w:p w14:paraId="3E42CC9D" w14:textId="69823A50" w:rsidR="002471F9" w:rsidRPr="00D93D74" w:rsidRDefault="002471F9" w:rsidP="009D2E7E">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H007</w:t>
            </w:r>
          </w:p>
        </w:tc>
        <w:tc>
          <w:tcPr>
            <w:tcW w:w="1701" w:type="dxa"/>
            <w:tcBorders>
              <w:top w:val="single" w:sz="4" w:space="0" w:color="auto"/>
              <w:left w:val="nil"/>
              <w:bottom w:val="single" w:sz="4" w:space="0" w:color="auto"/>
              <w:right w:val="nil"/>
            </w:tcBorders>
            <w:noWrap/>
            <w:vAlign w:val="bottom"/>
            <w:hideMark/>
            <w:tcPrChange w:id="1055" w:author="Urša Miklavčič [2]" w:date="2026-04-21T10:41:00Z" w16du:dateUtc="2026-04-21T08:41:00Z">
              <w:tcPr>
                <w:tcW w:w="1559" w:type="dxa"/>
                <w:tcBorders>
                  <w:top w:val="single" w:sz="4" w:space="0" w:color="auto"/>
                  <w:left w:val="nil"/>
                  <w:bottom w:val="single" w:sz="4" w:space="0" w:color="auto"/>
                  <w:right w:val="nil"/>
                </w:tcBorders>
                <w:noWrap/>
                <w:vAlign w:val="bottom"/>
                <w:hideMark/>
              </w:tcPr>
            </w:tcPrChange>
          </w:tcPr>
          <w:p w14:paraId="78C11720" w14:textId="5E186329" w:rsidR="006A08CB" w:rsidRPr="00D93D74" w:rsidDel="00C823F7" w:rsidRDefault="006A08CB">
            <w:pPr>
              <w:spacing w:after="0" w:line="240" w:lineRule="auto"/>
              <w:jc w:val="left"/>
              <w:rPr>
                <w:del w:id="1056" w:author="Urša Miklavčič [2]" w:date="2026-04-21T10:41:00Z" w16du:dateUtc="2026-04-21T08:41:00Z"/>
                <w:rFonts w:eastAsia="Times New Roman" w:cs="Times New Roman"/>
                <w:b/>
                <w:bCs/>
                <w:color w:val="000000"/>
                <w:sz w:val="22"/>
                <w:lang w:eastAsia="sl-SI"/>
              </w:rPr>
            </w:pPr>
            <w:r w:rsidRPr="00D93D74">
              <w:rPr>
                <w:rFonts w:eastAsia="Times New Roman" w:cs="Times New Roman"/>
                <w:b/>
                <w:bCs/>
                <w:color w:val="000000"/>
                <w:sz w:val="22"/>
                <w:lang w:eastAsia="sl-SI"/>
              </w:rPr>
              <w:t xml:space="preserve">After antibiotic </w:t>
            </w:r>
          </w:p>
          <w:p w14:paraId="23B07DA0" w14:textId="3D1C10E6" w:rsidR="002471F9" w:rsidRPr="00D93D74" w:rsidRDefault="002471F9" w:rsidP="00C823F7">
            <w:pPr>
              <w:spacing w:after="0" w:line="240" w:lineRule="auto"/>
              <w:jc w:val="left"/>
              <w:rPr>
                <w:rFonts w:eastAsia="Times New Roman" w:cs="Times New Roman"/>
                <w:b/>
                <w:bCs/>
                <w:color w:val="000000"/>
                <w:sz w:val="22"/>
                <w:lang w:eastAsia="sl-SI"/>
              </w:rPr>
            </w:pPr>
            <w:r w:rsidRPr="00D93D74">
              <w:rPr>
                <w:rFonts w:eastAsia="Times New Roman" w:cs="Times New Roman"/>
                <w:b/>
                <w:bCs/>
                <w:color w:val="000000"/>
                <w:sz w:val="22"/>
                <w:lang w:eastAsia="sl-SI"/>
              </w:rPr>
              <w:t xml:space="preserve">H009 </w:t>
            </w:r>
          </w:p>
        </w:tc>
      </w:tr>
      <w:tr w:rsidR="006A08CB" w:rsidRPr="00D93D74" w14:paraId="41326A11" w14:textId="77777777" w:rsidTr="00C823F7">
        <w:trPr>
          <w:trHeight w:val="300"/>
          <w:trPrChange w:id="1057" w:author="Urša Miklavčič [2]" w:date="2026-04-21T10:41:00Z" w16du:dateUtc="2026-04-21T08:41:00Z">
            <w:trPr>
              <w:gridAfter w:val="0"/>
              <w:trHeight w:val="300"/>
            </w:trPr>
          </w:trPrChange>
        </w:trPr>
        <w:tc>
          <w:tcPr>
            <w:tcW w:w="3119" w:type="dxa"/>
            <w:tcBorders>
              <w:top w:val="nil"/>
              <w:left w:val="nil"/>
              <w:bottom w:val="nil"/>
              <w:right w:val="nil"/>
            </w:tcBorders>
            <w:noWrap/>
            <w:vAlign w:val="bottom"/>
            <w:hideMark/>
            <w:tcPrChange w:id="1058" w:author="Urša Miklavčič [2]" w:date="2026-04-21T10:41:00Z" w16du:dateUtc="2026-04-21T08:41:00Z">
              <w:tcPr>
                <w:tcW w:w="3119" w:type="dxa"/>
                <w:tcBorders>
                  <w:top w:val="nil"/>
                  <w:left w:val="nil"/>
                  <w:bottom w:val="nil"/>
                  <w:right w:val="nil"/>
                </w:tcBorders>
                <w:noWrap/>
                <w:vAlign w:val="bottom"/>
                <w:hideMark/>
              </w:tcPr>
            </w:tcPrChange>
          </w:tcPr>
          <w:p w14:paraId="01781BA9" w14:textId="77777777" w:rsidR="002471F9" w:rsidRPr="00D93D74" w:rsidRDefault="002471F9" w:rsidP="009D2E7E">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Clostridium paraputrificum</w:t>
            </w:r>
          </w:p>
        </w:tc>
        <w:tc>
          <w:tcPr>
            <w:tcW w:w="1134" w:type="dxa"/>
            <w:gridSpan w:val="2"/>
            <w:tcBorders>
              <w:top w:val="nil"/>
              <w:left w:val="nil"/>
              <w:bottom w:val="nil"/>
              <w:right w:val="nil"/>
            </w:tcBorders>
            <w:noWrap/>
            <w:vAlign w:val="bottom"/>
            <w:hideMark/>
            <w:tcPrChange w:id="1059" w:author="Urša Miklavčič [2]" w:date="2026-04-21T10:41:00Z" w16du:dateUtc="2026-04-21T08:41:00Z">
              <w:tcPr>
                <w:tcW w:w="1134" w:type="dxa"/>
                <w:gridSpan w:val="2"/>
                <w:tcBorders>
                  <w:top w:val="nil"/>
                  <w:left w:val="nil"/>
                  <w:bottom w:val="nil"/>
                  <w:right w:val="nil"/>
                </w:tcBorders>
                <w:noWrap/>
                <w:vAlign w:val="bottom"/>
                <w:hideMark/>
              </w:tcPr>
            </w:tcPrChange>
          </w:tcPr>
          <w:p w14:paraId="77C9CE00"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24</w:t>
            </w:r>
          </w:p>
        </w:tc>
        <w:tc>
          <w:tcPr>
            <w:tcW w:w="1559" w:type="dxa"/>
            <w:tcBorders>
              <w:top w:val="nil"/>
              <w:left w:val="nil"/>
              <w:bottom w:val="nil"/>
              <w:right w:val="nil"/>
            </w:tcBorders>
            <w:noWrap/>
            <w:vAlign w:val="bottom"/>
            <w:hideMark/>
            <w:tcPrChange w:id="1060" w:author="Urša Miklavčič [2]" w:date="2026-04-21T10:41:00Z" w16du:dateUtc="2026-04-21T08:41:00Z">
              <w:tcPr>
                <w:tcW w:w="1701" w:type="dxa"/>
                <w:gridSpan w:val="2"/>
                <w:tcBorders>
                  <w:top w:val="nil"/>
                  <w:left w:val="nil"/>
                  <w:bottom w:val="nil"/>
                  <w:right w:val="nil"/>
                </w:tcBorders>
                <w:noWrap/>
                <w:vAlign w:val="bottom"/>
                <w:hideMark/>
              </w:tcPr>
            </w:tcPrChange>
          </w:tcPr>
          <w:p w14:paraId="13F0CB44"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23</w:t>
            </w:r>
          </w:p>
        </w:tc>
        <w:tc>
          <w:tcPr>
            <w:tcW w:w="1843" w:type="dxa"/>
            <w:tcBorders>
              <w:top w:val="nil"/>
              <w:left w:val="nil"/>
              <w:bottom w:val="nil"/>
              <w:right w:val="nil"/>
            </w:tcBorders>
            <w:noWrap/>
            <w:vAlign w:val="bottom"/>
            <w:hideMark/>
            <w:tcPrChange w:id="1061" w:author="Urša Miklavčič [2]" w:date="2026-04-21T10:41:00Z" w16du:dateUtc="2026-04-21T08:41:00Z">
              <w:tcPr>
                <w:tcW w:w="1843" w:type="dxa"/>
                <w:gridSpan w:val="2"/>
                <w:tcBorders>
                  <w:top w:val="nil"/>
                  <w:left w:val="nil"/>
                  <w:bottom w:val="nil"/>
                  <w:right w:val="nil"/>
                </w:tcBorders>
                <w:noWrap/>
                <w:vAlign w:val="bottom"/>
                <w:hideMark/>
              </w:tcPr>
            </w:tcPrChange>
          </w:tcPr>
          <w:p w14:paraId="17B2B910"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701" w:type="dxa"/>
            <w:tcBorders>
              <w:top w:val="nil"/>
              <w:left w:val="nil"/>
              <w:bottom w:val="nil"/>
              <w:right w:val="nil"/>
            </w:tcBorders>
            <w:noWrap/>
            <w:vAlign w:val="bottom"/>
            <w:hideMark/>
            <w:tcPrChange w:id="1062" w:author="Urša Miklavčič [2]" w:date="2026-04-21T10:41:00Z" w16du:dateUtc="2026-04-21T08:41:00Z">
              <w:tcPr>
                <w:tcW w:w="1559" w:type="dxa"/>
                <w:tcBorders>
                  <w:top w:val="nil"/>
                  <w:left w:val="nil"/>
                  <w:bottom w:val="nil"/>
                  <w:right w:val="nil"/>
                </w:tcBorders>
                <w:noWrap/>
                <w:vAlign w:val="bottom"/>
                <w:hideMark/>
              </w:tcPr>
            </w:tcPrChange>
          </w:tcPr>
          <w:p w14:paraId="3E72479F"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w:t>
            </w:r>
          </w:p>
        </w:tc>
      </w:tr>
      <w:tr w:rsidR="006A08CB" w:rsidRPr="00D93D74" w14:paraId="26065152" w14:textId="77777777" w:rsidTr="00C823F7">
        <w:trPr>
          <w:trHeight w:val="300"/>
          <w:trPrChange w:id="1063" w:author="Urša Miklavčič [2]" w:date="2026-04-21T10:41:00Z" w16du:dateUtc="2026-04-21T08:41:00Z">
            <w:trPr>
              <w:gridAfter w:val="0"/>
              <w:trHeight w:val="300"/>
            </w:trPr>
          </w:trPrChange>
        </w:trPr>
        <w:tc>
          <w:tcPr>
            <w:tcW w:w="3119" w:type="dxa"/>
            <w:tcBorders>
              <w:top w:val="nil"/>
              <w:left w:val="nil"/>
              <w:bottom w:val="nil"/>
              <w:right w:val="nil"/>
            </w:tcBorders>
            <w:noWrap/>
            <w:vAlign w:val="bottom"/>
            <w:hideMark/>
            <w:tcPrChange w:id="1064" w:author="Urša Miklavčič [2]" w:date="2026-04-21T10:41:00Z" w16du:dateUtc="2026-04-21T08:41:00Z">
              <w:tcPr>
                <w:tcW w:w="3119" w:type="dxa"/>
                <w:tcBorders>
                  <w:top w:val="nil"/>
                  <w:left w:val="nil"/>
                  <w:bottom w:val="nil"/>
                  <w:right w:val="nil"/>
                </w:tcBorders>
                <w:noWrap/>
                <w:vAlign w:val="bottom"/>
                <w:hideMark/>
              </w:tcPr>
            </w:tcPrChange>
          </w:tcPr>
          <w:p w14:paraId="461BD6B5" w14:textId="77777777" w:rsidR="002471F9" w:rsidRPr="00D93D74" w:rsidRDefault="002471F9" w:rsidP="009D2E7E">
            <w:pPr>
              <w:spacing w:after="0" w:line="240" w:lineRule="auto"/>
              <w:jc w:val="left"/>
              <w:rPr>
                <w:rFonts w:eastAsia="Times New Roman" w:cs="Times New Roman"/>
                <w:i/>
                <w:iCs/>
                <w:color w:val="000000"/>
                <w:sz w:val="22"/>
                <w:lang w:eastAsia="sl-SI"/>
              </w:rPr>
            </w:pPr>
            <w:r w:rsidRPr="00D93D74">
              <w:rPr>
                <w:rFonts w:eastAsia="Times New Roman" w:cs="Times New Roman"/>
                <w:i/>
                <w:iCs/>
                <w:color w:val="000000"/>
                <w:sz w:val="22"/>
                <w:lang w:eastAsia="sl-SI"/>
              </w:rPr>
              <w:t>Intestinibacter bartletti</w:t>
            </w:r>
          </w:p>
        </w:tc>
        <w:tc>
          <w:tcPr>
            <w:tcW w:w="1134" w:type="dxa"/>
            <w:gridSpan w:val="2"/>
            <w:tcBorders>
              <w:top w:val="nil"/>
              <w:left w:val="nil"/>
              <w:bottom w:val="nil"/>
              <w:right w:val="nil"/>
            </w:tcBorders>
            <w:noWrap/>
            <w:vAlign w:val="bottom"/>
            <w:hideMark/>
            <w:tcPrChange w:id="1065" w:author="Urša Miklavčič [2]" w:date="2026-04-21T10:41:00Z" w16du:dateUtc="2026-04-21T08:41:00Z">
              <w:tcPr>
                <w:tcW w:w="1134" w:type="dxa"/>
                <w:gridSpan w:val="2"/>
                <w:tcBorders>
                  <w:top w:val="nil"/>
                  <w:left w:val="nil"/>
                  <w:bottom w:val="nil"/>
                  <w:right w:val="nil"/>
                </w:tcBorders>
                <w:noWrap/>
                <w:vAlign w:val="bottom"/>
                <w:hideMark/>
              </w:tcPr>
            </w:tcPrChange>
          </w:tcPr>
          <w:p w14:paraId="3508B100"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11</w:t>
            </w:r>
          </w:p>
        </w:tc>
        <w:tc>
          <w:tcPr>
            <w:tcW w:w="1559" w:type="dxa"/>
            <w:tcBorders>
              <w:top w:val="nil"/>
              <w:left w:val="nil"/>
              <w:bottom w:val="nil"/>
              <w:right w:val="nil"/>
            </w:tcBorders>
            <w:noWrap/>
            <w:vAlign w:val="bottom"/>
            <w:hideMark/>
            <w:tcPrChange w:id="1066" w:author="Urša Miklavčič [2]" w:date="2026-04-21T10:41:00Z" w16du:dateUtc="2026-04-21T08:41:00Z">
              <w:tcPr>
                <w:tcW w:w="1701" w:type="dxa"/>
                <w:gridSpan w:val="2"/>
                <w:tcBorders>
                  <w:top w:val="nil"/>
                  <w:left w:val="nil"/>
                  <w:bottom w:val="nil"/>
                  <w:right w:val="nil"/>
                </w:tcBorders>
                <w:noWrap/>
                <w:vAlign w:val="bottom"/>
                <w:hideMark/>
              </w:tcPr>
            </w:tcPrChange>
          </w:tcPr>
          <w:p w14:paraId="297B1F46"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nil"/>
              <w:right w:val="nil"/>
            </w:tcBorders>
            <w:noWrap/>
            <w:vAlign w:val="bottom"/>
            <w:hideMark/>
            <w:tcPrChange w:id="1067" w:author="Urša Miklavčič [2]" w:date="2026-04-21T10:41:00Z" w16du:dateUtc="2026-04-21T08:41:00Z">
              <w:tcPr>
                <w:tcW w:w="1843" w:type="dxa"/>
                <w:gridSpan w:val="2"/>
                <w:tcBorders>
                  <w:top w:val="nil"/>
                  <w:left w:val="nil"/>
                  <w:bottom w:val="nil"/>
                  <w:right w:val="nil"/>
                </w:tcBorders>
                <w:noWrap/>
                <w:vAlign w:val="bottom"/>
                <w:hideMark/>
              </w:tcPr>
            </w:tcPrChange>
          </w:tcPr>
          <w:p w14:paraId="736B84D6"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w:t>
            </w:r>
          </w:p>
        </w:tc>
        <w:tc>
          <w:tcPr>
            <w:tcW w:w="1701" w:type="dxa"/>
            <w:tcBorders>
              <w:top w:val="nil"/>
              <w:left w:val="nil"/>
              <w:bottom w:val="nil"/>
              <w:right w:val="nil"/>
            </w:tcBorders>
            <w:noWrap/>
            <w:vAlign w:val="bottom"/>
            <w:hideMark/>
            <w:tcPrChange w:id="1068" w:author="Urša Miklavčič [2]" w:date="2026-04-21T10:41:00Z" w16du:dateUtc="2026-04-21T08:41:00Z">
              <w:tcPr>
                <w:tcW w:w="1559" w:type="dxa"/>
                <w:tcBorders>
                  <w:top w:val="nil"/>
                  <w:left w:val="nil"/>
                  <w:bottom w:val="nil"/>
                  <w:right w:val="nil"/>
                </w:tcBorders>
                <w:noWrap/>
                <w:vAlign w:val="bottom"/>
                <w:hideMark/>
              </w:tcPr>
            </w:tcPrChange>
          </w:tcPr>
          <w:p w14:paraId="7ED3FFB9"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5</w:t>
            </w:r>
          </w:p>
        </w:tc>
      </w:tr>
      <w:tr w:rsidR="006A08CB" w:rsidRPr="00D93D74" w14:paraId="5C7B8A8C" w14:textId="77777777" w:rsidTr="00C823F7">
        <w:trPr>
          <w:trHeight w:val="300"/>
          <w:trPrChange w:id="1069" w:author="Urša Miklavčič [2]" w:date="2026-04-21T10:41:00Z" w16du:dateUtc="2026-04-21T08:41:00Z">
            <w:trPr>
              <w:gridAfter w:val="0"/>
              <w:trHeight w:val="300"/>
            </w:trPr>
          </w:trPrChange>
        </w:trPr>
        <w:tc>
          <w:tcPr>
            <w:tcW w:w="3119" w:type="dxa"/>
            <w:tcBorders>
              <w:top w:val="nil"/>
              <w:left w:val="nil"/>
              <w:bottom w:val="nil"/>
              <w:right w:val="nil"/>
            </w:tcBorders>
            <w:noWrap/>
            <w:vAlign w:val="bottom"/>
            <w:hideMark/>
            <w:tcPrChange w:id="1070" w:author="Urša Miklavčič [2]" w:date="2026-04-21T10:41:00Z" w16du:dateUtc="2026-04-21T08:41:00Z">
              <w:tcPr>
                <w:tcW w:w="3119" w:type="dxa"/>
                <w:tcBorders>
                  <w:top w:val="nil"/>
                  <w:left w:val="nil"/>
                  <w:bottom w:val="nil"/>
                  <w:right w:val="nil"/>
                </w:tcBorders>
                <w:noWrap/>
                <w:vAlign w:val="bottom"/>
                <w:hideMark/>
              </w:tcPr>
            </w:tcPrChange>
          </w:tcPr>
          <w:p w14:paraId="5B6A8D08" w14:textId="77777777" w:rsidR="002471F9" w:rsidRPr="002846F5" w:rsidRDefault="002471F9" w:rsidP="009D2E7E">
            <w:pPr>
              <w:spacing w:after="0" w:line="240" w:lineRule="auto"/>
              <w:jc w:val="left"/>
              <w:rPr>
                <w:rFonts w:eastAsia="Times New Roman" w:cs="Times New Roman"/>
                <w:b/>
                <w:bCs/>
                <w:i/>
                <w:iCs/>
                <w:color w:val="000000"/>
                <w:sz w:val="22"/>
                <w:lang w:eastAsia="sl-SI"/>
                <w:rPrChange w:id="1071" w:author="Urša Miklavčič [2]" w:date="2026-04-21T10:40:00Z" w16du:dateUtc="2026-04-21T08:40:00Z">
                  <w:rPr>
                    <w:rFonts w:eastAsia="Times New Roman" w:cs="Times New Roman"/>
                    <w:i/>
                    <w:iCs/>
                    <w:color w:val="000000"/>
                    <w:sz w:val="22"/>
                    <w:lang w:eastAsia="sl-SI"/>
                  </w:rPr>
                </w:rPrChange>
              </w:rPr>
            </w:pPr>
            <w:r w:rsidRPr="002846F5">
              <w:rPr>
                <w:rFonts w:eastAsia="Times New Roman" w:cs="Times New Roman"/>
                <w:b/>
                <w:bCs/>
                <w:i/>
                <w:iCs/>
                <w:color w:val="000000"/>
                <w:sz w:val="22"/>
                <w:lang w:eastAsia="sl-SI"/>
                <w:rPrChange w:id="1072" w:author="Urša Miklavčič [2]" w:date="2026-04-21T10:40:00Z" w16du:dateUtc="2026-04-21T08:40:00Z">
                  <w:rPr>
                    <w:rFonts w:eastAsia="Times New Roman" w:cs="Times New Roman"/>
                    <w:i/>
                    <w:iCs/>
                    <w:color w:val="000000"/>
                    <w:sz w:val="22"/>
                    <w:lang w:eastAsia="sl-SI"/>
                  </w:rPr>
                </w:rPrChange>
              </w:rPr>
              <w:t>Clostridium saudiense</w:t>
            </w:r>
          </w:p>
        </w:tc>
        <w:tc>
          <w:tcPr>
            <w:tcW w:w="1134" w:type="dxa"/>
            <w:gridSpan w:val="2"/>
            <w:tcBorders>
              <w:top w:val="nil"/>
              <w:left w:val="nil"/>
              <w:bottom w:val="nil"/>
              <w:right w:val="nil"/>
            </w:tcBorders>
            <w:noWrap/>
            <w:vAlign w:val="bottom"/>
            <w:hideMark/>
            <w:tcPrChange w:id="1073" w:author="Urša Miklavčič [2]" w:date="2026-04-21T10:41:00Z" w16du:dateUtc="2026-04-21T08:41:00Z">
              <w:tcPr>
                <w:tcW w:w="1134" w:type="dxa"/>
                <w:gridSpan w:val="2"/>
                <w:tcBorders>
                  <w:top w:val="nil"/>
                  <w:left w:val="nil"/>
                  <w:bottom w:val="nil"/>
                  <w:right w:val="nil"/>
                </w:tcBorders>
                <w:noWrap/>
                <w:vAlign w:val="bottom"/>
                <w:hideMark/>
              </w:tcPr>
            </w:tcPrChange>
          </w:tcPr>
          <w:p w14:paraId="21B1485F" w14:textId="77777777" w:rsidR="002471F9" w:rsidRPr="002846F5" w:rsidRDefault="002471F9" w:rsidP="009D2E7E">
            <w:pPr>
              <w:spacing w:after="0" w:line="240" w:lineRule="auto"/>
              <w:jc w:val="left"/>
              <w:rPr>
                <w:rFonts w:eastAsia="Times New Roman" w:cs="Times New Roman"/>
                <w:b/>
                <w:bCs/>
                <w:color w:val="000000"/>
                <w:sz w:val="22"/>
                <w:lang w:eastAsia="sl-SI"/>
                <w:rPrChange w:id="1074" w:author="Urša Miklavčič [2]" w:date="2026-04-21T10:40:00Z" w16du:dateUtc="2026-04-21T08:40:00Z">
                  <w:rPr>
                    <w:rFonts w:eastAsia="Times New Roman" w:cs="Times New Roman"/>
                    <w:color w:val="000000"/>
                    <w:sz w:val="22"/>
                    <w:lang w:eastAsia="sl-SI"/>
                  </w:rPr>
                </w:rPrChange>
              </w:rPr>
            </w:pPr>
            <w:r w:rsidRPr="002846F5">
              <w:rPr>
                <w:rFonts w:eastAsia="Times New Roman" w:cs="Times New Roman"/>
                <w:b/>
                <w:bCs/>
                <w:color w:val="000000"/>
                <w:sz w:val="22"/>
                <w:lang w:eastAsia="sl-SI"/>
                <w:rPrChange w:id="1075" w:author="Urša Miklavčič [2]" w:date="2026-04-21T10:40:00Z" w16du:dateUtc="2026-04-21T08:40:00Z">
                  <w:rPr>
                    <w:rFonts w:eastAsia="Times New Roman" w:cs="Times New Roman"/>
                    <w:color w:val="000000"/>
                    <w:sz w:val="22"/>
                    <w:lang w:eastAsia="sl-SI"/>
                  </w:rPr>
                </w:rPrChange>
              </w:rPr>
              <w:t>87</w:t>
            </w:r>
          </w:p>
        </w:tc>
        <w:tc>
          <w:tcPr>
            <w:tcW w:w="1559" w:type="dxa"/>
            <w:tcBorders>
              <w:top w:val="nil"/>
              <w:left w:val="nil"/>
              <w:bottom w:val="nil"/>
              <w:right w:val="nil"/>
            </w:tcBorders>
            <w:noWrap/>
            <w:vAlign w:val="bottom"/>
            <w:hideMark/>
            <w:tcPrChange w:id="1076" w:author="Urša Miklavčič [2]" w:date="2026-04-21T10:41:00Z" w16du:dateUtc="2026-04-21T08:41:00Z">
              <w:tcPr>
                <w:tcW w:w="1701" w:type="dxa"/>
                <w:gridSpan w:val="2"/>
                <w:tcBorders>
                  <w:top w:val="nil"/>
                  <w:left w:val="nil"/>
                  <w:bottom w:val="nil"/>
                  <w:right w:val="nil"/>
                </w:tcBorders>
                <w:noWrap/>
                <w:vAlign w:val="bottom"/>
                <w:hideMark/>
              </w:tcPr>
            </w:tcPrChange>
          </w:tcPr>
          <w:p w14:paraId="29321D89" w14:textId="77777777" w:rsidR="002471F9" w:rsidRPr="002846F5" w:rsidRDefault="002471F9" w:rsidP="009D2E7E">
            <w:pPr>
              <w:spacing w:after="0" w:line="240" w:lineRule="auto"/>
              <w:jc w:val="left"/>
              <w:rPr>
                <w:rFonts w:eastAsia="Times New Roman" w:cs="Times New Roman"/>
                <w:b/>
                <w:bCs/>
                <w:color w:val="000000"/>
                <w:sz w:val="22"/>
                <w:lang w:eastAsia="sl-SI"/>
                <w:rPrChange w:id="1077" w:author="Urša Miklavčič [2]" w:date="2026-04-21T10:40:00Z" w16du:dateUtc="2026-04-21T08:40:00Z">
                  <w:rPr>
                    <w:rFonts w:eastAsia="Times New Roman" w:cs="Times New Roman"/>
                    <w:color w:val="000000"/>
                    <w:sz w:val="22"/>
                    <w:lang w:eastAsia="sl-SI"/>
                  </w:rPr>
                </w:rPrChange>
              </w:rPr>
            </w:pPr>
            <w:r w:rsidRPr="002846F5">
              <w:rPr>
                <w:rFonts w:eastAsia="Times New Roman" w:cs="Times New Roman"/>
                <w:b/>
                <w:bCs/>
                <w:color w:val="000000"/>
                <w:sz w:val="22"/>
                <w:lang w:eastAsia="sl-SI"/>
                <w:rPrChange w:id="1078" w:author="Urša Miklavčič [2]" w:date="2026-04-21T10:40:00Z" w16du:dateUtc="2026-04-21T08:40:00Z">
                  <w:rPr>
                    <w:rFonts w:eastAsia="Times New Roman" w:cs="Times New Roman"/>
                    <w:color w:val="000000"/>
                    <w:sz w:val="22"/>
                    <w:lang w:eastAsia="sl-SI"/>
                  </w:rPr>
                </w:rPrChange>
              </w:rPr>
              <w:t>19</w:t>
            </w:r>
          </w:p>
        </w:tc>
        <w:tc>
          <w:tcPr>
            <w:tcW w:w="1843" w:type="dxa"/>
            <w:tcBorders>
              <w:top w:val="nil"/>
              <w:left w:val="nil"/>
              <w:bottom w:val="nil"/>
              <w:right w:val="nil"/>
            </w:tcBorders>
            <w:noWrap/>
            <w:vAlign w:val="bottom"/>
            <w:hideMark/>
            <w:tcPrChange w:id="1079" w:author="Urša Miklavčič [2]" w:date="2026-04-21T10:41:00Z" w16du:dateUtc="2026-04-21T08:41:00Z">
              <w:tcPr>
                <w:tcW w:w="1843" w:type="dxa"/>
                <w:gridSpan w:val="2"/>
                <w:tcBorders>
                  <w:top w:val="nil"/>
                  <w:left w:val="nil"/>
                  <w:bottom w:val="nil"/>
                  <w:right w:val="nil"/>
                </w:tcBorders>
                <w:noWrap/>
                <w:vAlign w:val="bottom"/>
                <w:hideMark/>
              </w:tcPr>
            </w:tcPrChange>
          </w:tcPr>
          <w:p w14:paraId="02A3CD04" w14:textId="77777777" w:rsidR="002471F9" w:rsidRPr="002846F5" w:rsidRDefault="002471F9" w:rsidP="009D2E7E">
            <w:pPr>
              <w:spacing w:after="0" w:line="240" w:lineRule="auto"/>
              <w:jc w:val="left"/>
              <w:rPr>
                <w:rFonts w:eastAsia="Times New Roman" w:cs="Times New Roman"/>
                <w:b/>
                <w:bCs/>
                <w:color w:val="000000"/>
                <w:sz w:val="22"/>
                <w:lang w:eastAsia="sl-SI"/>
                <w:rPrChange w:id="1080" w:author="Urša Miklavčič [2]" w:date="2026-04-21T10:40:00Z" w16du:dateUtc="2026-04-21T08:40:00Z">
                  <w:rPr>
                    <w:rFonts w:eastAsia="Times New Roman" w:cs="Times New Roman"/>
                    <w:color w:val="000000"/>
                    <w:sz w:val="22"/>
                    <w:lang w:eastAsia="sl-SI"/>
                  </w:rPr>
                </w:rPrChange>
              </w:rPr>
            </w:pPr>
            <w:r w:rsidRPr="002846F5">
              <w:rPr>
                <w:rFonts w:eastAsia="Times New Roman" w:cs="Times New Roman"/>
                <w:b/>
                <w:bCs/>
                <w:color w:val="000000"/>
                <w:sz w:val="22"/>
                <w:lang w:eastAsia="sl-SI"/>
                <w:rPrChange w:id="1081" w:author="Urša Miklavčič [2]" w:date="2026-04-21T10:40:00Z" w16du:dateUtc="2026-04-21T08:40:00Z">
                  <w:rPr>
                    <w:rFonts w:eastAsia="Times New Roman" w:cs="Times New Roman"/>
                    <w:color w:val="000000"/>
                    <w:sz w:val="22"/>
                    <w:lang w:eastAsia="sl-SI"/>
                  </w:rPr>
                </w:rPrChange>
              </w:rPr>
              <w:t>42</w:t>
            </w:r>
          </w:p>
        </w:tc>
        <w:tc>
          <w:tcPr>
            <w:tcW w:w="1701" w:type="dxa"/>
            <w:tcBorders>
              <w:top w:val="nil"/>
              <w:left w:val="nil"/>
              <w:bottom w:val="nil"/>
              <w:right w:val="nil"/>
            </w:tcBorders>
            <w:noWrap/>
            <w:vAlign w:val="bottom"/>
            <w:hideMark/>
            <w:tcPrChange w:id="1082" w:author="Urša Miklavčič [2]" w:date="2026-04-21T10:41:00Z" w16du:dateUtc="2026-04-21T08:41:00Z">
              <w:tcPr>
                <w:tcW w:w="1559" w:type="dxa"/>
                <w:tcBorders>
                  <w:top w:val="nil"/>
                  <w:left w:val="nil"/>
                  <w:bottom w:val="nil"/>
                  <w:right w:val="nil"/>
                </w:tcBorders>
                <w:noWrap/>
                <w:vAlign w:val="bottom"/>
                <w:hideMark/>
              </w:tcPr>
            </w:tcPrChange>
          </w:tcPr>
          <w:p w14:paraId="60FCC76D" w14:textId="77777777" w:rsidR="002471F9" w:rsidRPr="002846F5" w:rsidRDefault="002471F9" w:rsidP="009D2E7E">
            <w:pPr>
              <w:spacing w:after="0" w:line="240" w:lineRule="auto"/>
              <w:jc w:val="left"/>
              <w:rPr>
                <w:rFonts w:eastAsia="Times New Roman" w:cs="Times New Roman"/>
                <w:b/>
                <w:bCs/>
                <w:color w:val="000000"/>
                <w:sz w:val="22"/>
                <w:lang w:eastAsia="sl-SI"/>
                <w:rPrChange w:id="1083" w:author="Urša Miklavčič [2]" w:date="2026-04-21T10:40:00Z" w16du:dateUtc="2026-04-21T08:40:00Z">
                  <w:rPr>
                    <w:rFonts w:eastAsia="Times New Roman" w:cs="Times New Roman"/>
                    <w:color w:val="000000"/>
                    <w:sz w:val="22"/>
                    <w:lang w:eastAsia="sl-SI"/>
                  </w:rPr>
                </w:rPrChange>
              </w:rPr>
            </w:pPr>
            <w:r w:rsidRPr="002846F5">
              <w:rPr>
                <w:rFonts w:eastAsia="Times New Roman" w:cs="Times New Roman"/>
                <w:b/>
                <w:bCs/>
                <w:color w:val="000000"/>
                <w:sz w:val="22"/>
                <w:lang w:eastAsia="sl-SI"/>
                <w:rPrChange w:id="1084" w:author="Urša Miklavčič [2]" w:date="2026-04-21T10:40:00Z" w16du:dateUtc="2026-04-21T08:40:00Z">
                  <w:rPr>
                    <w:rFonts w:eastAsia="Times New Roman" w:cs="Times New Roman"/>
                    <w:color w:val="000000"/>
                    <w:sz w:val="22"/>
                    <w:lang w:eastAsia="sl-SI"/>
                  </w:rPr>
                </w:rPrChange>
              </w:rPr>
              <w:t>26</w:t>
            </w:r>
          </w:p>
        </w:tc>
      </w:tr>
      <w:tr w:rsidR="006A08CB" w:rsidRPr="00D93D74" w14:paraId="149C9AAC" w14:textId="77777777" w:rsidTr="00C823F7">
        <w:trPr>
          <w:trHeight w:val="300"/>
          <w:trPrChange w:id="1085" w:author="Urša Miklavčič [2]" w:date="2026-04-21T10:41:00Z" w16du:dateUtc="2026-04-21T08:41:00Z">
            <w:trPr>
              <w:gridAfter w:val="0"/>
              <w:trHeight w:val="300"/>
            </w:trPr>
          </w:trPrChange>
        </w:trPr>
        <w:tc>
          <w:tcPr>
            <w:tcW w:w="3119" w:type="dxa"/>
            <w:tcBorders>
              <w:top w:val="nil"/>
              <w:left w:val="nil"/>
              <w:bottom w:val="nil"/>
              <w:right w:val="nil"/>
            </w:tcBorders>
            <w:noWrap/>
            <w:vAlign w:val="bottom"/>
            <w:hideMark/>
            <w:tcPrChange w:id="1086" w:author="Urša Miklavčič [2]" w:date="2026-04-21T10:41:00Z" w16du:dateUtc="2026-04-21T08:41:00Z">
              <w:tcPr>
                <w:tcW w:w="3119" w:type="dxa"/>
                <w:tcBorders>
                  <w:top w:val="nil"/>
                  <w:left w:val="nil"/>
                  <w:bottom w:val="nil"/>
                  <w:right w:val="nil"/>
                </w:tcBorders>
                <w:noWrap/>
                <w:vAlign w:val="bottom"/>
                <w:hideMark/>
              </w:tcPr>
            </w:tcPrChange>
          </w:tcPr>
          <w:p w14:paraId="0A7F0790"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No organism identification possible</w:t>
            </w:r>
          </w:p>
        </w:tc>
        <w:tc>
          <w:tcPr>
            <w:tcW w:w="1134" w:type="dxa"/>
            <w:gridSpan w:val="2"/>
            <w:tcBorders>
              <w:top w:val="nil"/>
              <w:left w:val="nil"/>
              <w:bottom w:val="nil"/>
              <w:right w:val="nil"/>
            </w:tcBorders>
            <w:noWrap/>
            <w:vAlign w:val="bottom"/>
            <w:hideMark/>
            <w:tcPrChange w:id="1087" w:author="Urša Miklavčič [2]" w:date="2026-04-21T10:41:00Z" w16du:dateUtc="2026-04-21T08:41:00Z">
              <w:tcPr>
                <w:tcW w:w="1134" w:type="dxa"/>
                <w:gridSpan w:val="2"/>
                <w:tcBorders>
                  <w:top w:val="nil"/>
                  <w:left w:val="nil"/>
                  <w:bottom w:val="nil"/>
                  <w:right w:val="nil"/>
                </w:tcBorders>
                <w:noWrap/>
                <w:vAlign w:val="bottom"/>
                <w:hideMark/>
              </w:tcPr>
            </w:tcPrChange>
          </w:tcPr>
          <w:p w14:paraId="4651C59A"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20</w:t>
            </w:r>
          </w:p>
        </w:tc>
        <w:tc>
          <w:tcPr>
            <w:tcW w:w="1559" w:type="dxa"/>
            <w:tcBorders>
              <w:top w:val="nil"/>
              <w:left w:val="nil"/>
              <w:bottom w:val="nil"/>
              <w:right w:val="nil"/>
            </w:tcBorders>
            <w:noWrap/>
            <w:vAlign w:val="bottom"/>
            <w:hideMark/>
            <w:tcPrChange w:id="1088" w:author="Urša Miklavčič [2]" w:date="2026-04-21T10:41:00Z" w16du:dateUtc="2026-04-21T08:41:00Z">
              <w:tcPr>
                <w:tcW w:w="1701" w:type="dxa"/>
                <w:gridSpan w:val="2"/>
                <w:tcBorders>
                  <w:top w:val="nil"/>
                  <w:left w:val="nil"/>
                  <w:bottom w:val="nil"/>
                  <w:right w:val="nil"/>
                </w:tcBorders>
                <w:noWrap/>
                <w:vAlign w:val="bottom"/>
                <w:hideMark/>
              </w:tcPr>
            </w:tcPrChange>
          </w:tcPr>
          <w:p w14:paraId="4A1677D1"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843" w:type="dxa"/>
            <w:tcBorders>
              <w:top w:val="nil"/>
              <w:left w:val="nil"/>
              <w:bottom w:val="nil"/>
              <w:right w:val="nil"/>
            </w:tcBorders>
            <w:noWrap/>
            <w:vAlign w:val="bottom"/>
            <w:hideMark/>
            <w:tcPrChange w:id="1089" w:author="Urša Miklavčič [2]" w:date="2026-04-21T10:41:00Z" w16du:dateUtc="2026-04-21T08:41:00Z">
              <w:tcPr>
                <w:tcW w:w="1843" w:type="dxa"/>
                <w:gridSpan w:val="2"/>
                <w:tcBorders>
                  <w:top w:val="nil"/>
                  <w:left w:val="nil"/>
                  <w:bottom w:val="nil"/>
                  <w:right w:val="nil"/>
                </w:tcBorders>
                <w:noWrap/>
                <w:vAlign w:val="bottom"/>
                <w:hideMark/>
              </w:tcPr>
            </w:tcPrChange>
          </w:tcPr>
          <w:p w14:paraId="5AFF62B8"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7</w:t>
            </w:r>
          </w:p>
        </w:tc>
        <w:tc>
          <w:tcPr>
            <w:tcW w:w="1701" w:type="dxa"/>
            <w:tcBorders>
              <w:top w:val="nil"/>
              <w:left w:val="nil"/>
              <w:bottom w:val="nil"/>
              <w:right w:val="nil"/>
            </w:tcBorders>
            <w:noWrap/>
            <w:vAlign w:val="bottom"/>
            <w:hideMark/>
            <w:tcPrChange w:id="1090" w:author="Urša Miklavčič [2]" w:date="2026-04-21T10:41:00Z" w16du:dateUtc="2026-04-21T08:41:00Z">
              <w:tcPr>
                <w:tcW w:w="1559" w:type="dxa"/>
                <w:tcBorders>
                  <w:top w:val="nil"/>
                  <w:left w:val="nil"/>
                  <w:bottom w:val="nil"/>
                  <w:right w:val="nil"/>
                </w:tcBorders>
                <w:noWrap/>
                <w:vAlign w:val="bottom"/>
                <w:hideMark/>
              </w:tcPr>
            </w:tcPrChange>
          </w:tcPr>
          <w:p w14:paraId="127B05DD"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6</w:t>
            </w:r>
          </w:p>
        </w:tc>
      </w:tr>
      <w:tr w:rsidR="006A08CB" w:rsidRPr="00D93D74" w14:paraId="79EB639B" w14:textId="77777777" w:rsidTr="00C823F7">
        <w:trPr>
          <w:trHeight w:val="300"/>
          <w:trPrChange w:id="1091" w:author="Urša Miklavčič [2]" w:date="2026-04-21T10:41:00Z" w16du:dateUtc="2026-04-21T08:41:00Z">
            <w:trPr>
              <w:gridAfter w:val="0"/>
              <w:trHeight w:val="300"/>
            </w:trPr>
          </w:trPrChange>
        </w:trPr>
        <w:tc>
          <w:tcPr>
            <w:tcW w:w="3119" w:type="dxa"/>
            <w:tcBorders>
              <w:top w:val="nil"/>
              <w:left w:val="nil"/>
              <w:bottom w:val="single" w:sz="4" w:space="0" w:color="auto"/>
              <w:right w:val="nil"/>
            </w:tcBorders>
            <w:noWrap/>
            <w:vAlign w:val="bottom"/>
            <w:hideMark/>
            <w:tcPrChange w:id="1092" w:author="Urša Miklavčič [2]" w:date="2026-04-21T10:41:00Z" w16du:dateUtc="2026-04-21T08:41:00Z">
              <w:tcPr>
                <w:tcW w:w="3119" w:type="dxa"/>
                <w:tcBorders>
                  <w:top w:val="nil"/>
                  <w:left w:val="nil"/>
                  <w:bottom w:val="single" w:sz="4" w:space="0" w:color="auto"/>
                  <w:right w:val="nil"/>
                </w:tcBorders>
                <w:noWrap/>
                <w:vAlign w:val="bottom"/>
                <w:hideMark/>
              </w:tcPr>
            </w:tcPrChange>
          </w:tcPr>
          <w:p w14:paraId="56E6727A" w14:textId="39DED9CF"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 xml:space="preserve">No growth after </w:t>
            </w:r>
            <w:r w:rsidR="00FE56A9" w:rsidRPr="00D93D74">
              <w:rPr>
                <w:rFonts w:eastAsia="Times New Roman" w:cs="Times New Roman"/>
                <w:color w:val="000000"/>
                <w:sz w:val="22"/>
                <w:lang w:eastAsia="sl-SI"/>
              </w:rPr>
              <w:t>first re-streaking</w:t>
            </w:r>
          </w:p>
        </w:tc>
        <w:tc>
          <w:tcPr>
            <w:tcW w:w="1134" w:type="dxa"/>
            <w:gridSpan w:val="2"/>
            <w:tcBorders>
              <w:top w:val="nil"/>
              <w:left w:val="nil"/>
              <w:bottom w:val="single" w:sz="4" w:space="0" w:color="auto"/>
              <w:right w:val="nil"/>
            </w:tcBorders>
            <w:noWrap/>
            <w:vAlign w:val="bottom"/>
            <w:hideMark/>
            <w:tcPrChange w:id="1093" w:author="Urša Miklavčič [2]" w:date="2026-04-21T10:41:00Z" w16du:dateUtc="2026-04-21T08:41:00Z">
              <w:tcPr>
                <w:tcW w:w="1134" w:type="dxa"/>
                <w:gridSpan w:val="2"/>
                <w:tcBorders>
                  <w:top w:val="nil"/>
                  <w:left w:val="nil"/>
                  <w:bottom w:val="single" w:sz="4" w:space="0" w:color="auto"/>
                  <w:right w:val="nil"/>
                </w:tcBorders>
                <w:noWrap/>
                <w:vAlign w:val="bottom"/>
                <w:hideMark/>
              </w:tcPr>
            </w:tcPrChange>
          </w:tcPr>
          <w:p w14:paraId="61C2A2C9"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0</w:t>
            </w:r>
          </w:p>
        </w:tc>
        <w:tc>
          <w:tcPr>
            <w:tcW w:w="1559" w:type="dxa"/>
            <w:tcBorders>
              <w:top w:val="nil"/>
              <w:left w:val="nil"/>
              <w:bottom w:val="single" w:sz="4" w:space="0" w:color="auto"/>
              <w:right w:val="nil"/>
            </w:tcBorders>
            <w:noWrap/>
            <w:vAlign w:val="bottom"/>
            <w:hideMark/>
            <w:tcPrChange w:id="1094" w:author="Urša Miklavčič [2]" w:date="2026-04-21T10:41:00Z" w16du:dateUtc="2026-04-21T08:41:00Z">
              <w:tcPr>
                <w:tcW w:w="1701" w:type="dxa"/>
                <w:gridSpan w:val="2"/>
                <w:tcBorders>
                  <w:top w:val="nil"/>
                  <w:left w:val="nil"/>
                  <w:bottom w:val="single" w:sz="4" w:space="0" w:color="auto"/>
                  <w:right w:val="nil"/>
                </w:tcBorders>
                <w:noWrap/>
                <w:vAlign w:val="bottom"/>
                <w:hideMark/>
              </w:tcPr>
            </w:tcPrChange>
          </w:tcPr>
          <w:p w14:paraId="02EBEB84"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4</w:t>
            </w:r>
          </w:p>
        </w:tc>
        <w:tc>
          <w:tcPr>
            <w:tcW w:w="1843" w:type="dxa"/>
            <w:tcBorders>
              <w:top w:val="nil"/>
              <w:left w:val="nil"/>
              <w:bottom w:val="single" w:sz="4" w:space="0" w:color="auto"/>
              <w:right w:val="nil"/>
            </w:tcBorders>
            <w:noWrap/>
            <w:vAlign w:val="bottom"/>
            <w:hideMark/>
            <w:tcPrChange w:id="1095" w:author="Urša Miklavčič [2]" w:date="2026-04-21T10:41:00Z" w16du:dateUtc="2026-04-21T08:41:00Z">
              <w:tcPr>
                <w:tcW w:w="1843" w:type="dxa"/>
                <w:gridSpan w:val="2"/>
                <w:tcBorders>
                  <w:top w:val="nil"/>
                  <w:left w:val="nil"/>
                  <w:bottom w:val="single" w:sz="4" w:space="0" w:color="auto"/>
                  <w:right w:val="nil"/>
                </w:tcBorders>
                <w:noWrap/>
                <w:vAlign w:val="bottom"/>
                <w:hideMark/>
              </w:tcPr>
            </w:tcPrChange>
          </w:tcPr>
          <w:p w14:paraId="2FB6C90C"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19</w:t>
            </w:r>
          </w:p>
        </w:tc>
        <w:tc>
          <w:tcPr>
            <w:tcW w:w="1701" w:type="dxa"/>
            <w:tcBorders>
              <w:top w:val="nil"/>
              <w:left w:val="nil"/>
              <w:bottom w:val="single" w:sz="4" w:space="0" w:color="auto"/>
              <w:right w:val="nil"/>
            </w:tcBorders>
            <w:noWrap/>
            <w:vAlign w:val="bottom"/>
            <w:hideMark/>
            <w:tcPrChange w:id="1096" w:author="Urša Miklavčič [2]" w:date="2026-04-21T10:41:00Z" w16du:dateUtc="2026-04-21T08:41:00Z">
              <w:tcPr>
                <w:tcW w:w="1559" w:type="dxa"/>
                <w:tcBorders>
                  <w:top w:val="nil"/>
                  <w:left w:val="nil"/>
                  <w:bottom w:val="single" w:sz="4" w:space="0" w:color="auto"/>
                  <w:right w:val="nil"/>
                </w:tcBorders>
                <w:noWrap/>
                <w:vAlign w:val="bottom"/>
                <w:hideMark/>
              </w:tcPr>
            </w:tcPrChange>
          </w:tcPr>
          <w:p w14:paraId="124B9DA4" w14:textId="77777777" w:rsidR="002471F9" w:rsidRPr="00D93D74" w:rsidRDefault="002471F9" w:rsidP="009D2E7E">
            <w:pPr>
              <w:spacing w:after="0" w:line="240" w:lineRule="auto"/>
              <w:jc w:val="left"/>
              <w:rPr>
                <w:rFonts w:eastAsia="Times New Roman" w:cs="Times New Roman"/>
                <w:color w:val="000000"/>
                <w:sz w:val="22"/>
                <w:lang w:eastAsia="sl-SI"/>
              </w:rPr>
            </w:pPr>
            <w:r w:rsidRPr="00D93D74">
              <w:rPr>
                <w:rFonts w:eastAsia="Times New Roman" w:cs="Times New Roman"/>
                <w:color w:val="000000"/>
                <w:sz w:val="22"/>
                <w:lang w:eastAsia="sl-SI"/>
              </w:rPr>
              <w:t>25</w:t>
            </w:r>
          </w:p>
        </w:tc>
      </w:tr>
    </w:tbl>
    <w:p w14:paraId="7E62D99B" w14:textId="393F4A6B" w:rsidR="000848F8" w:rsidRDefault="00CD77AB" w:rsidP="00723A85">
      <w:pPr>
        <w:pStyle w:val="FigureTable"/>
        <w:rPr>
          <w:ins w:id="1097" w:author="Urša Miklavčič [2]" w:date="2026-04-21T10:39:00Z" w16du:dateUtc="2026-04-21T08:39:00Z"/>
        </w:rPr>
      </w:pPr>
      <w:r w:rsidRPr="00D93D74">
        <w:t xml:space="preserve"> </w:t>
      </w:r>
    </w:p>
    <w:p w14:paraId="6EEAB04F" w14:textId="3C86D952" w:rsidR="002846F5" w:rsidRDefault="002846F5" w:rsidP="002846F5">
      <w:pPr>
        <w:rPr>
          <w:ins w:id="1098" w:author="Urša Miklavčič [2]" w:date="2026-04-21T10:52:00Z" w16du:dateUtc="2026-04-21T08:52:00Z"/>
        </w:rPr>
      </w:pPr>
      <w:ins w:id="1099" w:author="Urša Miklavčič [2]" w:date="2026-04-21T10:39:00Z" w16du:dateUtc="2026-04-21T08:39:00Z">
        <w:r w:rsidRPr="002846F5">
          <w:t xml:space="preserve">Pairwise average nucleotide identity (ANI) was calculated between all 44 genomes (Supplement Figure </w:t>
        </w:r>
      </w:ins>
      <w:ins w:id="1100" w:author="Urša Miklavčič [2]" w:date="2026-04-21T10:40:00Z" w16du:dateUtc="2026-04-21T08:40:00Z">
        <w:r>
          <w:t>1</w:t>
        </w:r>
      </w:ins>
      <w:ins w:id="1101" w:author="Urša Miklavčič [2]" w:date="2026-04-21T13:31:00Z" w16du:dateUtc="2026-04-21T11:31:00Z">
        <w:r w:rsidR="00554FAF">
          <w:t>5</w:t>
        </w:r>
      </w:ins>
      <w:ins w:id="1102" w:author="Urša Miklavčič [2]" w:date="2026-04-21T10:39:00Z" w16du:dateUtc="2026-04-21T08:39:00Z">
        <w:r w:rsidRPr="002846F5">
          <w:t xml:space="preserve">). Two genomes with ANI values below 95% were excluded from further analysis, one identified as </w:t>
        </w:r>
        <w:r w:rsidRPr="002846F5">
          <w:rPr>
            <w:i/>
            <w:iCs/>
            <w:rPrChange w:id="1103" w:author="Urša Miklavčič [2]" w:date="2026-04-21T10:40:00Z" w16du:dateUtc="2026-04-21T08:40:00Z">
              <w:rPr/>
            </w:rPrChange>
          </w:rPr>
          <w:t>Clostridium paraputrificium</w:t>
        </w:r>
        <w:r w:rsidRPr="002846F5">
          <w:t xml:space="preserve"> (H005_126) and one mixed isolate containing both </w:t>
        </w:r>
        <w:r w:rsidRPr="002846F5">
          <w:rPr>
            <w:i/>
            <w:iCs/>
            <w:rPrChange w:id="1104" w:author="Urša Miklavčič [2]" w:date="2026-04-21T10:40:00Z" w16du:dateUtc="2026-04-21T08:40:00Z">
              <w:rPr/>
            </w:rPrChange>
          </w:rPr>
          <w:t>C. paraputrificium</w:t>
        </w:r>
        <w:r w:rsidRPr="002846F5">
          <w:t xml:space="preserve"> and </w:t>
        </w:r>
        <w:r w:rsidRPr="002846F5">
          <w:rPr>
            <w:i/>
            <w:iCs/>
            <w:rPrChange w:id="1105" w:author="Urša Miklavčič [2]" w:date="2026-04-21T10:40:00Z" w16du:dateUtc="2026-04-21T08:40:00Z">
              <w:rPr/>
            </w:rPrChange>
          </w:rPr>
          <w:t>C. saudiense</w:t>
        </w:r>
        <w:r w:rsidRPr="002846F5">
          <w:t xml:space="preserve"> (H00</w:t>
        </w:r>
      </w:ins>
      <w:r w:rsidR="001A4A52">
        <w:t>5</w:t>
      </w:r>
      <w:ins w:id="1106" w:author="Urša Miklavčič [2]" w:date="2026-04-21T10:39:00Z" w16du:dateUtc="2026-04-21T08:39:00Z">
        <w:r w:rsidRPr="002846F5">
          <w:t xml:space="preserve">_94). The remaining 42 genomes represented </w:t>
        </w:r>
        <w:r w:rsidRPr="002846F5">
          <w:rPr>
            <w:i/>
            <w:iCs/>
            <w:rPrChange w:id="1107" w:author="Urša Miklavčič [2]" w:date="2026-04-21T10:40:00Z" w16du:dateUtc="2026-04-21T08:40:00Z">
              <w:rPr/>
            </w:rPrChange>
          </w:rPr>
          <w:t>C. saudiense</w:t>
        </w:r>
        <w:r w:rsidRPr="002846F5">
          <w:t xml:space="preserve"> isolates: 8 from pre-, 16 from the mid-, and 18 from post-antibiotic samples.</w:t>
        </w:r>
      </w:ins>
    </w:p>
    <w:p w14:paraId="71E2C752" w14:textId="77777777" w:rsidR="003F2EB4" w:rsidRDefault="003F2EB4" w:rsidP="002846F5">
      <w:pPr>
        <w:rPr>
          <w:ins w:id="1108" w:author="Urša Miklavčič [2]" w:date="2026-04-21T10:51:00Z" w16du:dateUtc="2026-04-21T08:51:00Z"/>
        </w:rPr>
      </w:pPr>
    </w:p>
    <w:p w14:paraId="3677A361" w14:textId="5369AA22" w:rsidR="00EE2DCF" w:rsidRPr="00D93D74" w:rsidDel="003F2EB4" w:rsidRDefault="00EE2DCF">
      <w:pPr>
        <w:rPr>
          <w:del w:id="1109" w:author="Urša Miklavčič [2]" w:date="2026-04-21T10:52:00Z" w16du:dateUtc="2026-04-21T08:52:00Z"/>
        </w:rPr>
        <w:pPrChange w:id="1110" w:author="Urša Miklavčič [2]" w:date="2026-04-21T10:39:00Z" w16du:dateUtc="2026-04-21T08:39:00Z">
          <w:pPr>
            <w:pStyle w:val="FigureTable"/>
          </w:pPr>
        </w:pPrChange>
      </w:pPr>
      <w:bookmarkStart w:id="1111" w:name="_Toc228252050"/>
      <w:bookmarkEnd w:id="1111"/>
    </w:p>
    <w:p w14:paraId="43FA87B2" w14:textId="6D505290" w:rsidR="004D77C6" w:rsidRPr="00D93D74" w:rsidRDefault="004D77C6">
      <w:pPr>
        <w:pStyle w:val="Naslov3"/>
        <w:numPr>
          <w:ilvl w:val="2"/>
          <w:numId w:val="3"/>
        </w:numPr>
      </w:pPr>
      <w:bookmarkStart w:id="1112" w:name="_Toc216099756"/>
      <w:bookmarkStart w:id="1113" w:name="_Toc220932879"/>
      <w:bookmarkStart w:id="1114" w:name="_Toc228252051"/>
      <w:r w:rsidRPr="00D93D74">
        <w:t>Average nucleotide identity</w:t>
      </w:r>
      <w:r w:rsidR="007861E7" w:rsidRPr="00D93D74">
        <w:t>, core SNPs analysis and pangenome construction</w:t>
      </w:r>
      <w:bookmarkEnd w:id="1112"/>
      <w:bookmarkEnd w:id="1113"/>
      <w:bookmarkEnd w:id="1114"/>
    </w:p>
    <w:p w14:paraId="5285141E" w14:textId="3ABE01C7" w:rsidR="003F2EB4" w:rsidRPr="00D93D74" w:rsidRDefault="003F2EB4" w:rsidP="003F2EB4">
      <w:pPr>
        <w:rPr>
          <w:ins w:id="1115" w:author="Urša Miklavčič [2]" w:date="2026-04-21T10:52:00Z" w16du:dateUtc="2026-04-21T08:52:00Z"/>
        </w:rPr>
      </w:pPr>
      <w:ins w:id="1116" w:author="Urša Miklavčič [2]" w:date="2026-04-21T10:52:00Z" w16du:dateUtc="2026-04-21T08:52:00Z">
        <w:r w:rsidRPr="00EE2DCF">
          <w:t xml:space="preserve">Genome sizes ranged from 3.7 to 4.4 Mbp, with an average GC content of 28.04% (SD = 0.05). Compared with published </w:t>
        </w:r>
        <w:r w:rsidRPr="00696238">
          <w:rPr>
            <w:i/>
            <w:iCs/>
          </w:rPr>
          <w:t>C. saudiense</w:t>
        </w:r>
        <w:r w:rsidRPr="00EE2DCF">
          <w:t xml:space="preserve"> genomes (average 3.6 Mbp, 27.93% GC), our assemblies were slightly larger but notably less fragmented, hybrid assembly reduced contig count from 62 (previous best) to as few as 5 (</w:t>
        </w:r>
        <w:r>
          <w:t xml:space="preserve">Supplement </w:t>
        </w:r>
      </w:ins>
      <w:ins w:id="1117" w:author="Urša Miklavčič [2]" w:date="2026-04-21T13:27:00Z" w16du:dateUtc="2026-04-21T11:27:00Z">
        <w:r w:rsidR="00554FAF">
          <w:t>T</w:t>
        </w:r>
      </w:ins>
      <w:ins w:id="1118" w:author="Urša Miklavčič [2]" w:date="2026-04-21T10:52:00Z" w16du:dateUtc="2026-04-21T08:52:00Z">
        <w:r>
          <w:t>able 5</w:t>
        </w:r>
        <w:r w:rsidRPr="00EE2DCF">
          <w:t xml:space="preserve">). The core genome comprised 2,657 genes shared across all </w:t>
        </w:r>
      </w:ins>
      <w:r w:rsidR="00696238">
        <w:rPr>
          <w:i/>
          <w:iCs/>
        </w:rPr>
        <w:t xml:space="preserve">C. saudiense </w:t>
      </w:r>
      <w:ins w:id="1119" w:author="Urša Miklavčič [2]" w:date="2026-04-21T10:52:00Z" w16du:dateUtc="2026-04-21T08:52:00Z">
        <w:r w:rsidRPr="00EE2DCF">
          <w:t>isolates. On average, each genome contained 3,644 genes (range = 3,434 – 3,992), including on average 987 accessory genes (range = 777 – 1,265).</w:t>
        </w:r>
      </w:ins>
    </w:p>
    <w:p w14:paraId="3E7119D7" w14:textId="55DB75C6" w:rsidR="003F2EB4" w:rsidRPr="00A90451" w:rsidRDefault="003F2EB4" w:rsidP="003F2EB4">
      <w:pPr>
        <w:rPr>
          <w:ins w:id="1120" w:author="Urša Miklavčič [2]" w:date="2026-04-21T10:53:00Z" w16du:dateUtc="2026-04-21T08:53:00Z"/>
          <w:rFonts w:cs="Times New Roman"/>
          <w:szCs w:val="24"/>
        </w:rPr>
      </w:pPr>
      <w:ins w:id="1121" w:author="Urša Miklavčič [2]" w:date="2026-04-21T10:53:00Z" w16du:dateUtc="2026-04-21T08:53:00Z">
        <w:r w:rsidRPr="00A90451">
          <w:rPr>
            <w:rFonts w:cs="Times New Roman"/>
            <w:szCs w:val="24"/>
          </w:rPr>
          <w:t>Pairwise ANI comparisons indicated a strain break threshold at 99.72% identity (Figure </w:t>
        </w:r>
        <w:r>
          <w:rPr>
            <w:rFonts w:cs="Times New Roman"/>
            <w:szCs w:val="24"/>
          </w:rPr>
          <w:t>18</w:t>
        </w:r>
        <w:r w:rsidRPr="00A90451">
          <w:rPr>
            <w:rFonts w:cs="Times New Roman"/>
            <w:szCs w:val="24"/>
          </w:rPr>
          <w:t xml:space="preserve">). Applying the pyANI‑plus ‘classify’ command, we identified five distinct </w:t>
        </w:r>
        <w:r w:rsidRPr="00A90451">
          <w:rPr>
            <w:rFonts w:cs="Times New Roman"/>
            <w:i/>
            <w:iCs/>
            <w:szCs w:val="24"/>
          </w:rPr>
          <w:t>C. saudiense</w:t>
        </w:r>
        <w:r w:rsidRPr="00A90451">
          <w:rPr>
            <w:rFonts w:cs="Times New Roman"/>
            <w:szCs w:val="24"/>
          </w:rPr>
          <w:t xml:space="preserve"> strain groups, one of which contained a single genome. The </w:t>
        </w:r>
        <w:r>
          <w:rPr>
            <w:rFonts w:cs="Times New Roman"/>
            <w:szCs w:val="24"/>
          </w:rPr>
          <w:t>lower</w:t>
        </w:r>
        <w:r w:rsidRPr="00A90451">
          <w:rPr>
            <w:rFonts w:cs="Times New Roman"/>
            <w:szCs w:val="24"/>
          </w:rPr>
          <w:t xml:space="preserve"> panel of Figure </w:t>
        </w:r>
        <w:r>
          <w:rPr>
            <w:rFonts w:cs="Times New Roman"/>
            <w:szCs w:val="24"/>
          </w:rPr>
          <w:t>18</w:t>
        </w:r>
        <w:r w:rsidRPr="00A90451">
          <w:rPr>
            <w:rFonts w:cs="Times New Roman"/>
            <w:szCs w:val="24"/>
          </w:rPr>
          <w:t xml:space="preserve"> shows that coverage expectantly correlates to </w:t>
        </w:r>
      </w:ins>
      <w:r w:rsidR="00696238" w:rsidRPr="00A90451">
        <w:rPr>
          <w:rFonts w:cs="Times New Roman"/>
          <w:szCs w:val="24"/>
        </w:rPr>
        <w:t>ANI but</w:t>
      </w:r>
      <w:ins w:id="1122" w:author="Urša Miklavčič [2]" w:date="2026-04-21T10:53:00Z" w16du:dateUtc="2026-04-21T08:53:00Z">
        <w:r w:rsidRPr="00A90451">
          <w:rPr>
            <w:rFonts w:cs="Times New Roman"/>
            <w:szCs w:val="24"/>
          </w:rPr>
          <w:t xml:space="preserve"> reveals clear gene loss/gain events in strains</w:t>
        </w:r>
      </w:ins>
      <w:r w:rsidR="00696238">
        <w:rPr>
          <w:rFonts w:cs="Times New Roman"/>
          <w:szCs w:val="24"/>
        </w:rPr>
        <w:t xml:space="preserve"> </w:t>
      </w:r>
      <w:ins w:id="1123" w:author="Urša Miklavčič [2]" w:date="2026-04-21T10:53:00Z" w16du:dateUtc="2026-04-21T08:53:00Z">
        <w:r w:rsidRPr="00A90451">
          <w:rPr>
            <w:rFonts w:cs="Times New Roman"/>
            <w:szCs w:val="24"/>
          </w:rPr>
          <w:t xml:space="preserve">(Figure </w:t>
        </w:r>
        <w:r>
          <w:rPr>
            <w:rFonts w:cs="Times New Roman"/>
            <w:szCs w:val="24"/>
          </w:rPr>
          <w:t>18</w:t>
        </w:r>
        <w:r w:rsidRPr="00A90451">
          <w:rPr>
            <w:rFonts w:cs="Times New Roman"/>
            <w:szCs w:val="24"/>
          </w:rPr>
          <w:t xml:space="preserve">, Spearman rho = 0.92, p &lt; 0.001). </w:t>
        </w:r>
      </w:ins>
    </w:p>
    <w:p w14:paraId="42F06C89" w14:textId="77777777" w:rsidR="003F2EB4" w:rsidRDefault="003F2EB4" w:rsidP="00007F32">
      <w:pPr>
        <w:rPr>
          <w:ins w:id="1124" w:author="Urša Miklavčič [2]" w:date="2026-04-21T10:53:00Z" w16du:dateUtc="2026-04-21T08:53:00Z"/>
        </w:rPr>
      </w:pPr>
    </w:p>
    <w:p w14:paraId="4C97B64F" w14:textId="08921192" w:rsidR="00007F32" w:rsidRPr="00D93D74" w:rsidDel="003F2EB4" w:rsidRDefault="00007F32" w:rsidP="00007F32">
      <w:pPr>
        <w:rPr>
          <w:del w:id="1125" w:author="Urša Miklavčič [2]" w:date="2026-04-21T10:53:00Z" w16du:dateUtc="2026-04-21T08:53:00Z"/>
        </w:rPr>
      </w:pPr>
      <w:del w:id="1126" w:author="Urša Miklavčič [2]" w:date="2026-04-21T10:53:00Z" w16du:dateUtc="2026-04-21T08:53:00Z">
        <w:r w:rsidRPr="00D93D74" w:rsidDel="003F2EB4">
          <w:delText>We first determined pairwise average nucleotide identity (ANI) between all obtained genomes</w:delText>
        </w:r>
        <w:commentRangeStart w:id="1127"/>
        <w:commentRangeEnd w:id="1127"/>
        <w:r w:rsidRPr="00D93D74" w:rsidDel="003F2EB4">
          <w:rPr>
            <w:rStyle w:val="Pripombasklic"/>
            <w:sz w:val="24"/>
            <w:szCs w:val="22"/>
          </w:rPr>
          <w:commentReference w:id="1127"/>
        </w:r>
        <w:r w:rsidRPr="00D93D74" w:rsidDel="003F2EB4">
          <w:delText xml:space="preserve">. We observed two genomes with ANI scores below 95%. One was identified as </w:delText>
        </w:r>
        <w:r w:rsidRPr="00D93D74" w:rsidDel="003F2EB4">
          <w:rPr>
            <w:i/>
            <w:iCs/>
          </w:rPr>
          <w:delText>Clostridium paraputrificium</w:delText>
        </w:r>
        <w:r w:rsidRPr="00D93D74" w:rsidDel="003F2EB4">
          <w:delText xml:space="preserve">, while the other was a mixed isolate of </w:delText>
        </w:r>
        <w:r w:rsidRPr="00D93D74" w:rsidDel="003F2EB4">
          <w:rPr>
            <w:i/>
            <w:iCs/>
          </w:rPr>
          <w:delText xml:space="preserve">C. paraputrificium </w:delText>
        </w:r>
        <w:r w:rsidRPr="00D93D74" w:rsidDel="003F2EB4">
          <w:delText xml:space="preserve">and </w:delText>
        </w:r>
        <w:r w:rsidRPr="00D93D74" w:rsidDel="003F2EB4">
          <w:rPr>
            <w:i/>
            <w:iCs/>
          </w:rPr>
          <w:delText>C. saudiense</w:delText>
        </w:r>
        <w:r w:rsidRPr="00D93D74" w:rsidDel="003F2EB4">
          <w:delText xml:space="preserve">. These were excluded from the analysis. </w:delText>
        </w:r>
      </w:del>
    </w:p>
    <w:p w14:paraId="60B187A0" w14:textId="18AF63B7" w:rsidR="00EA0998" w:rsidRPr="00D93D74" w:rsidDel="003F2EB4" w:rsidRDefault="00007F32" w:rsidP="00007F32">
      <w:pPr>
        <w:rPr>
          <w:del w:id="1128" w:author="Urša Miklavčič [2]" w:date="2026-04-21T10:53:00Z" w16du:dateUtc="2026-04-21T08:53:00Z"/>
          <w:rFonts w:cs="Times New Roman"/>
          <w:szCs w:val="24"/>
        </w:rPr>
      </w:pPr>
      <w:del w:id="1129" w:author="Urša Miklavčič [2]" w:date="2026-04-21T10:53:00Z" w16du:dateUtc="2026-04-21T08:53:00Z">
        <w:r w:rsidRPr="00D93D74" w:rsidDel="003F2EB4">
          <w:delText xml:space="preserve">We determined the strain break after pairwise comparisons of all 42 </w:delText>
        </w:r>
        <w:r w:rsidRPr="00D93D74" w:rsidDel="003F2EB4">
          <w:rPr>
            <w:i/>
            <w:iCs/>
          </w:rPr>
          <w:delText>C. saudiense</w:delText>
        </w:r>
        <w:r w:rsidRPr="00D93D74" w:rsidDel="003F2EB4">
          <w:delText xml:space="preserve"> genomes to be 99.98% based on pairwise ANI comparisons (Figure 16). Using a similarity network analysis based on pairwise ANI scores, we identified five strain groups, with one genome determined as singleton. These ANI‑defined strain groups were confirmed by a neighbour‑joining tree built from core genome SNPs, using first ever sequenced </w:delText>
        </w:r>
        <w:r w:rsidRPr="00D93D74" w:rsidDel="003F2EB4">
          <w:rPr>
            <w:i/>
            <w:iCs/>
          </w:rPr>
          <w:delText>C. saudiense</w:delText>
        </w:r>
        <w:r w:rsidRPr="00D93D74" w:rsidDel="003F2EB4">
          <w:delText xml:space="preserve"> as a reference (no. contigs = 64).</w:delText>
        </w:r>
      </w:del>
    </w:p>
    <w:p w14:paraId="11E0F9EB" w14:textId="05ABB079" w:rsidR="00E9210E" w:rsidRPr="00D93D74" w:rsidRDefault="00D53DA9" w:rsidP="00E9210E">
      <w:pPr>
        <w:keepNext/>
      </w:pPr>
      <w:del w:id="1130" w:author="Urša Miklavčič [2]" w:date="2026-04-21T10:53:00Z" w16du:dateUtc="2026-04-21T08:53:00Z">
        <w:r w:rsidRPr="00D93D74" w:rsidDel="003F2EB4">
          <w:rPr>
            <w:rFonts w:cs="Times New Roman"/>
            <w:noProof/>
            <w:szCs w:val="24"/>
          </w:rPr>
          <w:drawing>
            <wp:inline distT="0" distB="0" distL="0" distR="0" wp14:anchorId="17D40C18" wp14:editId="326AEE84">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del>
      <w:ins w:id="1131" w:author="Urša Miklavčič [2]" w:date="2026-04-21T10:54:00Z" w16du:dateUtc="2026-04-21T08:54:00Z">
        <w:r w:rsidR="003F2EB4">
          <w:rPr>
            <w:noProof/>
          </w:rPr>
          <w:drawing>
            <wp:inline distT="0" distB="0" distL="0" distR="0" wp14:anchorId="71C8FC1B" wp14:editId="455602C7">
              <wp:extent cx="5416407" cy="4166558"/>
              <wp:effectExtent l="0" t="0" r="0" b="5715"/>
              <wp:docPr id="696875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21692" cy="4170624"/>
                      </a:xfrm>
                      <a:prstGeom prst="rect">
                        <a:avLst/>
                      </a:prstGeom>
                      <a:noFill/>
                      <a:ln>
                        <a:noFill/>
                      </a:ln>
                    </pic:spPr>
                  </pic:pic>
                </a:graphicData>
              </a:graphic>
            </wp:inline>
          </w:drawing>
        </w:r>
      </w:ins>
    </w:p>
    <w:p w14:paraId="7EE072E0" w14:textId="30EA27E8" w:rsidR="00E9210E" w:rsidRPr="003F2EB4" w:rsidRDefault="00E9210E">
      <w:pPr>
        <w:pStyle w:val="FigureTable"/>
        <w:rPr>
          <w:b/>
          <w:bCs w:val="0"/>
          <w:sz w:val="24"/>
          <w:rPrChange w:id="1132" w:author="Urša Miklavčič [2]" w:date="2026-04-21T10:54:00Z" w16du:dateUtc="2026-04-21T08:54:00Z">
            <w:rPr>
              <w:b w:val="0"/>
              <w:bCs/>
              <w:sz w:val="22"/>
              <w:szCs w:val="22"/>
            </w:rPr>
          </w:rPrChange>
        </w:rPr>
        <w:pPrChange w:id="1133" w:author="Urša Miklavčič [2]" w:date="2026-04-21T10:55:00Z" w16du:dateUtc="2026-04-21T08:55:00Z">
          <w:pPr>
            <w:pStyle w:val="Napis"/>
          </w:pPr>
        </w:pPrChange>
      </w:pPr>
      <w:bookmarkStart w:id="1134" w:name="_Toc216101631"/>
      <w:r w:rsidRPr="003F2EB4">
        <w:rPr>
          <w:b/>
          <w:bCs w:val="0"/>
          <w:rPrChange w:id="1135" w:author="Urša Miklavčič [2]" w:date="2026-04-21T10:55:00Z" w16du:dateUtc="2026-04-21T08:55:00Z">
            <w:rPr>
              <w:b w:val="0"/>
              <w:bCs/>
              <w:iCs w:val="0"/>
            </w:rPr>
          </w:rPrChange>
        </w:rPr>
        <w:t xml:space="preserve">Figure </w:t>
      </w:r>
      <w:r w:rsidR="00007F32" w:rsidRPr="003F2EB4">
        <w:rPr>
          <w:b/>
          <w:bCs w:val="0"/>
          <w:rPrChange w:id="1136" w:author="Urša Miklavčič [2]" w:date="2026-04-21T10:55:00Z" w16du:dateUtc="2026-04-21T08:55:00Z">
            <w:rPr>
              <w:b w:val="0"/>
              <w:bCs/>
              <w:iCs w:val="0"/>
            </w:rPr>
          </w:rPrChange>
        </w:rPr>
        <w:t>1</w:t>
      </w:r>
      <w:ins w:id="1137" w:author="Urša Miklavčič [2]" w:date="2026-04-21T10:54:00Z" w16du:dateUtc="2026-04-21T08:54:00Z">
        <w:r w:rsidR="003F2EB4" w:rsidRPr="003F2EB4">
          <w:rPr>
            <w:b/>
            <w:bCs w:val="0"/>
            <w:rPrChange w:id="1138" w:author="Urša Miklavčič [2]" w:date="2026-04-21T10:55:00Z" w16du:dateUtc="2026-04-21T08:55:00Z">
              <w:rPr>
                <w:b w:val="0"/>
                <w:bCs/>
                <w:iCs w:val="0"/>
              </w:rPr>
            </w:rPrChange>
          </w:rPr>
          <w:t>7</w:t>
        </w:r>
      </w:ins>
      <w:del w:id="1139" w:author="Urša Miklavčič [2]" w:date="2026-04-21T10:54:00Z" w16du:dateUtc="2026-04-21T08:54:00Z">
        <w:r w:rsidR="00007F32" w:rsidRPr="003F2EB4" w:rsidDel="003F2EB4">
          <w:rPr>
            <w:b/>
            <w:bCs w:val="0"/>
            <w:rPrChange w:id="1140" w:author="Urša Miklavčič [2]" w:date="2026-04-21T10:55:00Z" w16du:dateUtc="2026-04-21T08:55:00Z">
              <w:rPr>
                <w:b w:val="0"/>
                <w:bCs/>
                <w:iCs w:val="0"/>
              </w:rPr>
            </w:rPrChange>
          </w:rPr>
          <w:delText>6</w:delText>
        </w:r>
      </w:del>
      <w:r w:rsidRPr="003F2EB4">
        <w:rPr>
          <w:b/>
          <w:bCs w:val="0"/>
          <w:rPrChange w:id="1141" w:author="Urša Miklavčič [2]" w:date="2026-04-21T10:55:00Z" w16du:dateUtc="2026-04-21T08:55:00Z">
            <w:rPr>
              <w:b w:val="0"/>
              <w:bCs/>
              <w:iCs w:val="0"/>
            </w:rPr>
          </w:rPrChange>
        </w:rPr>
        <w:t>.</w:t>
      </w:r>
      <w:r w:rsidRPr="00D93D74">
        <w:t xml:space="preserve"> </w:t>
      </w:r>
      <w:ins w:id="1142" w:author="Urša Miklavčič [2]" w:date="2026-04-21T10:54:00Z" w16du:dateUtc="2026-04-21T08:54:00Z">
        <w:r w:rsidR="003F2EB4" w:rsidRPr="00A90451">
          <w:rPr>
            <w:b/>
          </w:rPr>
          <w:t xml:space="preserve">Genome coverage and pairwise average nucleotide identity (ANI) comparison for 42 </w:t>
        </w:r>
        <w:r w:rsidR="003F2EB4" w:rsidRPr="00A90451">
          <w:rPr>
            <w:b/>
            <w:i/>
            <w:iCs/>
          </w:rPr>
          <w:t>C. saudiense</w:t>
        </w:r>
        <w:r w:rsidR="003F2EB4" w:rsidRPr="00A90451">
          <w:rPr>
            <w:b/>
          </w:rPr>
          <w:t xml:space="preserve"> genomes.</w:t>
        </w:r>
        <w:r w:rsidR="003F2EB4" w:rsidRPr="00A90451">
          <w:t xml:space="preserve"> Both genome coverage and ANI were calculated with pyANI-plus program utilizing the ANI blast program</w:t>
        </w:r>
      </w:ins>
      <w:del w:id="1143" w:author="Urša Miklavčič [2]" w:date="2026-04-21T10:54:00Z" w16du:dateUtc="2026-04-21T08:54:00Z">
        <w:r w:rsidR="00503055" w:rsidRPr="00D93D74" w:rsidDel="003F2EB4">
          <w:delText>P</w:delText>
        </w:r>
        <w:r w:rsidRPr="00D93D74" w:rsidDel="003F2EB4">
          <w:delText xml:space="preserve">airwise average nucleotide identity comparison for all isolate genomes determined as </w:delText>
        </w:r>
        <w:r w:rsidRPr="00D93D74" w:rsidDel="003F2EB4">
          <w:rPr>
            <w:i/>
          </w:rPr>
          <w:delText xml:space="preserve">C. saudiense. </w:delText>
        </w:r>
        <w:r w:rsidRPr="00D93D74" w:rsidDel="003F2EB4">
          <w:delText>Average nucleotide identity was calculated with pyANI-plus program utilizing the ANI blast program</w:delText>
        </w:r>
      </w:del>
      <w:ins w:id="1144" w:author="Urša Miklavčič [2]" w:date="2026-04-21T10:54:00Z" w16du:dateUtc="2026-04-21T08:54:00Z">
        <w:r w:rsidR="003F2EB4">
          <w:t xml:space="preserve">. </w:t>
        </w:r>
      </w:ins>
      <w:del w:id="1145" w:author="Urša Miklavčič [2]" w:date="2026-04-21T10:54:00Z" w16du:dateUtc="2026-04-21T08:54:00Z">
        <w:r w:rsidRPr="00D93D74" w:rsidDel="003F2EB4">
          <w:delText>, but also ANIm and sourmash (Supplement Figure 1</w:delText>
        </w:r>
      </w:del>
      <w:del w:id="1146" w:author="Urša Miklavčič [2]" w:date="2026-01-29T14:51:00Z" w16du:dateUtc="2026-01-29T13:51:00Z">
        <w:r w:rsidR="00503055" w:rsidRPr="00D93D74" w:rsidDel="00ED4887">
          <w:delText>5</w:delText>
        </w:r>
      </w:del>
      <w:del w:id="1147" w:author="Urša Miklavčič [2]" w:date="2026-04-21T10:54:00Z" w16du:dateUtc="2026-04-21T08:54:00Z">
        <w:r w:rsidRPr="00D93D74" w:rsidDel="003F2EB4">
          <w:delText>, 1</w:delText>
        </w:r>
      </w:del>
      <w:del w:id="1148" w:author="Urša Miklavčič [2]" w:date="2026-01-29T14:51:00Z" w16du:dateUtc="2026-01-29T13:51:00Z">
        <w:r w:rsidR="00503055" w:rsidRPr="00D93D74" w:rsidDel="00ED4887">
          <w:delText>6</w:delText>
        </w:r>
      </w:del>
      <w:del w:id="1149" w:author="Urša Miklavčič [2]" w:date="2026-04-21T10:54:00Z" w16du:dateUtc="2026-04-21T08:54:00Z">
        <w:r w:rsidRPr="00D93D74" w:rsidDel="003F2EB4">
          <w:delText>).</w:delText>
        </w:r>
        <w:bookmarkEnd w:id="1134"/>
        <w:r w:rsidRPr="00D93D74" w:rsidDel="003F2EB4">
          <w:delText xml:space="preserve">  </w:delText>
        </w:r>
      </w:del>
    </w:p>
    <w:p w14:paraId="7BDBCEBC" w14:textId="77777777" w:rsidR="00EA0998" w:rsidRPr="00D93D74" w:rsidRDefault="00EA0998" w:rsidP="00EA0998"/>
    <w:p w14:paraId="618C3441" w14:textId="11228591" w:rsidR="003F2EB4" w:rsidRPr="00A90451" w:rsidRDefault="003F2EB4" w:rsidP="003F2EB4">
      <w:pPr>
        <w:rPr>
          <w:rFonts w:cs="Times New Roman"/>
          <w:szCs w:val="24"/>
        </w:rPr>
      </w:pPr>
      <w:r w:rsidRPr="00A90451">
        <w:rPr>
          <w:rFonts w:cs="Times New Roman"/>
          <w:szCs w:val="24"/>
        </w:rPr>
        <w:lastRenderedPageBreak/>
        <w:t>From each of the five strain groups determined by ANIb analysis, one representative genome with the highest coverage and lowest number contigs was selected for resequencing using Oxford Nanopore MinION platform. Hybrid assemblies combining short and long read we</w:t>
      </w:r>
      <w:r>
        <w:rPr>
          <w:rFonts w:cs="Times New Roman"/>
          <w:szCs w:val="24"/>
        </w:rPr>
        <w:t>r</w:t>
      </w:r>
      <w:r w:rsidRPr="00A90451">
        <w:rPr>
          <w:rFonts w:cs="Times New Roman"/>
          <w:szCs w:val="24"/>
        </w:rPr>
        <w:t xml:space="preserve">e then generated to improve completeness and accuracy. Genome H005_98 was used as the reference genome for single nucleotide polymorphism (SNP) analysis across the core genome. The resulting phylogenetic tree based on core genome SNPs resolved seven distinct </w:t>
      </w:r>
      <w:r w:rsidRPr="00A90451">
        <w:rPr>
          <w:rFonts w:cs="Times New Roman"/>
          <w:i/>
          <w:iCs/>
          <w:szCs w:val="24"/>
        </w:rPr>
        <w:t xml:space="preserve">C. saudiense </w:t>
      </w:r>
      <w:r w:rsidRPr="00A90451">
        <w:rPr>
          <w:rFonts w:cs="Times New Roman"/>
          <w:szCs w:val="24"/>
        </w:rPr>
        <w:t xml:space="preserve">strains, including one singleton (Figure </w:t>
      </w:r>
      <w:r>
        <w:rPr>
          <w:rFonts w:cs="Times New Roman"/>
          <w:szCs w:val="24"/>
        </w:rPr>
        <w:t>18</w:t>
      </w:r>
      <w:r w:rsidRPr="00A90451">
        <w:rPr>
          <w:rFonts w:cs="Times New Roman"/>
          <w:szCs w:val="24"/>
        </w:rPr>
        <w:t>). This grouping was consistent with phylogenies derived from core gene alignments and with accessory gene distributions in the pangenome (Supplement</w:t>
      </w:r>
      <w:del w:id="1150" w:author="Urša Miklavčič [2]" w:date="2026-04-21T13:27:00Z" w16du:dateUtc="2026-04-21T11:27:00Z">
        <w:r w:rsidRPr="00A90451" w:rsidDel="00554FAF">
          <w:rPr>
            <w:rFonts w:cs="Times New Roman"/>
            <w:szCs w:val="24"/>
          </w:rPr>
          <w:delText>ary</w:delText>
        </w:r>
      </w:del>
      <w:r w:rsidRPr="00A90451">
        <w:rPr>
          <w:rFonts w:cs="Times New Roman"/>
          <w:szCs w:val="24"/>
        </w:rPr>
        <w:t xml:space="preserve"> Figure </w:t>
      </w:r>
      <w:r>
        <w:rPr>
          <w:rFonts w:cs="Times New Roman"/>
          <w:szCs w:val="24"/>
        </w:rPr>
        <w:t>1</w:t>
      </w:r>
      <w:ins w:id="1151" w:author="Urša Miklavčič [2]" w:date="2026-04-21T13:31:00Z" w16du:dateUtc="2026-04-21T11:31:00Z">
        <w:r w:rsidR="00554FAF">
          <w:rPr>
            <w:rFonts w:cs="Times New Roman"/>
            <w:szCs w:val="24"/>
          </w:rPr>
          <w:t>6</w:t>
        </w:r>
      </w:ins>
      <w:del w:id="1152" w:author="Urša Miklavčič [2]" w:date="2026-04-21T13:27:00Z" w16du:dateUtc="2026-04-21T11:27:00Z">
        <w:r w:rsidDel="00554FAF">
          <w:rPr>
            <w:rFonts w:cs="Times New Roman"/>
            <w:szCs w:val="24"/>
          </w:rPr>
          <w:delText>8</w:delText>
        </w:r>
      </w:del>
      <w:r w:rsidRPr="00A90451">
        <w:rPr>
          <w:rFonts w:cs="Times New Roman"/>
          <w:szCs w:val="24"/>
        </w:rPr>
        <w:t>). Notably, no new bacteriophages or other mobile genetic elements as determined by breseq were detected in any strain over the 60‑day interval between the first and last sample.</w:t>
      </w:r>
      <w:r>
        <w:rPr>
          <w:rFonts w:cs="Times New Roman"/>
          <w:szCs w:val="24"/>
        </w:rPr>
        <w:t xml:space="preserve"> </w:t>
      </w:r>
      <w:r w:rsidRPr="00A90451">
        <w:rPr>
          <w:rFonts w:cs="Times New Roman"/>
          <w:szCs w:val="24"/>
        </w:rPr>
        <w:t xml:space="preserve">Strain detection patterns varied across time points. Strains 1, 2 (the singleton), 3, 4, and 5 appeared at only one of the three sampling points, while strain 7 was observed at two points before and during antibiotic use. Only strain 6 was present at all three sampling points. </w:t>
      </w:r>
    </w:p>
    <w:p w14:paraId="0685F9C0" w14:textId="3DDAF2A7" w:rsidR="00E9210E" w:rsidRPr="00D93D74" w:rsidRDefault="003F2EB4" w:rsidP="00EA0998">
      <w:r>
        <w:rPr>
          <w:noProof/>
        </w:rPr>
        <w:lastRenderedPageBreak/>
        <w:drawing>
          <wp:inline distT="0" distB="0" distL="0" distR="0" wp14:anchorId="5B7C7A32" wp14:editId="0ABCE7EF">
            <wp:extent cx="4858994" cy="7056408"/>
            <wp:effectExtent l="0" t="0" r="0" b="0"/>
            <wp:docPr id="113581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7342"/>
                    <a:stretch>
                      <a:fillRect/>
                    </a:stretch>
                  </pic:blipFill>
                  <pic:spPr bwMode="auto">
                    <a:xfrm>
                      <a:off x="0" y="0"/>
                      <a:ext cx="4862845" cy="7062001"/>
                    </a:xfrm>
                    <a:prstGeom prst="rect">
                      <a:avLst/>
                    </a:prstGeom>
                    <a:noFill/>
                    <a:ln>
                      <a:noFill/>
                    </a:ln>
                    <a:extLst>
                      <a:ext uri="{53640926-AAD7-44D8-BBD7-CCE9431645EC}">
                        <a14:shadowObscured xmlns:a14="http://schemas.microsoft.com/office/drawing/2010/main"/>
                      </a:ext>
                    </a:extLst>
                  </pic:spPr>
                </pic:pic>
              </a:graphicData>
            </a:graphic>
          </wp:inline>
        </w:drawing>
      </w:r>
    </w:p>
    <w:p w14:paraId="709DD96F" w14:textId="20FF3AD9" w:rsidR="00CD77AB" w:rsidRPr="00D93D74" w:rsidRDefault="00E9210E" w:rsidP="00E9210E">
      <w:pPr>
        <w:pStyle w:val="Napis"/>
        <w:rPr>
          <w:rFonts w:cs="Times New Roman"/>
          <w:b w:val="0"/>
          <w:bCs/>
          <w:sz w:val="22"/>
          <w:szCs w:val="22"/>
        </w:rPr>
      </w:pPr>
      <w:bookmarkStart w:id="1153" w:name="_Toc216101632"/>
      <w:r w:rsidRPr="00D93D74">
        <w:rPr>
          <w:sz w:val="22"/>
          <w:szCs w:val="22"/>
        </w:rPr>
        <w:t xml:space="preserve">Figure </w:t>
      </w:r>
      <w:r w:rsidRPr="00D93D74">
        <w:rPr>
          <w:sz w:val="22"/>
          <w:szCs w:val="22"/>
        </w:rPr>
        <w:fldChar w:fldCharType="begin"/>
      </w:r>
      <w:r w:rsidRPr="00D93D74">
        <w:rPr>
          <w:sz w:val="22"/>
          <w:szCs w:val="22"/>
        </w:rPr>
        <w:instrText xml:space="preserve"> SEQ Figure \* ARABIC </w:instrText>
      </w:r>
      <w:r w:rsidRPr="00D93D74">
        <w:rPr>
          <w:sz w:val="22"/>
          <w:szCs w:val="22"/>
        </w:rPr>
        <w:fldChar w:fldCharType="separate"/>
      </w:r>
      <w:r w:rsidR="00610A40">
        <w:rPr>
          <w:noProof/>
          <w:sz w:val="22"/>
          <w:szCs w:val="22"/>
        </w:rPr>
        <w:t>5</w:t>
      </w:r>
      <w:r w:rsidRPr="00D93D74">
        <w:rPr>
          <w:sz w:val="22"/>
          <w:szCs w:val="22"/>
        </w:rPr>
        <w:fldChar w:fldCharType="end"/>
      </w:r>
      <w:r w:rsidR="003F2EB4">
        <w:rPr>
          <w:sz w:val="22"/>
          <w:szCs w:val="22"/>
        </w:rPr>
        <w:t>8</w:t>
      </w:r>
      <w:r w:rsidRPr="00D93D74">
        <w:rPr>
          <w:sz w:val="22"/>
          <w:szCs w:val="22"/>
        </w:rPr>
        <w:t xml:space="preserve">. Phylogenetic </w:t>
      </w:r>
      <w:r w:rsidR="00503055" w:rsidRPr="00D93D74">
        <w:rPr>
          <w:sz w:val="22"/>
          <w:szCs w:val="22"/>
        </w:rPr>
        <w:t xml:space="preserve">tree constructed with </w:t>
      </w:r>
      <w:r w:rsidRPr="00D93D74">
        <w:rPr>
          <w:sz w:val="22"/>
          <w:szCs w:val="22"/>
        </w:rPr>
        <w:t xml:space="preserve">neighbour-joining </w:t>
      </w:r>
      <w:r w:rsidR="00503055" w:rsidRPr="00D93D74">
        <w:rPr>
          <w:sz w:val="22"/>
          <w:szCs w:val="22"/>
        </w:rPr>
        <w:t>algorithm</w:t>
      </w:r>
      <w:r w:rsidRPr="00D93D74">
        <w:rPr>
          <w:sz w:val="22"/>
          <w:szCs w:val="22"/>
        </w:rPr>
        <w:t xml:space="preserve"> based on core genome SNPs. </w:t>
      </w:r>
      <w:r w:rsidR="005820FC" w:rsidRPr="00D93D74">
        <w:rPr>
          <w:b w:val="0"/>
          <w:bCs/>
          <w:sz w:val="22"/>
          <w:szCs w:val="22"/>
        </w:rPr>
        <w:t>Coloured squares represent time point from which the isolate was obtained</w:t>
      </w:r>
      <w:ins w:id="1154" w:author="Urša Miklavčič [2]" w:date="2026-04-21T10:57:00Z" w16du:dateUtc="2026-04-21T08:57:00Z">
        <w:r w:rsidR="003F2EB4">
          <w:rPr>
            <w:b w:val="0"/>
            <w:bCs/>
            <w:sz w:val="22"/>
            <w:szCs w:val="22"/>
          </w:rPr>
          <w:t xml:space="preserve">, </w:t>
        </w:r>
        <w:r w:rsidR="003F2EB4" w:rsidRPr="003F2EB4">
          <w:rPr>
            <w:rFonts w:cs="Times New Roman"/>
            <w:b w:val="0"/>
            <w:bCs/>
            <w:rPrChange w:id="1155" w:author="Urša Miklavčič [2]" w:date="2026-04-21T10:57:00Z" w16du:dateUtc="2026-04-21T08:57:00Z">
              <w:rPr>
                <w:rFonts w:cs="Times New Roman"/>
              </w:rPr>
            </w:rPrChange>
          </w:rPr>
          <w:t>reference was genome H009_221 obtained from stool sample collected at timepoint 9 (after AB).</w:t>
        </w:r>
        <w:r w:rsidR="003F2EB4">
          <w:rPr>
            <w:b w:val="0"/>
            <w:bCs/>
            <w:sz w:val="22"/>
            <w:szCs w:val="22"/>
          </w:rPr>
          <w:t xml:space="preserve"> </w:t>
        </w:r>
      </w:ins>
      <w:ins w:id="1156" w:author="Urša Miklavčič [2]" w:date="2026-04-21T10:58:00Z" w16du:dateUtc="2026-04-21T08:58:00Z">
        <w:r w:rsidR="003F2EB4">
          <w:rPr>
            <w:b w:val="0"/>
            <w:bCs/>
            <w:sz w:val="22"/>
            <w:szCs w:val="22"/>
          </w:rPr>
          <w:t xml:space="preserve">Number on the phylogenetic tree represent the number of SNPs between each genome. </w:t>
        </w:r>
      </w:ins>
      <w:del w:id="1157" w:author="Urša Miklavčič [2]" w:date="2026-04-21T10:57:00Z" w16du:dateUtc="2026-04-21T08:57:00Z">
        <w:r w:rsidR="005820FC" w:rsidRPr="003F2EB4" w:rsidDel="003F2EB4">
          <w:rPr>
            <w:b w:val="0"/>
            <w:bCs/>
            <w:sz w:val="22"/>
            <w:szCs w:val="22"/>
          </w:rPr>
          <w:delText>.</w:delText>
        </w:r>
        <w:bookmarkEnd w:id="1153"/>
        <w:r w:rsidR="005820FC" w:rsidRPr="00D93D74" w:rsidDel="003F2EB4">
          <w:rPr>
            <w:b w:val="0"/>
            <w:bCs/>
            <w:sz w:val="22"/>
            <w:szCs w:val="22"/>
          </w:rPr>
          <w:delText xml:space="preserve"> </w:delText>
        </w:r>
      </w:del>
    </w:p>
    <w:p w14:paraId="5A01A9FE" w14:textId="77777777" w:rsidR="000E622D" w:rsidRPr="00D93D74" w:rsidRDefault="000E622D" w:rsidP="00CD77AB">
      <w:pPr>
        <w:rPr>
          <w:rFonts w:cs="Times New Roman"/>
          <w:bCs/>
          <w:szCs w:val="24"/>
        </w:rPr>
      </w:pPr>
    </w:p>
    <w:p w14:paraId="74F881AC" w14:textId="7A6C95BE" w:rsidR="00416D96" w:rsidRPr="00D93D74" w:rsidRDefault="001E2B98">
      <w:pPr>
        <w:pStyle w:val="Naslov3"/>
        <w:numPr>
          <w:ilvl w:val="2"/>
          <w:numId w:val="3"/>
        </w:numPr>
      </w:pPr>
      <w:bookmarkStart w:id="1158" w:name="_Toc216099757"/>
      <w:bookmarkStart w:id="1159" w:name="_Toc220932880"/>
      <w:bookmarkStart w:id="1160" w:name="_Toc228252052"/>
      <w:r w:rsidRPr="00D93D74">
        <w:lastRenderedPageBreak/>
        <w:t>S</w:t>
      </w:r>
      <w:ins w:id="1161" w:author="Urša Miklavčič [2]" w:date="2026-04-21T10:59:00Z" w16du:dateUtc="2026-04-21T08:59:00Z">
        <w:r w:rsidR="00E979C6">
          <w:t>train persistence revealed in metagenomic data</w:t>
        </w:r>
        <w:bookmarkEnd w:id="1160"/>
        <w:r w:rsidR="00E979C6">
          <w:t xml:space="preserve"> </w:t>
        </w:r>
      </w:ins>
      <w:del w:id="1162" w:author="Urša Miklavčič [2]" w:date="2026-04-21T10:59:00Z" w16du:dateUtc="2026-04-21T08:59:00Z">
        <w:r w:rsidRPr="00D93D74" w:rsidDel="00E979C6">
          <w:delText xml:space="preserve">hotgun metagenomic analysis of </w:delText>
        </w:r>
        <w:r w:rsidRPr="00D93D74" w:rsidDel="00E979C6">
          <w:rPr>
            <w:i/>
            <w:iCs/>
          </w:rPr>
          <w:delText>C. saudiense</w:delText>
        </w:r>
      </w:del>
      <w:bookmarkEnd w:id="1158"/>
      <w:bookmarkEnd w:id="1159"/>
      <w:r w:rsidRPr="00D93D74">
        <w:t xml:space="preserve"> </w:t>
      </w:r>
    </w:p>
    <w:p w14:paraId="37200090" w14:textId="54D8925E" w:rsidR="00E979C6" w:rsidRDefault="00E979C6" w:rsidP="00E979C6">
      <w:r>
        <w:t xml:space="preserve">Stool samples from individual H were also analysed using shotgun metagenomic sequencing. To link isolate-based observations with metagenomic data, we applied two established tools (StrainPhlAn and StrainScan), alongside a newly developed approach, enabling analysis of </w:t>
      </w:r>
      <w:r w:rsidRPr="00E979C6">
        <w:rPr>
          <w:i/>
          <w:iCs/>
        </w:rPr>
        <w:t>C. saudiense</w:t>
      </w:r>
      <w:r>
        <w:t xml:space="preserve"> strain dynamics over the six months.  </w:t>
      </w:r>
    </w:p>
    <w:p w14:paraId="61C265C2" w14:textId="3575E0E1" w:rsidR="00E979C6" w:rsidRDefault="00E979C6" w:rsidP="00E979C6">
      <w:r>
        <w:t xml:space="preserve">StrainPhlAn profiled the dominant strain of </w:t>
      </w:r>
      <w:r w:rsidRPr="00E979C6">
        <w:rPr>
          <w:i/>
          <w:iCs/>
        </w:rPr>
        <w:t>C. saudiense</w:t>
      </w:r>
      <w:r>
        <w:t xml:space="preserve"> in metagenomic samples and quantified genetic divergence from this major genotype for all time points. However, it is not in its ability to resolve complete strain structures when multiple strains co-occur at similar abundances. The resulting dendrogram of samples revealed two main </w:t>
      </w:r>
      <w:r w:rsidRPr="00E979C6">
        <w:rPr>
          <w:i/>
          <w:iCs/>
        </w:rPr>
        <w:t>C. saudiense</w:t>
      </w:r>
      <w:r>
        <w:t xml:space="preserve"> clusters, which did not correspond to sampling time, antibiotic exposure or travel (Figure 19).</w:t>
      </w:r>
    </w:p>
    <w:p w14:paraId="58C59D7F" w14:textId="77777777" w:rsidR="00E979C6" w:rsidRDefault="00E979C6" w:rsidP="00E979C6"/>
    <w:p w14:paraId="096C52B9" w14:textId="77777777" w:rsidR="00E979C6" w:rsidRPr="00D93D74" w:rsidRDefault="00E979C6" w:rsidP="00E979C6">
      <w:pPr>
        <w:keepNext/>
      </w:pPr>
      <w:r w:rsidRPr="00D93D74">
        <w:rPr>
          <w:noProof/>
        </w:rPr>
        <w:drawing>
          <wp:inline distT="0" distB="0" distL="0" distR="0" wp14:anchorId="0377E024" wp14:editId="21227CC7">
            <wp:extent cx="4658264" cy="4852358"/>
            <wp:effectExtent l="0" t="0" r="9525" b="5715"/>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661881" cy="4856126"/>
                    </a:xfrm>
                    <a:prstGeom prst="rect">
                      <a:avLst/>
                    </a:prstGeom>
                  </pic:spPr>
                </pic:pic>
              </a:graphicData>
            </a:graphic>
          </wp:inline>
        </w:drawing>
      </w:r>
    </w:p>
    <w:p w14:paraId="1BAE296C" w14:textId="77777777" w:rsidR="00E979C6" w:rsidRPr="00D93D74" w:rsidRDefault="00E979C6" w:rsidP="00E979C6">
      <w:pPr>
        <w:pStyle w:val="Napis"/>
        <w:rPr>
          <w:b w:val="0"/>
          <w:bCs/>
          <w:sz w:val="22"/>
          <w:szCs w:val="22"/>
        </w:rPr>
      </w:pPr>
      <w:bookmarkStart w:id="1163" w:name="_Toc216101633"/>
      <w:r w:rsidRPr="00D93D74">
        <w:rPr>
          <w:sz w:val="22"/>
          <w:szCs w:val="22"/>
        </w:rPr>
        <w:t>Figure 1</w:t>
      </w:r>
      <w:r>
        <w:rPr>
          <w:sz w:val="22"/>
          <w:szCs w:val="22"/>
        </w:rPr>
        <w:t>9</w:t>
      </w:r>
      <w:r w:rsidRPr="00D93D74">
        <w:rPr>
          <w:sz w:val="22"/>
          <w:szCs w:val="22"/>
        </w:rPr>
        <w:t xml:space="preserve">. </w:t>
      </w:r>
      <w:del w:id="1164" w:author="Urša Miklavčič [2]" w:date="2026-01-21T10:44:00Z" w16du:dateUtc="2026-01-21T09:44:00Z">
        <w:r w:rsidRPr="00D93D74" w:rsidDel="00665D44">
          <w:rPr>
            <w:sz w:val="22"/>
            <w:szCs w:val="22"/>
          </w:rPr>
          <w:delText xml:space="preserve">Dendrogram </w:delText>
        </w:r>
      </w:del>
      <w:ins w:id="1165" w:author="Urša Miklavčič [2]" w:date="2026-01-21T15:03:00Z" w16du:dateUtc="2026-01-21T14:03:00Z">
        <w:r w:rsidRPr="00D93D74">
          <w:rPr>
            <w:sz w:val="22"/>
            <w:szCs w:val="22"/>
          </w:rPr>
          <w:t xml:space="preserve"> </w:t>
        </w:r>
      </w:ins>
      <w:ins w:id="1166" w:author="Urša Miklavčič [2]" w:date="2026-01-28T15:52:00Z" w16du:dateUtc="2026-01-28T14:52:00Z">
        <w:r w:rsidRPr="00D93D74">
          <w:rPr>
            <w:sz w:val="22"/>
            <w:szCs w:val="22"/>
          </w:rPr>
          <w:t>D</w:t>
        </w:r>
      </w:ins>
      <w:ins w:id="1167" w:author="Urša Miklavčič [2]" w:date="2026-01-21T15:03:00Z" w16du:dateUtc="2026-01-21T14:03:00Z">
        <w:r w:rsidRPr="00D93D74">
          <w:rPr>
            <w:sz w:val="22"/>
            <w:szCs w:val="22"/>
          </w:rPr>
          <w:t xml:space="preserve">endrogram of stool samples </w:t>
        </w:r>
      </w:ins>
      <w:ins w:id="1168" w:author="Urša Miklavčič [2]" w:date="2026-01-21T15:04:00Z" w16du:dateUtc="2026-01-21T14:04:00Z">
        <w:r w:rsidRPr="00D93D74">
          <w:rPr>
            <w:sz w:val="22"/>
            <w:szCs w:val="22"/>
          </w:rPr>
          <w:t xml:space="preserve">of </w:t>
        </w:r>
      </w:ins>
      <w:ins w:id="1169" w:author="Urša Miklavčič [2]" w:date="2026-01-28T15:52:00Z" w16du:dateUtc="2026-01-28T14:52:00Z">
        <w:r w:rsidRPr="00D93D74">
          <w:rPr>
            <w:sz w:val="22"/>
            <w:szCs w:val="22"/>
          </w:rPr>
          <w:t>participant</w:t>
        </w:r>
      </w:ins>
      <w:ins w:id="1170" w:author="Urša Miklavčič [2]" w:date="2026-01-21T15:04:00Z" w16du:dateUtc="2026-01-21T14:04:00Z">
        <w:r w:rsidRPr="00D93D74">
          <w:rPr>
            <w:sz w:val="22"/>
            <w:szCs w:val="22"/>
          </w:rPr>
          <w:t xml:space="preserve"> H based on</w:t>
        </w:r>
      </w:ins>
      <w:del w:id="1171" w:author="Urša Miklavčič [2]" w:date="2026-01-21T15:04:00Z" w16du:dateUtc="2026-01-21T14:04:00Z">
        <w:r w:rsidRPr="00D93D74" w:rsidDel="008B500A">
          <w:rPr>
            <w:sz w:val="22"/>
            <w:szCs w:val="22"/>
          </w:rPr>
          <w:delText>of</w:delText>
        </w:r>
      </w:del>
      <w:r w:rsidRPr="00D93D74">
        <w:rPr>
          <w:sz w:val="22"/>
          <w:szCs w:val="22"/>
        </w:rPr>
        <w:t xml:space="preserve"> </w:t>
      </w:r>
      <w:r w:rsidRPr="00D93D74">
        <w:rPr>
          <w:i/>
          <w:iCs w:val="0"/>
          <w:sz w:val="22"/>
          <w:szCs w:val="22"/>
        </w:rPr>
        <w:t>C. saudiense</w:t>
      </w:r>
      <w:r w:rsidRPr="00D93D74">
        <w:rPr>
          <w:sz w:val="22"/>
          <w:szCs w:val="22"/>
        </w:rPr>
        <w:t xml:space="preserve"> </w:t>
      </w:r>
      <w:ins w:id="1172" w:author="Urša Miklavčič [2]" w:date="2026-01-21T10:44:00Z" w16du:dateUtc="2026-01-21T09:44:00Z">
        <w:r w:rsidRPr="00D93D74">
          <w:rPr>
            <w:sz w:val="22"/>
            <w:szCs w:val="22"/>
          </w:rPr>
          <w:t xml:space="preserve">marker-gene </w:t>
        </w:r>
      </w:ins>
      <w:ins w:id="1173" w:author="Urša Miklavčič [2]" w:date="2026-01-21T10:45:00Z" w16du:dateUtc="2026-01-21T09:45:00Z">
        <w:r w:rsidRPr="00D93D74">
          <w:rPr>
            <w:sz w:val="22"/>
            <w:szCs w:val="22"/>
          </w:rPr>
          <w:t xml:space="preserve">alignment </w:t>
        </w:r>
      </w:ins>
      <w:del w:id="1174" w:author="Urša Miklavčič [2]" w:date="2026-01-21T10:45:00Z" w16du:dateUtc="2026-01-21T09:45:00Z">
        <w:r w:rsidRPr="00D93D74" w:rsidDel="00665D44">
          <w:rPr>
            <w:sz w:val="22"/>
            <w:szCs w:val="22"/>
          </w:rPr>
          <w:delText>strain profiles</w:delText>
        </w:r>
      </w:del>
      <w:del w:id="1175" w:author="Urša Miklavčič [2]" w:date="2026-01-21T15:04:00Z" w16du:dateUtc="2026-01-21T14:04:00Z">
        <w:r w:rsidRPr="00D93D74" w:rsidDel="008B500A">
          <w:rPr>
            <w:sz w:val="22"/>
            <w:szCs w:val="22"/>
          </w:rPr>
          <w:delText xml:space="preserve"> from participant H </w:delText>
        </w:r>
      </w:del>
      <w:r w:rsidRPr="00D93D74">
        <w:rPr>
          <w:sz w:val="22"/>
          <w:szCs w:val="22"/>
        </w:rPr>
        <w:t xml:space="preserve">inferred with </w:t>
      </w:r>
      <w:commentRangeStart w:id="1176"/>
      <w:r w:rsidRPr="00D93D74">
        <w:rPr>
          <w:sz w:val="22"/>
          <w:szCs w:val="22"/>
        </w:rPr>
        <w:t>StrainPhlAn</w:t>
      </w:r>
      <w:commentRangeEnd w:id="1176"/>
      <w:r w:rsidRPr="00D93D74">
        <w:rPr>
          <w:rStyle w:val="Pripombasklic"/>
          <w:sz w:val="22"/>
          <w:szCs w:val="22"/>
        </w:rPr>
        <w:commentReference w:id="1176"/>
      </w:r>
      <w:r w:rsidRPr="00D93D74">
        <w:rPr>
          <w:sz w:val="22"/>
          <w:szCs w:val="22"/>
        </w:rPr>
        <w:t xml:space="preserve">. </w:t>
      </w:r>
      <w:ins w:id="1177" w:author="Urša Miklavčič [2]" w:date="2026-01-21T10:45:00Z" w16du:dateUtc="2026-01-21T09:45:00Z">
        <w:r w:rsidRPr="00D93D74">
          <w:rPr>
            <w:b w:val="0"/>
            <w:bCs/>
            <w:sz w:val="22"/>
            <w:szCs w:val="22"/>
          </w:rPr>
          <w:t>Colours represent sampling time</w:t>
        </w:r>
      </w:ins>
      <w:ins w:id="1178" w:author="Urša Miklavčič [2]" w:date="2026-01-28T15:53:00Z" w16du:dateUtc="2026-01-28T14:53:00Z">
        <w:r w:rsidRPr="00D93D74">
          <w:rPr>
            <w:b w:val="0"/>
            <w:bCs/>
            <w:sz w:val="22"/>
            <w:szCs w:val="22"/>
          </w:rPr>
          <w:t xml:space="preserve"> </w:t>
        </w:r>
      </w:ins>
      <w:ins w:id="1179" w:author="Urša Miklavčič [2]" w:date="2026-01-21T10:45:00Z" w16du:dateUtc="2026-01-21T09:45:00Z">
        <w:r w:rsidRPr="00D93D74">
          <w:rPr>
            <w:b w:val="0"/>
            <w:bCs/>
            <w:sz w:val="22"/>
            <w:szCs w:val="22"/>
          </w:rPr>
          <w:t xml:space="preserve">point. </w:t>
        </w:r>
      </w:ins>
      <w:del w:id="1180" w:author="Urša Miklavčič [2]" w:date="2026-01-21T10:45:00Z" w16du:dateUtc="2026-01-21T09:45:00Z">
        <w:r w:rsidRPr="00D93D74" w:rsidDel="00665D44">
          <w:rPr>
            <w:b w:val="0"/>
            <w:bCs/>
            <w:sz w:val="22"/>
            <w:szCs w:val="22"/>
          </w:rPr>
          <w:delText xml:space="preserve">Samples are coloured by sampling time point. </w:delText>
        </w:r>
      </w:del>
      <w:r w:rsidRPr="00D93D74">
        <w:rPr>
          <w:b w:val="0"/>
          <w:bCs/>
          <w:sz w:val="22"/>
          <w:szCs w:val="22"/>
        </w:rPr>
        <w:t xml:space="preserve">Sample IDs encode experimental conditions: the first letter indicates the DNA isolation protocol (S for ethanol treated samples </w:t>
      </w:r>
      <w:r w:rsidRPr="00D93D74">
        <w:rPr>
          <w:b w:val="0"/>
          <w:bCs/>
          <w:sz w:val="22"/>
          <w:szCs w:val="22"/>
        </w:rPr>
        <w:lastRenderedPageBreak/>
        <w:t xml:space="preserve">and M for untreated stool samples), the second letter denotes the participant (H), and the number indicates the sampling time point. </w:t>
      </w:r>
      <w:bookmarkEnd w:id="1163"/>
    </w:p>
    <w:p w14:paraId="4B6E4143" w14:textId="07C0A4A6" w:rsidR="00E979C6" w:rsidRDefault="00E979C6" w:rsidP="00E979C6">
      <w:r>
        <w:t xml:space="preserve">We next applied StrainScan, which infers strain structure using strain-specific k-mers derived from assembled genomes to estimate relative abundance in metagenomic samples. This method predicted eight </w:t>
      </w:r>
      <w:r w:rsidRPr="00E979C6">
        <w:rPr>
          <w:i/>
          <w:iCs/>
        </w:rPr>
        <w:t>C. saudiense</w:t>
      </w:r>
      <w:r>
        <w:t xml:space="preserve"> strains from whole-genome data. Comparison between StrainScan determined strains and strains we determined using SNPs and pangenome analysis revealed, that determination was identical, with exception of  genome H009_256, which was excluded from our determined strain 6 in the StrainScan analysis. StrainScan reported detection of only strains 3, 6 and 7. Strain 6 and 7 were detected from day 0 to 143, while strain 3 was detected only from day 15 to 84, due to low coverage of diagnostic k-mers (Supplement Figure 1</w:t>
      </w:r>
      <w:del w:id="1181" w:author="Urša Miklavčič [2]" w:date="2026-04-21T13:28:00Z" w16du:dateUtc="2026-04-21T11:28:00Z">
        <w:r w:rsidDel="00554FAF">
          <w:delText>9</w:delText>
        </w:r>
      </w:del>
      <w:ins w:id="1182" w:author="Urša Miklavčič [2]" w:date="2026-04-21T13:31:00Z" w16du:dateUtc="2026-04-21T11:31:00Z">
        <w:r w:rsidR="00554FAF">
          <w:t>7</w:t>
        </w:r>
      </w:ins>
      <w:r>
        <w:t>).</w:t>
      </w:r>
    </w:p>
    <w:p w14:paraId="57D24CF4" w14:textId="3F2EB743" w:rsidR="00E979C6" w:rsidRDefault="00E979C6" w:rsidP="00E979C6">
      <w:r>
        <w:t xml:space="preserve">Because these tools provided only partial resolution, we developed a complementary mapping‑based approach to examine </w:t>
      </w:r>
      <w:r w:rsidRPr="004C4727">
        <w:rPr>
          <w:i/>
          <w:iCs/>
        </w:rPr>
        <w:t>C. saudiense</w:t>
      </w:r>
      <w:r>
        <w:t xml:space="preserve"> strain composition in greater detail. Shotgun metagenomic reads from all samples of participants A and H were mapped to strain‑specific marker genes identified in the pangenome analysis</w:t>
      </w:r>
      <w:r w:rsidR="004C4727">
        <w:t xml:space="preserve"> (Supplement</w:t>
      </w:r>
      <w:del w:id="1183" w:author="Urša Miklavčič [2]" w:date="2026-04-21T13:32:00Z" w16du:dateUtc="2026-04-21T11:32:00Z">
        <w:r w:rsidR="004C4727" w:rsidDel="00554FAF">
          <w:delText>ary</w:delText>
        </w:r>
      </w:del>
      <w:r w:rsidR="004C4727">
        <w:t xml:space="preserve"> Table 9</w:t>
      </w:r>
      <w:r w:rsidR="00E3587A">
        <w:t>, 10</w:t>
      </w:r>
      <w:r w:rsidR="004C4727">
        <w:t>)</w:t>
      </w:r>
      <w:r>
        <w:t xml:space="preserve">. Participant A served as negative control, as </w:t>
      </w:r>
      <w:r w:rsidRPr="004C4727">
        <w:rPr>
          <w:i/>
          <w:iCs/>
        </w:rPr>
        <w:t>C. saudiense</w:t>
      </w:r>
      <w:r>
        <w:t xml:space="preserve"> was detected at very low abundance in only one of his twelve samples (Supplement Figure</w:t>
      </w:r>
      <w:r w:rsidR="00E3587A">
        <w:t xml:space="preserve"> </w:t>
      </w:r>
      <w:del w:id="1184" w:author="Urša Miklavčič [2]" w:date="2026-04-21T13:28:00Z" w16du:dateUtc="2026-04-21T11:28:00Z">
        <w:r w:rsidR="004C4727" w:rsidDel="00554FAF">
          <w:delText>20</w:delText>
        </w:r>
      </w:del>
      <w:ins w:id="1185" w:author="Urša Miklavčič [2]" w:date="2026-04-21T13:28:00Z" w16du:dateUtc="2026-04-21T11:28:00Z">
        <w:r w:rsidR="00554FAF">
          <w:t>1</w:t>
        </w:r>
      </w:ins>
      <w:ins w:id="1186" w:author="Urša Miklavčič [2]" w:date="2026-04-21T13:32:00Z" w16du:dateUtc="2026-04-21T11:32:00Z">
        <w:r w:rsidR="00554FAF">
          <w:t>8</w:t>
        </w:r>
      </w:ins>
      <w:r>
        <w:t>). As expected, reads from participant A covered far fewer strain‑specific genes than those from participant H</w:t>
      </w:r>
      <w:r w:rsidR="004C4727">
        <w:t>. O</w:t>
      </w:r>
      <w:r>
        <w:t>nly eight genes showed higher coverage in participant A among the 85 genes detected in both individuals.</w:t>
      </w:r>
    </w:p>
    <w:p w14:paraId="5BC02197" w14:textId="206E5FE9" w:rsidR="00210890" w:rsidRPr="00D93D74" w:rsidRDefault="00E979C6" w:rsidP="00E979C6">
      <w:r>
        <w:t xml:space="preserve">Read counts were normalized by gene length, and for each strain, by the total number of genes included in the analysis. This strain-specific mapping showed that, unlike culture-based data, all defined </w:t>
      </w:r>
      <w:r w:rsidRPr="00E3587A">
        <w:rPr>
          <w:i/>
          <w:iCs/>
        </w:rPr>
        <w:t>C. saudiense</w:t>
      </w:r>
      <w:r>
        <w:t xml:space="preserve"> strains persisted throughout the six months in participant H (Figure </w:t>
      </w:r>
      <w:r w:rsidR="00E3587A">
        <w:t>20</w:t>
      </w:r>
      <w:r>
        <w:t xml:space="preserve">). This is not in accordance with cultured strains, where only strain 6 could be detected though the whole study. The only exception to this persistence  were mid-antibiotic samples, when </w:t>
      </w:r>
      <w:r w:rsidRPr="00E3587A">
        <w:rPr>
          <w:i/>
          <w:iCs/>
        </w:rPr>
        <w:t>C. saudiense</w:t>
      </w:r>
      <w:r>
        <w:t xml:space="preserve"> abundance dropped below the detection limit. This approach thus enabled longitudinal tracking of defined strains in metagenomic data, but only for strains represented in the isolate genomes. </w:t>
      </w:r>
      <w:r w:rsidR="00210890" w:rsidRPr="00D93D74">
        <w:t xml:space="preserve"> </w:t>
      </w:r>
    </w:p>
    <w:p w14:paraId="120B381A" w14:textId="77777777" w:rsidR="00EA0998" w:rsidRPr="00D93D74" w:rsidRDefault="00EA0998" w:rsidP="000209F9">
      <w:pPr>
        <w:spacing w:line="259" w:lineRule="auto"/>
        <w:jc w:val="left"/>
      </w:pPr>
    </w:p>
    <w:p w14:paraId="1F348866" w14:textId="0D0C763D" w:rsidR="00E9210E" w:rsidRPr="00D93D74" w:rsidRDefault="00A23CEA" w:rsidP="00E9210E">
      <w:pPr>
        <w:keepNext/>
        <w:spacing w:line="259" w:lineRule="auto"/>
        <w:jc w:val="left"/>
      </w:pPr>
      <w:r w:rsidRPr="00A90451">
        <w:rPr>
          <w:rFonts w:cs="Times New Roman"/>
          <w:noProof/>
          <w:szCs w:val="24"/>
        </w:rPr>
        <w:lastRenderedPageBreak/>
        <w:drawing>
          <wp:inline distT="0" distB="0" distL="0" distR="0" wp14:anchorId="3220CA78" wp14:editId="2F041BEF">
            <wp:extent cx="5753100" cy="2857500"/>
            <wp:effectExtent l="0" t="0" r="0" b="0"/>
            <wp:docPr id="209774980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49804" name="Picture 1" descr="A graph of different colored line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2857500"/>
                    </a:xfrm>
                    <a:prstGeom prst="rect">
                      <a:avLst/>
                    </a:prstGeom>
                    <a:noFill/>
                    <a:ln>
                      <a:noFill/>
                    </a:ln>
                  </pic:spPr>
                </pic:pic>
              </a:graphicData>
            </a:graphic>
          </wp:inline>
        </w:drawing>
      </w:r>
    </w:p>
    <w:p w14:paraId="1C3E0362" w14:textId="53A80BFC" w:rsidR="00504727" w:rsidRPr="00D93D74" w:rsidRDefault="00E9210E" w:rsidP="00504727">
      <w:pPr>
        <w:rPr>
          <w:rStyle w:val="FigureTableZnak"/>
          <w:bCs w:val="0"/>
          <w:sz w:val="22"/>
        </w:rPr>
      </w:pPr>
      <w:bookmarkStart w:id="1187" w:name="_Toc216101634"/>
      <w:r w:rsidRPr="00D93D74">
        <w:rPr>
          <w:b/>
          <w:bCs/>
          <w:sz w:val="22"/>
        </w:rPr>
        <w:t>Figure</w:t>
      </w:r>
      <w:r w:rsidR="00504727" w:rsidRPr="00D93D74">
        <w:rPr>
          <w:b/>
          <w:bCs/>
          <w:sz w:val="22"/>
        </w:rPr>
        <w:t xml:space="preserve"> </w:t>
      </w:r>
      <w:r w:rsidR="00A23CEA">
        <w:rPr>
          <w:b/>
          <w:bCs/>
          <w:sz w:val="22"/>
        </w:rPr>
        <w:t>20</w:t>
      </w:r>
      <w:r w:rsidRPr="00D93D74">
        <w:rPr>
          <w:b/>
          <w:bCs/>
          <w:sz w:val="22"/>
        </w:rPr>
        <w:t xml:space="preserve">. Persistence of </w:t>
      </w:r>
      <w:r w:rsidR="006C2B2A" w:rsidRPr="00D93D74">
        <w:rPr>
          <w:b/>
          <w:bCs/>
          <w:sz w:val="22"/>
        </w:rPr>
        <w:t xml:space="preserve">isolated </w:t>
      </w:r>
      <w:r w:rsidRPr="00D93D74">
        <w:rPr>
          <w:b/>
          <w:bCs/>
          <w:sz w:val="22"/>
        </w:rPr>
        <w:t>strains over time in participant H</w:t>
      </w:r>
      <w:r w:rsidR="006C2B2A" w:rsidRPr="00D93D74">
        <w:rPr>
          <w:b/>
          <w:bCs/>
          <w:sz w:val="22"/>
        </w:rPr>
        <w:t>, based on shotgun metagenomic read mapping to strain-specific genes</w:t>
      </w:r>
      <w:r w:rsidRPr="00D93D74">
        <w:rPr>
          <w:b/>
          <w:bCs/>
          <w:sz w:val="22"/>
        </w:rPr>
        <w:t>.</w:t>
      </w:r>
      <w:r w:rsidRPr="00D93D74">
        <w:rPr>
          <w:sz w:val="22"/>
        </w:rPr>
        <w:t xml:space="preserve"> </w:t>
      </w:r>
      <w:r w:rsidRPr="00D93D74">
        <w:rPr>
          <w:bCs/>
          <w:sz w:val="22"/>
        </w:rPr>
        <w:t>The</w:t>
      </w:r>
      <w:r w:rsidR="00E318AD" w:rsidRPr="00D93D74">
        <w:rPr>
          <w:bCs/>
          <w:sz w:val="22"/>
        </w:rPr>
        <w:t xml:space="preserve"> y-axis represents log10 transformed</w:t>
      </w:r>
      <w:r w:rsidRPr="00D93D74">
        <w:rPr>
          <w:bCs/>
          <w:sz w:val="22"/>
        </w:rPr>
        <w:t xml:space="preserve"> </w:t>
      </w:r>
      <w:r w:rsidR="00F6197A" w:rsidRPr="00D93D74">
        <w:rPr>
          <w:rStyle w:val="FigureTableZnak"/>
          <w:sz w:val="22"/>
        </w:rPr>
        <w:t>number of reads mapped to each gene normalised by gene length</w:t>
      </w:r>
      <w:r w:rsidR="00E318AD" w:rsidRPr="00D93D74">
        <w:rPr>
          <w:rStyle w:val="FigureTableZnak"/>
          <w:sz w:val="22"/>
        </w:rPr>
        <w:t xml:space="preserve"> and s</w:t>
      </w:r>
      <w:r w:rsidR="00F6197A" w:rsidRPr="00D93D74">
        <w:rPr>
          <w:rStyle w:val="FigureTableZnak"/>
          <w:sz w:val="22"/>
        </w:rPr>
        <w:t>ubsequently, all counts for each strain were summed and divided by the number of genes observed for each strain.</w:t>
      </w:r>
      <w:bookmarkEnd w:id="1187"/>
      <w:r w:rsidR="006F3192" w:rsidRPr="00D93D74">
        <w:rPr>
          <w:rStyle w:val="FigureTableZnak"/>
          <w:sz w:val="22"/>
        </w:rPr>
        <w:t xml:space="preserve"> Ethanol treated samples were not sequenced as successfully as untreated samples, points on the plot indicate which timepoints are included in the analysis. </w:t>
      </w:r>
      <w:r w:rsidR="00504727" w:rsidRPr="00D93D74">
        <w:rPr>
          <w:rStyle w:val="FigureTableZnak"/>
          <w:bCs w:val="0"/>
          <w:sz w:val="22"/>
        </w:rPr>
        <w:t xml:space="preserve">Ethanol treated samples were not sequenced as successfully as untreated samples (only 9/13 samples, missing are days: 57, 71, 75, 84), points on the plot indicate which timepoints are included in the analysis. </w:t>
      </w:r>
    </w:p>
    <w:p w14:paraId="15256E4B" w14:textId="44D55A1E" w:rsidR="00D97668" w:rsidRPr="00211C72" w:rsidRDefault="00D97668" w:rsidP="00211C72">
      <w:pPr>
        <w:pStyle w:val="Napis"/>
        <w:jc w:val="left"/>
        <w:rPr>
          <w:sz w:val="22"/>
          <w:szCs w:val="22"/>
        </w:rPr>
      </w:pPr>
      <w:r w:rsidRPr="00D93D74">
        <w:rPr>
          <w:bCs/>
        </w:rPr>
        <w:br w:type="page"/>
      </w:r>
    </w:p>
    <w:p w14:paraId="5EF00126" w14:textId="13FBC6BB" w:rsidR="00221812" w:rsidRDefault="00221812">
      <w:pPr>
        <w:pStyle w:val="Naslov1"/>
        <w:numPr>
          <w:ilvl w:val="0"/>
          <w:numId w:val="3"/>
        </w:numPr>
      </w:pPr>
      <w:bookmarkStart w:id="1188" w:name="_Toc216099761"/>
      <w:bookmarkStart w:id="1189" w:name="_Toc220932884"/>
      <w:bookmarkStart w:id="1190" w:name="_Toc228252053"/>
      <w:r w:rsidRPr="00D93D74">
        <w:lastRenderedPageBreak/>
        <w:t>DISCUSSION</w:t>
      </w:r>
      <w:bookmarkStart w:id="1191" w:name="_Toc212712220"/>
      <w:bookmarkEnd w:id="1188"/>
      <w:bookmarkEnd w:id="1190"/>
      <w:r w:rsidR="00B129CB" w:rsidRPr="00D93D74">
        <w:t xml:space="preserve"> </w:t>
      </w:r>
      <w:bookmarkEnd w:id="1189"/>
    </w:p>
    <w:p w14:paraId="6864CD60" w14:textId="6814BEAF" w:rsidR="00724E2C" w:rsidRDefault="00724E2C" w:rsidP="00724E2C">
      <w:r>
        <w:t xml:space="preserve">This study focused on </w:t>
      </w:r>
      <w:r w:rsidR="007E4A90">
        <w:t xml:space="preserve">a </w:t>
      </w:r>
      <w:r>
        <w:t xml:space="preserve">longitudinally sampled cohort of nine healthy male participants, </w:t>
      </w:r>
      <w:r w:rsidR="00B307DC">
        <w:t>analysing</w:t>
      </w:r>
      <w:r>
        <w:t xml:space="preserve"> </w:t>
      </w:r>
      <w:r w:rsidR="007E4A90">
        <w:t xml:space="preserve">the </w:t>
      </w:r>
      <w:r>
        <w:t>gut microbiota and ethanol-resistant and</w:t>
      </w:r>
      <w:r w:rsidR="007E4A90">
        <w:t>/or</w:t>
      </w:r>
      <w:r>
        <w:t xml:space="preserve"> spore-forming communities. </w:t>
      </w:r>
      <w:r w:rsidR="00B307DC">
        <w:t xml:space="preserve">We employed </w:t>
      </w:r>
      <w:r>
        <w:t>16S rRNA amplicon sequencing, shotgun metagenomic sequencing</w:t>
      </w:r>
      <w:r w:rsidR="007E4A90">
        <w:t>,</w:t>
      </w:r>
      <w:r>
        <w:t xml:space="preserve"> and cultivation of selected spore-forming species from ethanol treated stool samples. </w:t>
      </w:r>
    </w:p>
    <w:p w14:paraId="43EAD475" w14:textId="7E27BF87" w:rsidR="00E81268" w:rsidRPr="00E81268" w:rsidRDefault="00E81268" w:rsidP="00E81268"/>
    <w:p w14:paraId="251D30DC" w14:textId="4E215386" w:rsidR="009972F0" w:rsidRPr="00D93D74" w:rsidRDefault="00022E19">
      <w:pPr>
        <w:pStyle w:val="Naslov2"/>
        <w:numPr>
          <w:ilvl w:val="1"/>
          <w:numId w:val="3"/>
        </w:numPr>
      </w:pPr>
      <w:bookmarkStart w:id="1192" w:name="_Toc220932885"/>
      <w:bookmarkStart w:id="1193" w:name="_Toc228252054"/>
      <w:r>
        <w:t xml:space="preserve">DESCRIPTION AND </w:t>
      </w:r>
      <w:r w:rsidR="009972F0" w:rsidRPr="00D93D74">
        <w:t>COMPARISON OF TEMPORAL STABILITY OF THE GUT MICROBIOTA AND SPOROBIOTA IN HEALTHY INDIVIDUALS</w:t>
      </w:r>
      <w:bookmarkEnd w:id="1192"/>
      <w:r w:rsidR="003E1CA6">
        <w:t xml:space="preserve"> (GOAL 1)</w:t>
      </w:r>
      <w:bookmarkEnd w:id="1193"/>
    </w:p>
    <w:p w14:paraId="77894C86" w14:textId="77777777" w:rsidR="009972F0" w:rsidRPr="00D93D74" w:rsidRDefault="009972F0">
      <w:pPr>
        <w:pStyle w:val="Naslov3"/>
        <w:numPr>
          <w:ilvl w:val="2"/>
          <w:numId w:val="4"/>
        </w:numPr>
        <w:tabs>
          <w:tab w:val="num" w:pos="360"/>
        </w:tabs>
      </w:pPr>
      <w:bookmarkStart w:id="1194" w:name="_Toc220932886"/>
      <w:bookmarkStart w:id="1195" w:name="_Toc228252055"/>
      <w:r w:rsidRPr="00D93D74">
        <w:t>Human gut microbiota</w:t>
      </w:r>
      <w:bookmarkEnd w:id="1194"/>
      <w:bookmarkEnd w:id="1195"/>
      <w:r w:rsidRPr="00D93D74">
        <w:t xml:space="preserve"> </w:t>
      </w:r>
    </w:p>
    <w:p w14:paraId="1B3DA9BE" w14:textId="77777777" w:rsidR="00B307DC" w:rsidRDefault="00C01800" w:rsidP="00164B48">
      <w:r>
        <w:t>Comparison of 16S amplicon and metagenomic sequencing revealed highly synchroni</w:t>
      </w:r>
      <w:r w:rsidR="007E4A90">
        <w:t>s</w:t>
      </w:r>
      <w:r>
        <w:t>ed</w:t>
      </w:r>
      <w:r w:rsidR="00B307DC">
        <w:t xml:space="preserve"> within-individual patters both in terms of </w:t>
      </w:r>
      <w:r>
        <w:t>richness and evenness</w:t>
      </w:r>
      <w:r w:rsidR="007E4A90">
        <w:t>, as well as</w:t>
      </w:r>
      <w:r>
        <w:t xml:space="preserve"> conserved spatial separation of beta diversity in </w:t>
      </w:r>
      <w:r w:rsidR="007E4A90">
        <w:t xml:space="preserve">NMDS </w:t>
      </w:r>
      <w:r>
        <w:t xml:space="preserve">ordination space. </w:t>
      </w:r>
    </w:p>
    <w:p w14:paraId="509D0752" w14:textId="29E1C21F" w:rsidR="00B307DC" w:rsidRDefault="00B307DC" w:rsidP="00164B48">
      <w:r>
        <w:t xml:space="preserve">Among the recorded metadata, only </w:t>
      </w:r>
      <w:r w:rsidR="00C01800">
        <w:t xml:space="preserve">physical </w:t>
      </w:r>
      <w:r>
        <w:t>characteristics</w:t>
      </w:r>
      <w:r w:rsidR="00164B48">
        <w:t xml:space="preserve"> (age, height, weight)</w:t>
      </w:r>
      <w:r w:rsidR="00C01800">
        <w:t>, activity</w:t>
      </w:r>
      <w:r>
        <w:t xml:space="preserve"> level</w:t>
      </w:r>
      <w:r w:rsidR="00C01800">
        <w:t xml:space="preserve"> and stress</w:t>
      </w:r>
      <w:r>
        <w:t xml:space="preserve"> were associated with variation in microbiota composition</w:t>
      </w:r>
      <w:r w:rsidR="00C01800">
        <w:t>.</w:t>
      </w:r>
      <w:r w:rsidR="007E4A90">
        <w:t xml:space="preserve"> </w:t>
      </w:r>
      <w:r>
        <w:t xml:space="preserve">Previous studies have also identified </w:t>
      </w:r>
      <w:r w:rsidR="007E4A90">
        <w:t xml:space="preserve">antibiotic treatment, </w:t>
      </w:r>
      <w:r w:rsidR="00E4437C">
        <w:t xml:space="preserve">diet, geographical location, sex </w:t>
      </w:r>
      <w:r>
        <w:t>as important determinants of gut microbiota</w:t>
      </w:r>
      <w:r w:rsidR="00E4437C">
        <w:t xml:space="preserve"> composition </w:t>
      </w:r>
      <w:r w:rsidR="00E4437C">
        <w:fldChar w:fldCharType="begin"/>
      </w:r>
      <w:r w:rsidR="001C2A55">
        <w:instrText xml:space="preserve"> ADDIN ZOTERO_ITEM CSL_CITATION {"citationID":"1G0JmuaJ","properties":{"formattedCitation":"(Martino et al., 2022)","plainCitation":"(Martino et al., 2022)","noteIndex":0},"citationItems":[{"id":1166,"uris":["http://zotero.org/users/8873894/items/VS3A8XM3"],"itemData":{"id":1166,"type":"article-journal","abstract":"Associations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E4437C">
        <w:fldChar w:fldCharType="separate"/>
      </w:r>
      <w:r w:rsidR="00E4437C" w:rsidRPr="00E4437C">
        <w:rPr>
          <w:rFonts w:cs="Times New Roman"/>
        </w:rPr>
        <w:t>(Martino et al., 2022)</w:t>
      </w:r>
      <w:r w:rsidR="00E4437C">
        <w:fldChar w:fldCharType="end"/>
      </w:r>
      <w:r w:rsidR="00E4437C">
        <w:t>.</w:t>
      </w:r>
      <w:r w:rsidR="00C01800">
        <w:t xml:space="preserve"> </w:t>
      </w:r>
    </w:p>
    <w:p w14:paraId="7DA9DB82" w14:textId="7711B0F5" w:rsidR="00164B48" w:rsidRPr="00D93D74" w:rsidRDefault="00B307DC" w:rsidP="00164B48">
      <w:pPr>
        <w:rPr>
          <w:rFonts w:cs="Times New Roman"/>
        </w:rPr>
      </w:pPr>
      <w:r>
        <w:t>The limited influence of metadata in our study is likely explained by the sampling time scale.</w:t>
      </w:r>
      <w:r w:rsidR="002F7332">
        <w:t xml:space="preserve"> Given than</w:t>
      </w:r>
      <w:r w:rsidR="00164B48" w:rsidRPr="00D93D74">
        <w:rPr>
          <w:rFonts w:cs="Times New Roman"/>
        </w:rPr>
        <w:t xml:space="preserve"> bacterial generation time range from hours to a</w:t>
      </w:r>
      <w:r w:rsidR="002F7332">
        <w:rPr>
          <w:rFonts w:cs="Times New Roman"/>
        </w:rPr>
        <w:t>pproximately one</w:t>
      </w:r>
      <w:r w:rsidR="00164B48" w:rsidRPr="00D93D74">
        <w:rPr>
          <w:rFonts w:cs="Times New Roman"/>
        </w:rPr>
        <w:t xml:space="preserve"> day, our </w:t>
      </w:r>
      <w:r w:rsidR="002F7332">
        <w:rPr>
          <w:rFonts w:cs="Times New Roman"/>
        </w:rPr>
        <w:t>14-day sampling intervals for six months captured only ~</w:t>
      </w:r>
      <w:r w:rsidR="00164B48" w:rsidRPr="00D93D74">
        <w:rPr>
          <w:rFonts w:cs="Times New Roman"/>
        </w:rPr>
        <w:t>1</w:t>
      </w:r>
      <w:r w:rsidR="00164B48">
        <w:rPr>
          <w:rFonts w:cs="Times New Roman"/>
        </w:rPr>
        <w:t>6</w:t>
      </w:r>
      <w:r w:rsidR="00164B48" w:rsidRPr="00D93D74">
        <w:rPr>
          <w:rFonts w:cs="Times New Roman"/>
        </w:rPr>
        <w:t>0</w:t>
      </w:r>
      <w:r w:rsidR="002F7332">
        <w:rPr>
          <w:rFonts w:cs="Times New Roman"/>
        </w:rPr>
        <w:t xml:space="preserve"> – </w:t>
      </w:r>
      <w:r w:rsidR="00164B48">
        <w:rPr>
          <w:rFonts w:cs="Times New Roman"/>
        </w:rPr>
        <w:t>200</w:t>
      </w:r>
      <w:r w:rsidR="00164B48" w:rsidRPr="00D93D74">
        <w:rPr>
          <w:rFonts w:cs="Times New Roman"/>
        </w:rPr>
        <w:t xml:space="preserve"> generations</w:t>
      </w:r>
      <w:r w:rsidR="002F7332">
        <w:rPr>
          <w:rFonts w:cs="Times New Roman"/>
        </w:rPr>
        <w:t>, which may be insufficient to observe major ecological shifts</w:t>
      </w:r>
      <w:r w:rsidR="00164B48" w:rsidRPr="00D93D74">
        <w:rPr>
          <w:rFonts w:cs="Times New Roman"/>
        </w:rPr>
        <w:t xml:space="preserve">. Although </w:t>
      </w:r>
      <w:r w:rsidR="002F7332">
        <w:rPr>
          <w:rFonts w:cs="Times New Roman"/>
        </w:rPr>
        <w:t xml:space="preserve">extensive </w:t>
      </w:r>
      <w:r w:rsidR="00164B48" w:rsidRPr="00D93D74">
        <w:rPr>
          <w:rFonts w:cs="Times New Roman"/>
        </w:rPr>
        <w:t xml:space="preserve">metadata </w:t>
      </w:r>
      <w:r w:rsidR="002F7332">
        <w:rPr>
          <w:rFonts w:cs="Times New Roman"/>
        </w:rPr>
        <w:t xml:space="preserve">were collected </w:t>
      </w:r>
      <w:r w:rsidR="00164B48" w:rsidRPr="00D93D74">
        <w:rPr>
          <w:rFonts w:cs="Times New Roman"/>
        </w:rPr>
        <w:t xml:space="preserve">at each </w:t>
      </w:r>
      <w:r w:rsidR="002F7332">
        <w:rPr>
          <w:rFonts w:cs="Times New Roman"/>
        </w:rPr>
        <w:t xml:space="preserve">sampling </w:t>
      </w:r>
      <w:r w:rsidR="00164B48" w:rsidRPr="00D93D74">
        <w:rPr>
          <w:rFonts w:cs="Times New Roman"/>
        </w:rPr>
        <w:t xml:space="preserve">time point, our </w:t>
      </w:r>
      <w:r w:rsidR="002F7332">
        <w:rPr>
          <w:rFonts w:cs="Times New Roman"/>
        </w:rPr>
        <w:t>cohort size was</w:t>
      </w:r>
      <w:r w:rsidR="00164B48" w:rsidRPr="00D93D74">
        <w:rPr>
          <w:rFonts w:cs="Times New Roman"/>
        </w:rPr>
        <w:t xml:space="preserve"> small</w:t>
      </w:r>
      <w:r w:rsidR="002F7332">
        <w:rPr>
          <w:rFonts w:cs="Times New Roman"/>
        </w:rPr>
        <w:t xml:space="preserve">, </w:t>
      </w:r>
      <w:r w:rsidR="00164B48" w:rsidRPr="00D93D74">
        <w:rPr>
          <w:rFonts w:cs="Times New Roman"/>
        </w:rPr>
        <w:t xml:space="preserve">and changes were sporadic </w:t>
      </w:r>
      <w:r w:rsidR="002F7332">
        <w:rPr>
          <w:rFonts w:cs="Times New Roman"/>
        </w:rPr>
        <w:t xml:space="preserve">both </w:t>
      </w:r>
      <w:r w:rsidR="00164B48" w:rsidRPr="00D93D74">
        <w:rPr>
          <w:rFonts w:cs="Times New Roman"/>
        </w:rPr>
        <w:t>within and between individuals</w:t>
      </w:r>
      <w:r w:rsidR="002F7332">
        <w:rPr>
          <w:rFonts w:cs="Times New Roman"/>
        </w:rPr>
        <w:t xml:space="preserve">. </w:t>
      </w:r>
    </w:p>
    <w:p w14:paraId="75042468" w14:textId="231C6D97" w:rsidR="00E24117" w:rsidRDefault="002F7332" w:rsidP="009972F0">
      <w:pPr>
        <w:rPr>
          <w:rFonts w:cs="Times New Roman"/>
        </w:rPr>
      </w:pPr>
      <w:r>
        <w:rPr>
          <w:rFonts w:cs="Times New Roman"/>
        </w:rPr>
        <w:t>The overall g</w:t>
      </w:r>
      <w:r w:rsidR="00CF0456">
        <w:rPr>
          <w:rFonts w:cs="Times New Roman"/>
        </w:rPr>
        <w:t>ut microbiota composition was consistent with previous research o</w:t>
      </w:r>
      <w:r>
        <w:rPr>
          <w:rFonts w:cs="Times New Roman"/>
        </w:rPr>
        <w:t>f</w:t>
      </w:r>
      <w:r w:rsidR="00CF0456">
        <w:rPr>
          <w:rFonts w:cs="Times New Roman"/>
        </w:rPr>
        <w:t xml:space="preserve"> European and Slovenian populations </w:t>
      </w:r>
      <w:r w:rsidR="00CF0456">
        <w:rPr>
          <w:rFonts w:cs="Times New Roman"/>
        </w:rPr>
        <w:fldChar w:fldCharType="begin"/>
      </w:r>
      <w:r w:rsidR="001C2A55">
        <w:rPr>
          <w:rFonts w:cs="Times New Roman"/>
        </w:rPr>
        <w:instrText xml:space="preserve"> ADDIN ZOTERO_ITEM CSL_CITATION {"citationID":"SOUXJ9FZ","properties":{"formattedCitation":"(Falony et al., 2016; Mahnic &amp; Rupnik, 2018)","plainCitation":"(Falony et al., 2016; Mahnic &amp; Rupnik, 2018)","noteIndex":0},"citationItems":[{"id":2,"uris":["http://zotero.org/users/8873894/items/CYETTC9D"],"itemData":{"id":2,"type":"article-journal","container-title":"Science","DOI":"10.1126/science.aad3503","issue":"6285","page":"560-564","publisher":"American Association for the Advancement of Science","source":"science.org (Atypon)","title":"Population-level analysis of gut microbiome variation","volume":"352","author":[{"family":"Falony","given":"Gwen"},{"family":"Joossens","given":"Marie"},{"family":"Vieira-Silva","given":"Sara"},{"family":"Wang","given":"Jun"},{"family":"Darzi","given":"Youssef"},{"family":"Faust","given":"Karoline"},{"family":"Kurilshikov","given":"Alexander"},{"family":"Bonder","given":"Marc Jan"},{"family":"Valles-Colomer","given":"Mireia"},{"family":"Vandeputte","given":"Doris"},{"family":"Tito","given":"Raul Y."},{"family":"Chaffron","given":"Samuel"},{"family":"Rymenans","given":"Leen"},{"family":"Verspecht","given":"Chloë"},{"family":"De Sutter","given":"Lise"},{"family":"Lima-Mendez","given":"Gipsi"},{"family":"D’hoe","given":"Kevin"},{"family":"Jonckheere","given":"Karl"},{"family":"Homola","given":"Daniel"},{"family":"Garcia","given":"Roberto"},{"family":"Tigchelaar","given":"Ettje F."},{"family":"Eeckhaudt","given":"Linda"},{"family":"Fu","given":"Jingyuan"},{"family":"Henckaerts","given":"Liesbet"},{"family":"Zhernakova","given":"Alexandra"},{"family":"Wijmenga","given":"Cisca"},{"family":"Raes","given":"Jeroen"}],"issued":{"date-parts":[["2016",4,29]]}}},{"id":340,"uris":["http://zotero.org/users/8873894/items/4YF2YM4H"],"itemData":{"id":340,"type":"article-journal","abstract":"Gut microbiota in a healthy population is shaped by various geographic, demographic and lifestyle factors. Although the majority of research remains focused on the bacterial community, recent efforts to include the remaining microbial members like viruses, archaea and especially fungi revealed various functions they perform in the gut. Using the amplicon sequencing approach we analysed bacterial and fungal gut communities in a Slovenian cohort of 186 healthy volunteers. In the bacterial microbiome we detected 253 different genera. A core microbiome analysis revealed high consistency with previous studies, most prominently showing that genera Faecalibacterium, Bacteroides and Roseburia regularly comprise the core community. We detected a total of 195 fungal genera, but the majority of these showed low prevalence and are likely transient foodborne contaminations. The fungal community showed a low diversity per sample and a large interindividual variability. The most abundant fungi were Saccharomyces cerevisiae and Candida albicans. These, along with representatives from genera Penicillium and Debaryomyces, cover 82% of obtained reads. We report three significant questionnaire-based host covariates associated with microbiota composition. Bacterial community was associated with age and gender. More specifically, bacterial diversity was increased with age and was higher in the female population compared to male. The analysis of fungal community showed that more time dedicated to physical activity resulted in a higher fungal diversity and lower abundance of S. cerevisiae. This is likely dependent on different diets, which were reported by participants according to the respective rates of physical activity.","container-title":"PLoS ONE","DOI":"10.1371/journal.pone.0209209","ISSN":"1932-6203","issue":"12","journalAbbreviation":"PLoS One","page":"e0209209","PMID":"30571698","PMCID":"PMC6301613","source":"PubMed Central","title":"Different host factors are associated with patterns in bacterial and fungal gut microbiota in Slovenian healthy cohort","volume":"13","author":[{"family":"Mahnic","given":"Aleksander"},{"family":"Rupnik","given":"Maja"}],"issued":{"date-parts":[["2018",12,20]]}}}],"schema":"https://github.com/citation-style-language/schema/raw/master/csl-citation.json"} </w:instrText>
      </w:r>
      <w:r w:rsidR="00CF0456">
        <w:rPr>
          <w:rFonts w:cs="Times New Roman"/>
        </w:rPr>
        <w:fldChar w:fldCharType="separate"/>
      </w:r>
      <w:r w:rsidR="00CF0456" w:rsidRPr="00AC672D">
        <w:rPr>
          <w:rFonts w:cs="Times New Roman"/>
        </w:rPr>
        <w:t>(Falony et al., 2016; Mahnic &amp; Rupnik, 2018)</w:t>
      </w:r>
      <w:r w:rsidR="00CF0456">
        <w:rPr>
          <w:rFonts w:cs="Times New Roman"/>
        </w:rPr>
        <w:fldChar w:fldCharType="end"/>
      </w:r>
      <w:r w:rsidR="00CF0456">
        <w:rPr>
          <w:rFonts w:cs="Times New Roman"/>
        </w:rPr>
        <w:t xml:space="preserve">. </w:t>
      </w:r>
      <w:r>
        <w:rPr>
          <w:rFonts w:cs="Times New Roman"/>
        </w:rPr>
        <w:t>Communities were dominated by</w:t>
      </w:r>
      <w:r w:rsidR="00CF0456">
        <w:rPr>
          <w:rFonts w:cs="Times New Roman"/>
        </w:rPr>
        <w:t xml:space="preserve"> bacterial representatives, </w:t>
      </w:r>
      <w:r w:rsidR="009972F0" w:rsidRPr="00D93D74">
        <w:rPr>
          <w:rFonts w:cs="Times New Roman"/>
        </w:rPr>
        <w:t xml:space="preserve">primarily from the phyla </w:t>
      </w:r>
      <w:r w:rsidR="009972F0" w:rsidRPr="00D93D74">
        <w:rPr>
          <w:rFonts w:cs="Times New Roman"/>
          <w:i/>
          <w:iCs/>
        </w:rPr>
        <w:t>Bacillota</w:t>
      </w:r>
      <w:r w:rsidR="009972F0" w:rsidRPr="00D93D74">
        <w:rPr>
          <w:rFonts w:cs="Times New Roman"/>
        </w:rPr>
        <w:t xml:space="preserve"> and </w:t>
      </w:r>
      <w:r w:rsidR="009972F0" w:rsidRPr="00D93D74">
        <w:rPr>
          <w:rFonts w:cs="Times New Roman"/>
          <w:i/>
          <w:iCs/>
        </w:rPr>
        <w:t>Bacteroidota</w:t>
      </w:r>
      <w:r w:rsidR="009972F0" w:rsidRPr="00D93D74">
        <w:rPr>
          <w:rFonts w:cs="Times New Roman"/>
        </w:rPr>
        <w:t xml:space="preserve">, while other phyla such as </w:t>
      </w:r>
      <w:r w:rsidR="009972F0" w:rsidRPr="00D93D74">
        <w:rPr>
          <w:rFonts w:cs="Times New Roman"/>
          <w:i/>
          <w:iCs/>
        </w:rPr>
        <w:t>Pseudomonadota</w:t>
      </w:r>
      <w:r w:rsidR="009972F0" w:rsidRPr="00D93D74">
        <w:rPr>
          <w:rFonts w:cs="Times New Roman"/>
        </w:rPr>
        <w:t xml:space="preserve">, </w:t>
      </w:r>
      <w:r w:rsidR="009972F0" w:rsidRPr="00D93D74">
        <w:rPr>
          <w:rFonts w:cs="Times New Roman"/>
          <w:i/>
          <w:iCs/>
        </w:rPr>
        <w:t>Actinomycetota</w:t>
      </w:r>
      <w:r w:rsidR="009972F0" w:rsidRPr="00D93D74">
        <w:rPr>
          <w:rFonts w:cs="Times New Roman"/>
        </w:rPr>
        <w:t xml:space="preserve"> and</w:t>
      </w:r>
      <w:r w:rsidR="00E4437C">
        <w:rPr>
          <w:rFonts w:cs="Times New Roman"/>
        </w:rPr>
        <w:t>,</w:t>
      </w:r>
      <w:r w:rsidR="009972F0" w:rsidRPr="00D93D74">
        <w:rPr>
          <w:rFonts w:cs="Times New Roman"/>
        </w:rPr>
        <w:t xml:space="preserve"> </w:t>
      </w:r>
      <w:r w:rsidR="009972F0" w:rsidRPr="00D93D74">
        <w:rPr>
          <w:rFonts w:cs="Times New Roman"/>
          <w:i/>
          <w:iCs/>
        </w:rPr>
        <w:t>Verrucomicrobiota</w:t>
      </w:r>
      <w:r w:rsidR="009972F0" w:rsidRPr="00D93D74">
        <w:rPr>
          <w:rFonts w:cs="Times New Roman"/>
        </w:rPr>
        <w:t xml:space="preserve"> </w:t>
      </w:r>
      <w:r w:rsidR="00E4437C">
        <w:rPr>
          <w:rFonts w:cs="Times New Roman"/>
        </w:rPr>
        <w:t>were</w:t>
      </w:r>
      <w:r w:rsidR="009972F0" w:rsidRPr="00D93D74">
        <w:rPr>
          <w:rFonts w:cs="Times New Roman"/>
        </w:rPr>
        <w:t xml:space="preserve"> present at lower relative abundance as determined by </w:t>
      </w:r>
      <w:r w:rsidR="00AC672D">
        <w:rPr>
          <w:rFonts w:cs="Times New Roman"/>
        </w:rPr>
        <w:t xml:space="preserve">16S </w:t>
      </w:r>
      <w:r w:rsidR="009972F0" w:rsidRPr="00D93D74">
        <w:rPr>
          <w:rFonts w:cs="Times New Roman"/>
        </w:rPr>
        <w:t>amplicon and metagenomic sequencing</w:t>
      </w:r>
      <w:r w:rsidR="00AC672D">
        <w:rPr>
          <w:rFonts w:cs="Times New Roman"/>
        </w:rPr>
        <w:t xml:space="preserve">. </w:t>
      </w:r>
    </w:p>
    <w:p w14:paraId="4AF40132" w14:textId="40A0767C" w:rsidR="009972F0" w:rsidRPr="00D93D74" w:rsidRDefault="002F7332" w:rsidP="009972F0">
      <w:pPr>
        <w:rPr>
          <w:rFonts w:cs="Times New Roman"/>
        </w:rPr>
      </w:pPr>
      <w:r>
        <w:rPr>
          <w:rFonts w:cs="Times New Roman"/>
        </w:rPr>
        <w:t xml:space="preserve">Among archaea </w:t>
      </w:r>
      <w:r w:rsidR="009972F0" w:rsidRPr="00D93D74">
        <w:rPr>
          <w:rFonts w:cs="Times New Roman"/>
          <w:i/>
          <w:iCs/>
        </w:rPr>
        <w:t xml:space="preserve">Methanobrevibacter smithii </w:t>
      </w:r>
      <w:r w:rsidR="009972F0" w:rsidRPr="00D93D74">
        <w:rPr>
          <w:rFonts w:cs="Times New Roman"/>
        </w:rPr>
        <w:t xml:space="preserve">was detected in more than half of participants at low relative abundances, while </w:t>
      </w:r>
      <w:r w:rsidR="009972F0" w:rsidRPr="00D93D74">
        <w:rPr>
          <w:rFonts w:cs="Times New Roman"/>
          <w:i/>
          <w:iCs/>
        </w:rPr>
        <w:t>Methanosphaera stadtmanae</w:t>
      </w:r>
      <w:r w:rsidR="009972F0" w:rsidRPr="00D93D74">
        <w:rPr>
          <w:rFonts w:cs="Times New Roman"/>
        </w:rPr>
        <w:t xml:space="preserve"> was detected in only two </w:t>
      </w:r>
      <w:r>
        <w:rPr>
          <w:rFonts w:cs="Times New Roman"/>
        </w:rPr>
        <w:t>individuals</w:t>
      </w:r>
      <w:r w:rsidR="009972F0" w:rsidRPr="00D93D74">
        <w:rPr>
          <w:rFonts w:cs="Times New Roman"/>
        </w:rPr>
        <w:t xml:space="preserve">. Although </w:t>
      </w:r>
      <w:r w:rsidR="009972F0" w:rsidRPr="00D93D74">
        <w:rPr>
          <w:rFonts w:cs="Times New Roman"/>
          <w:i/>
          <w:iCs/>
        </w:rPr>
        <w:t>Mbb. smithii</w:t>
      </w:r>
      <w:r w:rsidR="009972F0" w:rsidRPr="00D93D74">
        <w:rPr>
          <w:rFonts w:cs="Times New Roman"/>
        </w:rPr>
        <w:t xml:space="preserve"> </w:t>
      </w:r>
      <w:r>
        <w:rPr>
          <w:rFonts w:cs="Times New Roman"/>
        </w:rPr>
        <w:t>is generally</w:t>
      </w:r>
      <w:r w:rsidR="009972F0" w:rsidRPr="00D93D74">
        <w:rPr>
          <w:rFonts w:cs="Times New Roman"/>
        </w:rPr>
        <w:t xml:space="preserve"> reported at higher prevalence in the general population, its relative abundance </w:t>
      </w:r>
      <w:r>
        <w:rPr>
          <w:rFonts w:cs="Times New Roman"/>
        </w:rPr>
        <w:t>in our cohort</w:t>
      </w:r>
      <w:r w:rsidR="009972F0" w:rsidRPr="00D93D74">
        <w:rPr>
          <w:rFonts w:cs="Times New Roman"/>
        </w:rPr>
        <w:t xml:space="preserve"> is consistent with previous </w:t>
      </w:r>
      <w:r>
        <w:rPr>
          <w:rFonts w:cs="Times New Roman"/>
        </w:rPr>
        <w:t>findings</w:t>
      </w:r>
      <w:r w:rsidR="009972F0" w:rsidRPr="00D93D74">
        <w:rPr>
          <w:rFonts w:cs="Times New Roman"/>
        </w:rPr>
        <w:t xml:space="preserve"> (Hoegenauer et al., 2022; Moissl-Eichinger et al., 2018).</w:t>
      </w:r>
    </w:p>
    <w:p w14:paraId="3D824389" w14:textId="69F63EBE" w:rsidR="00D9297E" w:rsidRPr="00D93D74" w:rsidRDefault="009972F0" w:rsidP="009972F0">
      <w:pPr>
        <w:rPr>
          <w:rFonts w:cs="Times New Roman"/>
        </w:rPr>
      </w:pPr>
      <w:r w:rsidRPr="00D93D74">
        <w:rPr>
          <w:rFonts w:cs="Times New Roman"/>
        </w:rPr>
        <w:t xml:space="preserve">Despite the previously reported high prevalence of </w:t>
      </w:r>
      <w:r w:rsidRPr="00D93D74">
        <w:rPr>
          <w:rFonts w:cs="Times New Roman"/>
          <w:i/>
          <w:iCs/>
        </w:rPr>
        <w:t>Saccharomyces cerevisiae</w:t>
      </w:r>
      <w:r w:rsidRPr="00D93D74">
        <w:rPr>
          <w:rFonts w:cs="Times New Roman"/>
        </w:rPr>
        <w:t>, we did not detect this species in all participants, and when detected, it was not persistent over time</w:t>
      </w:r>
      <w:r w:rsidR="001F0078">
        <w:rPr>
          <w:rFonts w:cs="Times New Roman"/>
        </w:rPr>
        <w:t xml:space="preserve"> </w:t>
      </w:r>
      <w:r w:rsidR="001F0078">
        <w:rPr>
          <w:rFonts w:cs="Times New Roman"/>
        </w:rPr>
        <w:fldChar w:fldCharType="begin"/>
      </w:r>
      <w:r w:rsidR="001C2A55">
        <w:rPr>
          <w:rFonts w:cs="Times New Roman"/>
        </w:rPr>
        <w:instrText xml:space="preserve"> ADDIN ZOTERO_ITEM CSL_CITATION {"citationID":"sKezOiNk","properties":{"formattedCitation":"(Hallen-Adams &amp; Suhr, 2016; Mahnic &amp; Rupnik, 2018)","plainCitation":"(Hallen-Adams &amp; Suhr, 2016; Mahnic &amp; Rupnik, 2018)","noteIndex":0},"citationItems":[{"id":3191,"uris":["http://zotero.org/users/8873894/items/6EYUXRN6"],"itemData":{"id":3191,"type":"article-journal","abstract":"Many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factors.","container-title":"Virulence","DOI":"10.1080/21505594.2016.1247140","ISSN":"2150-5594","issue":"3","journalAbbreviation":"Virulence","page":"352-358","PMID":"27736307","PMCID":"PMC5411236","source":"PubMed Central","title":"Fungi in the healthy human gastrointestinal tract","volume":"8","author":[{"family":"Hallen-Adams","given":"Heather E."},{"family":"Suhr","given":"Mallory J."}],"issued":{"date-parts":[["2016",10,13]]}}},{"id":340,"uris":["http://zotero.org/users/8873894/items/4YF2YM4H"],"itemData":{"id":340,"type":"article-journal","abstract":"Gut microbiota in a healthy population is shaped by various geographic, demographic and lifestyle factors. Although the majority of research remains focused on the bacterial community, recent efforts to include the remaining microbial members like viruses, archaea and especially fungi revealed various functions they perform in the gut. Using the amplicon sequencing approach we analysed bacterial and fungal gut communities in a Slovenian cohort of 186 healthy volunteers. In the bacterial microbiome we detected 253 different genera. A core microbiome analysis revealed high consistency with previous studies, most prominently showing that genera Faecalibacterium, Bacteroides and Roseburia regularly comprise the core community. We detected a total of 195 fungal genera, but the majority of these showed low prevalence and are likely transient foodborne contaminations. The fungal community showed a low diversity per sample and a large interindividual variability. The most abundant fungi were Saccharomyces cerevisiae and Candida albicans. These, along with representatives from genera Penicillium and Debaryomyces, cover 82% of obtained reads. We report three significant questionnaire-based host covariates associated with microbiota composition. Bacterial community was associated with age and gender. More specifically, bacterial diversity was increased with age and was higher in the female population compared to male. The analysis of fungal community showed that more time dedicated to physical activity resulted in a higher fungal diversity and lower abundance of S. cerevisiae. This is likely dependent on different diets, which were reported by participants according to the respective rates of physical activity.","container-title":"PLoS ONE","DOI":"10.1371/journal.pone.0209209","ISSN":"1932-6203","issue":"12","journalAbbreviation":"PLoS One","page":"e0209209","PMID":"30571698","PMCID":"PMC6301613","source":"PubMed Central","title":"Different host factors are associated with patterns in bacterial and fungal gut microbiota in Slovenian healthy cohort","volume":"13","author":[{"family":"Mahnic","given":"Aleksander"},{"family":"Rupnik","given":"Maja"}],"issued":{"date-parts":[["2018",12,20]]}}}],"schema":"https://github.com/citation-style-language/schema/raw/master/csl-citation.json"} </w:instrText>
      </w:r>
      <w:r w:rsidR="001F0078">
        <w:rPr>
          <w:rFonts w:cs="Times New Roman"/>
        </w:rPr>
        <w:fldChar w:fldCharType="separate"/>
      </w:r>
      <w:r w:rsidR="00E24117" w:rsidRPr="00E24117">
        <w:rPr>
          <w:rFonts w:cs="Times New Roman"/>
        </w:rPr>
        <w:t>(Hallen-Adams &amp; Suhr, 2016; Mahnic &amp; Rupnik, 2018)</w:t>
      </w:r>
      <w:r w:rsidR="001F0078">
        <w:rPr>
          <w:rFonts w:cs="Times New Roman"/>
        </w:rPr>
        <w:fldChar w:fldCharType="end"/>
      </w:r>
      <w:r w:rsidR="001F0078">
        <w:rPr>
          <w:rFonts w:cs="Times New Roman"/>
        </w:rPr>
        <w:t>.</w:t>
      </w:r>
      <w:r w:rsidRPr="00D93D74">
        <w:rPr>
          <w:rFonts w:cs="Times New Roman"/>
        </w:rPr>
        <w:t xml:space="preserve"> </w:t>
      </w:r>
      <w:r w:rsidRPr="00D93D74">
        <w:rPr>
          <w:rFonts w:cs="Times New Roman"/>
          <w:i/>
          <w:iCs/>
        </w:rPr>
        <w:t>Blastocystis</w:t>
      </w:r>
      <w:r w:rsidRPr="00D93D74">
        <w:rPr>
          <w:rFonts w:cs="Times New Roman"/>
        </w:rPr>
        <w:t xml:space="preserve"> sp. showed higher prevalence </w:t>
      </w:r>
      <w:r w:rsidR="002F7332">
        <w:rPr>
          <w:rFonts w:cs="Times New Roman"/>
        </w:rPr>
        <w:t>and longer persistence within individuals</w:t>
      </w:r>
      <w:r w:rsidRPr="00D93D74">
        <w:rPr>
          <w:rFonts w:cs="Times New Roman"/>
        </w:rPr>
        <w:t xml:space="preserve"> </w:t>
      </w:r>
      <w:r w:rsidR="001F0078">
        <w:rPr>
          <w:rFonts w:cs="Times New Roman"/>
        </w:rPr>
        <w:fldChar w:fldCharType="begin"/>
      </w:r>
      <w:r w:rsidR="001C2A55">
        <w:rPr>
          <w:rFonts w:cs="Times New Roman"/>
        </w:rPr>
        <w:instrText xml:space="preserve"> ADDIN ZOTERO_ITEM CSL_CITATION {"citationID":"eMMomEC1","properties":{"formattedCitation":"(Aykur et al., 2024)","plainCitation":"(Aykur et al., 2024)","noteIndex":0},"citationItems":[{"id":3408,"uris":["http://zotero.org/users/8873894/items/HDIHMS36"],"itemData":{"id":3408,"type":"article-journal","abstract":"Blastocystis is the most common gastrointestinal protist found in humans and animals. Although the clinical significance of Blastocystis remains unclear, the organism is increasingly being viewed as a commensal member of the gut microbiome. However, its impact on the microbiome is still being debated. It is unclear whether Blastocystis promotes a healthy gut and microbiome directly or whether it is more likely to colonize and persist in a healthy gut environment. In healthy people, Blastocystis is frequently associated with increased bacterial diversity and significant differences in the gut microbiome. Based on current knowledge, it is not possible to determine whether differences in the gut microbiome are the cause or result of Blastocystis colonization. Although it is possible that some aspects of this eukaryote’s role in the intestinal microbiome remain unknown and that its effects vary, possibly due to subtype and intra-subtype variations and immune modulation, more research is needed to characterize these mechanisms in greater detail. This review covers recent findings on the effects of Blastocystis in the gut microbiome and immune modulation, its impact on the microbiome in autoimmune diseases, whether Blastocystis has a role like bacteria in the gut–brain axis, and its relationship with probiotics.","container-title":"Microorganisms","DOI":"10.3390/microorganisms12030461","ISSN":"2076-2607","issue":"3","language":"en","license":"http://creativecommons.org/licenses/by/3.0/","page":"461","publisher":"Multidisciplinary Digital Publishing Institute","source":"www.mdpi.com","title":"Blastocystis: A Mysterious Member of the Gut Microbiome","title-short":"Blastocystis","volume":"12","author":[{"family":"Aykur","given":"Mehmet"},{"family":"Malatyalı","given":"Erdoğan"},{"family":"Demirel","given":"Filiz"},{"family":"Cömert-Koçak","given":"Burçak"},{"family":"Gentekaki","given":"Eleni"},{"family":"Tsaousis","given":"Anastasios D."},{"family":"Dogruman-Al","given":"Funda"}],"issued":{"date-parts":[["2024",3]]}}}],"schema":"https://github.com/citation-style-language/schema/raw/master/csl-citation.json"} </w:instrText>
      </w:r>
      <w:r w:rsidR="001F0078">
        <w:rPr>
          <w:rFonts w:cs="Times New Roman"/>
        </w:rPr>
        <w:fldChar w:fldCharType="separate"/>
      </w:r>
      <w:r w:rsidR="001F0078" w:rsidRPr="001F0078">
        <w:rPr>
          <w:rFonts w:cs="Times New Roman"/>
        </w:rPr>
        <w:t>(Aykur et al., 2024)</w:t>
      </w:r>
      <w:r w:rsidR="001F0078">
        <w:rPr>
          <w:rFonts w:cs="Times New Roman"/>
        </w:rPr>
        <w:fldChar w:fldCharType="end"/>
      </w:r>
      <w:r w:rsidRPr="00D93D74">
        <w:rPr>
          <w:rFonts w:cs="Times New Roman"/>
        </w:rPr>
        <w:t xml:space="preserve">. </w:t>
      </w:r>
      <w:r w:rsidR="006F5005">
        <w:rPr>
          <w:rFonts w:cs="Times New Roman"/>
        </w:rPr>
        <w:t>It’s</w:t>
      </w:r>
      <w:r w:rsidR="002F7332">
        <w:rPr>
          <w:rFonts w:cs="Times New Roman"/>
        </w:rPr>
        <w:t xml:space="preserve"> important to note that, d</w:t>
      </w:r>
      <w:r w:rsidRPr="00D93D74">
        <w:rPr>
          <w:rFonts w:cs="Times New Roman"/>
        </w:rPr>
        <w:t>espite deep sequencing</w:t>
      </w:r>
      <w:r w:rsidR="006F5005">
        <w:rPr>
          <w:rFonts w:cs="Times New Roman"/>
        </w:rPr>
        <w:t xml:space="preserve">, </w:t>
      </w:r>
      <w:r w:rsidR="001F0078">
        <w:rPr>
          <w:rFonts w:cs="Times New Roman"/>
        </w:rPr>
        <w:t>rarefaction</w:t>
      </w:r>
      <w:r w:rsidRPr="00D93D74">
        <w:rPr>
          <w:rFonts w:cs="Times New Roman"/>
        </w:rPr>
        <w:t xml:space="preserve"> </w:t>
      </w:r>
      <w:r w:rsidR="006F5005">
        <w:rPr>
          <w:rFonts w:cs="Times New Roman"/>
        </w:rPr>
        <w:t xml:space="preserve">analysis indicated incomplete detection of all microorganisms present. </w:t>
      </w:r>
      <w:r w:rsidR="006F5005">
        <w:rPr>
          <w:rFonts w:cs="Times New Roman"/>
        </w:rPr>
        <w:lastRenderedPageBreak/>
        <w:t>Therefore, absence should be interpreted cautiously as being below the detection limit rather than true absence</w:t>
      </w:r>
      <w:r w:rsidRPr="00D93D74">
        <w:rPr>
          <w:rFonts w:cs="Times New Roman"/>
        </w:rPr>
        <w:t xml:space="preserve"> </w:t>
      </w:r>
      <w:r w:rsidR="00D9297E" w:rsidRPr="00D93D74">
        <w:rPr>
          <w:rFonts w:cs="Times New Roman"/>
        </w:rPr>
        <w:fldChar w:fldCharType="begin"/>
      </w:r>
      <w:r w:rsidR="001C2A55">
        <w:rPr>
          <w:rFonts w:cs="Times New Roman"/>
        </w:rPr>
        <w:instrText xml:space="preserve"> ADDIN ZOTERO_ITEM CSL_CITATION {"citationID":"OB2ojWo6","properties":{"formattedCitation":"(Nash et al., 2017)","plainCitation":"(Nash et al., 2017)","noteIndex":0},"citationItems":[{"id":3336,"uris":["http://zotero.org/users/8873894/items/WQCEAFTR"],"itemData":{"id":3336,"type":"article-journal","abstract":"Most studies describing the human gut microbiome in healthy and diseased states have emphasized the bacterial component, but the fungal microbiome (i.e., the mycobiome) is beginning to gain recognition as a fundamental part of our microbiome. To date, human gut mycobiome studies have primarily been disease centric or in small cohorts of healthy individuals. To contribute to existing knowledge of the human mycobiome, we investigated the gut mycobiome of the Human Microbiome Project (HMP) cohort by sequencing the Internal Transcribed Spacer 2 (ITS2) region as well as the 18S rRNA gene.","container-title":"Microbiome","DOI":"10.1186/s40168-017-0373-4","ISSN":"2049-2618","issue":"1","journalAbbreviation":"Microbiome","language":"en","page":"153","source":"Springer Link","title":"The gut mycobiome of the Human Microbiome Project healthy cohort","volume":"5","author":[{"family":"Nash","given":"Andrea K."},{"family":"Auchtung","given":"Thomas A."},{"family":"Wong","given":"Matthew C."},{"family":"Smith","given":"Daniel P."},{"family":"Gesell","given":"Jonathan R."},{"family":"Ross","given":"Matthew C."},{"family":"Stewart","given":"Christopher J."},{"family":"Metcalf","given":"Ginger A."},{"family":"Muzny","given":"Donna M."},{"family":"Gibbs","given":"Richard A."},{"family":"Ajami","given":"Nadim J."},{"family":"Petrosino","given":"Joseph F."}],"issued":{"date-parts":[["2017",11,25]]}}}],"schema":"https://github.com/citation-style-language/schema/raw/master/csl-citation.json"} </w:instrText>
      </w:r>
      <w:r w:rsidR="00D9297E" w:rsidRPr="00D93D74">
        <w:rPr>
          <w:rFonts w:cs="Times New Roman"/>
        </w:rPr>
        <w:fldChar w:fldCharType="separate"/>
      </w:r>
      <w:r w:rsidR="00D9297E" w:rsidRPr="00D93D74">
        <w:rPr>
          <w:rFonts w:cs="Times New Roman"/>
        </w:rPr>
        <w:t>(Nash et al., 2017)</w:t>
      </w:r>
      <w:r w:rsidR="00D9297E" w:rsidRPr="00D93D74">
        <w:rPr>
          <w:rFonts w:cs="Times New Roman"/>
        </w:rPr>
        <w:fldChar w:fldCharType="end"/>
      </w:r>
      <w:r w:rsidR="001F0078">
        <w:rPr>
          <w:rFonts w:cs="Times New Roman"/>
        </w:rPr>
        <w:t xml:space="preserve">. If </w:t>
      </w:r>
      <w:r w:rsidR="006F5005">
        <w:rPr>
          <w:rFonts w:cs="Times New Roman"/>
        </w:rPr>
        <w:t xml:space="preserve">fungal </w:t>
      </w:r>
      <w:r w:rsidR="00E4437C">
        <w:rPr>
          <w:rFonts w:cs="Times New Roman"/>
        </w:rPr>
        <w:t xml:space="preserve">detection </w:t>
      </w:r>
      <w:r w:rsidR="001F0078">
        <w:rPr>
          <w:rFonts w:cs="Times New Roman"/>
        </w:rPr>
        <w:t xml:space="preserve">were </w:t>
      </w:r>
      <w:r w:rsidR="006F5005">
        <w:rPr>
          <w:rFonts w:cs="Times New Roman"/>
        </w:rPr>
        <w:t>a primary</w:t>
      </w:r>
      <w:r w:rsidR="001F0078">
        <w:rPr>
          <w:rFonts w:cs="Times New Roman"/>
        </w:rPr>
        <w:t xml:space="preserve"> objective</w:t>
      </w:r>
      <w:r w:rsidR="006F5005">
        <w:rPr>
          <w:rFonts w:cs="Times New Roman"/>
        </w:rPr>
        <w:t>, ITS a</w:t>
      </w:r>
      <w:r w:rsidR="001F0078">
        <w:rPr>
          <w:rFonts w:cs="Times New Roman"/>
        </w:rPr>
        <w:t xml:space="preserve">mplicon sequencing would </w:t>
      </w:r>
      <w:r w:rsidR="006F5005">
        <w:rPr>
          <w:rFonts w:cs="Times New Roman"/>
        </w:rPr>
        <w:t xml:space="preserve">likely </w:t>
      </w:r>
      <w:r w:rsidR="001F0078">
        <w:rPr>
          <w:rFonts w:cs="Times New Roman"/>
        </w:rPr>
        <w:t xml:space="preserve">be more </w:t>
      </w:r>
      <w:r w:rsidR="006F5005">
        <w:rPr>
          <w:rFonts w:cs="Times New Roman"/>
        </w:rPr>
        <w:t>appropriate</w:t>
      </w:r>
      <w:r w:rsidR="001F0078">
        <w:rPr>
          <w:rFonts w:cs="Times New Roman"/>
        </w:rPr>
        <w:t xml:space="preserve"> than metagenomic</w:t>
      </w:r>
      <w:r w:rsidR="006F5005">
        <w:rPr>
          <w:rFonts w:cs="Times New Roman"/>
        </w:rPr>
        <w:t>s</w:t>
      </w:r>
      <w:r w:rsidR="001F0078">
        <w:rPr>
          <w:rFonts w:cs="Times New Roman"/>
        </w:rPr>
        <w:t xml:space="preserve"> </w:t>
      </w:r>
      <w:r w:rsidR="001F0078">
        <w:rPr>
          <w:rFonts w:cs="Times New Roman"/>
        </w:rPr>
        <w:fldChar w:fldCharType="begin"/>
      </w:r>
      <w:r w:rsidR="001C2A55">
        <w:rPr>
          <w:rFonts w:cs="Times New Roman"/>
        </w:rPr>
        <w:instrText xml:space="preserve"> ADDIN ZOTERO_ITEM CSL_CITATION {"citationID":"lp6W3uiG","properties":{"formattedCitation":"(Heisel et al., 2025)","plainCitation":"(Heisel et al., 2025)","noteIndex":0},"citationItems":[{"id":3575,"uris":["http://zotero.org/users/8873894/items/VY34YFY8"],"itemData":{"id":3575,"type":"article-journal","abstract":"Introduction\nMicrobial colonization of the gut in early life is important for the development of metabolism, immunity, and the brain. Fungi and bacteria both colonize the human infant gut. The relatively smaller contribution of fungi to the gut microbiome, as compared to bacteria, has posed technical challenges for the precise characterization of fungal communities (mycobiomes) and limited the ability to longitudinally examine mycobiome development.\n\nBackground\nThe aims of this study were to (1) characterize mycobiome maturation and identify clinical determinants of mycobiome compositional variation during the first 2 years of life and (2) compare two sequencing approaches (ITS2 amplicon and whole genome metagenomics) for characterizing mycobiome maturational features. Longitudinal fecal samples and associated clinical metadata were obtained from subjects enrolled as part of the MAGIC (Microbiome, Antibiotics and Growth Infant Cohort) study.\n\nResults\nOverall, fungal richness increased and mycobiome composition changed in a similar ordered pattern during the first 2 years of life utilizing either amplicon or metagenomic sequencing approaches. Less resolution of taxa to species and genera levels was observed for the metagenomic dataset. The predominant taxa identified by both sequencing approaches, Candida albicans, Saccharomyces/S. cerevisiae, and Malassezia restricta, each exhibited similar dynamics in abundances and prevalences over the first 2 years of life, irrespective of sequencing approach. Antibiotic exposure and breastfeeding status contributed to time-specific mycobiome compositional variation, results that were consistent for both types of sequence datasets. Candida albicans exhibited altered abundance dynamics in association with perinatal antibiotic exposure and birth mode for both sequencing approaches. Post hoc analyses suggested that the birth mode association could be driven by exposure to perinatal antibiotics in children delivered by cesarean section rather than by birth mode itself.\n\nDiscussion\nIn summary, amplicon and metagenomic sequencing approaches provide generally similar results with respect to mycobiome maturational dynamics and the contribution of clinical variables to variation. Differences in taxa identification by the two approaches likely due to sequence database differences, primer/genome sequence variation, and/or sequencing depth should be taken into consideration.","container-title":"Frontiers in Microbiology","DOI":"10.3389/fmicb.2025.1539750","ISSN":"1664-302X","journalAbbreviation":"Front Microbiol","page":"1539750","PMID":"40469735","PMCID":"PMC12133761","source":"PubMed Central","title":"Gut mycobiome maturation and its determinants during early childhood: a comparison of ITS2 amplicon and shotgun metagenomic sequencing approaches","title-short":"Gut mycobiome maturation and its determinants during early childhood","volume":"16","author":[{"family":"Heisel","given":"Timothy"},{"family":"Gonia","given":"Sara"},{"family":"Dillon","given":"Abrielle"},{"family":"Hoops","given":"Susan L."},{"family":"Al-Ghalith","given":"Gabriel A."},{"family":"Gohl","given":"Daryl"},{"family":"Mukhopadhyay","given":"Sagori"},{"family":"Puopolo","given":"Karen"},{"family":"Kennedy","given":"Peter"},{"family":"Sadowsky","given":"Michael J."},{"family":"Knights","given":"Dan"},{"family":"Johnson","given":"Abigail J."},{"family":"Gerber","given":"Jeffrey S."},{"family":"Gale","given":"Cheryl A."}],"issued":{"date-parts":[["2025",5,21]]}}}],"schema":"https://github.com/citation-style-language/schema/raw/master/csl-citation.json"} </w:instrText>
      </w:r>
      <w:r w:rsidR="001F0078">
        <w:rPr>
          <w:rFonts w:cs="Times New Roman"/>
        </w:rPr>
        <w:fldChar w:fldCharType="separate"/>
      </w:r>
      <w:r w:rsidR="001F0078" w:rsidRPr="001F0078">
        <w:rPr>
          <w:rFonts w:cs="Times New Roman"/>
        </w:rPr>
        <w:t>(Heisel et al., 2025)</w:t>
      </w:r>
      <w:r w:rsidR="001F0078">
        <w:rPr>
          <w:rFonts w:cs="Times New Roman"/>
        </w:rPr>
        <w:fldChar w:fldCharType="end"/>
      </w:r>
      <w:r w:rsidR="001F0078">
        <w:rPr>
          <w:rFonts w:cs="Times New Roman"/>
        </w:rPr>
        <w:t xml:space="preserve">. </w:t>
      </w:r>
    </w:p>
    <w:p w14:paraId="34CCCDC9" w14:textId="41B22D60" w:rsidR="009972F0" w:rsidRPr="00D93D74" w:rsidRDefault="009972F0" w:rsidP="009972F0">
      <w:pPr>
        <w:rPr>
          <w:rFonts w:cs="Times New Roman"/>
        </w:rPr>
      </w:pPr>
      <w:r w:rsidRPr="00D93D74">
        <w:rPr>
          <w:rFonts w:cs="Times New Roman"/>
        </w:rPr>
        <w:t xml:space="preserve">The </w:t>
      </w:r>
      <w:r w:rsidR="008714D7">
        <w:rPr>
          <w:rFonts w:cs="Times New Roman"/>
        </w:rPr>
        <w:t xml:space="preserve">virome was dominated by bacteriophages from the </w:t>
      </w:r>
      <w:r w:rsidRPr="00D93D74">
        <w:rPr>
          <w:rFonts w:cs="Times New Roman"/>
        </w:rPr>
        <w:t xml:space="preserve">class </w:t>
      </w:r>
      <w:r w:rsidRPr="00D93D74">
        <w:rPr>
          <w:rFonts w:cs="Times New Roman"/>
          <w:i/>
          <w:iCs/>
        </w:rPr>
        <w:t>Caudoviricetes</w:t>
      </w:r>
      <w:r w:rsidRPr="00D93D74">
        <w:rPr>
          <w:rFonts w:cs="Times New Roman"/>
        </w:rPr>
        <w:t xml:space="preserve">, </w:t>
      </w:r>
      <w:r w:rsidR="008714D7">
        <w:rPr>
          <w:rFonts w:cs="Times New Roman"/>
        </w:rPr>
        <w:t xml:space="preserve">which were approximately two orders of magnitude mode abundant </w:t>
      </w:r>
      <w:r w:rsidRPr="00D93D74">
        <w:rPr>
          <w:rFonts w:cs="Times New Roman"/>
        </w:rPr>
        <w:t>than other vir</w:t>
      </w:r>
      <w:r w:rsidR="008714D7">
        <w:rPr>
          <w:rFonts w:cs="Times New Roman"/>
        </w:rPr>
        <w:t>al groups</w:t>
      </w:r>
      <w:r w:rsidRPr="00D93D74">
        <w:rPr>
          <w:rFonts w:cs="Times New Roman"/>
        </w:rPr>
        <w:t xml:space="preserve">, </w:t>
      </w:r>
      <w:r w:rsidR="008714D7">
        <w:rPr>
          <w:rFonts w:cs="Times New Roman"/>
        </w:rPr>
        <w:t xml:space="preserve">including </w:t>
      </w:r>
      <w:r w:rsidRPr="00D93D74">
        <w:rPr>
          <w:rFonts w:cs="Times New Roman"/>
        </w:rPr>
        <w:t>eukaryotic</w:t>
      </w:r>
      <w:r w:rsidR="00E24117">
        <w:rPr>
          <w:rFonts w:cs="Times New Roman"/>
        </w:rPr>
        <w:t xml:space="preserve"> </w:t>
      </w:r>
      <w:r w:rsidR="008714D7">
        <w:rPr>
          <w:rFonts w:cs="Times New Roman"/>
        </w:rPr>
        <w:t xml:space="preserve">viruses </w:t>
      </w:r>
      <w:r w:rsidR="00E24117">
        <w:rPr>
          <w:rFonts w:cs="Times New Roman"/>
        </w:rPr>
        <w:fldChar w:fldCharType="begin"/>
      </w:r>
      <w:r w:rsidR="001C2A55">
        <w:rPr>
          <w:rFonts w:cs="Times New Roman"/>
        </w:rPr>
        <w:instrText xml:space="preserve"> ADDIN ZOTERO_ITEM CSL_CITATION {"citationID":"InKTQaMa","properties":{"formattedCitation":"(Shkoporov et al., 2019)","plainCitation":"(Shkoporov et al., 2019)","noteIndex":0},"citationItems":[{"id":2082,"uris":["http://zotero.org/users/8873894/items/ZXX8T33Z"],"itemData":{"id":2082,"type":"article-journal","abstract":"The human gut contains a vast array of viruses, mostly bacteriophages. The majority remain uncharacterized, and their roles in shaping the gut microbiome and in impacting on human health remain poorly understood. We performed longitudinal metagenomic analysis of fecal viruses in healthy adults that reveal high temporal stability, individual speciﬁcity, and correlation with the bacterial microbiome. Using a database-independent approach that uses most of the sequencing data, we uncovered the existence of a stable, numerically predominant individual-speciﬁc persistent personal virome. Clustering of viral genomes and de novo taxonomic annotation identiﬁed several groups of crAss-like and Microviridae bacteriophages as the most stable colonizers of the human gut. CRISPR-based host prediction highlighted connections between these stable viral communities and highly predominant gut bacterial taxa such as Bacteroides, Prevotella, and Faecalibacterium. This study provides insights into the structure of the human gut virome and serves as an important baseline for hypothesisdriven research.","container-title":"Cell Host &amp; Microbe","DOI":"10.1016/j.chom.2019.09.009","ISSN":"19313128","issue":"4","journalAbbreviation":"Cell Host &amp; Microbe","language":"en","page":"527-541.e5","source":"DOI.org (Crossref)","title":"The Human Gut Virome Is Highly Diverse, Stable, and Individual Specific","volume":"26","author":[{"family":"Shkoporov","given":"Andrey N."},{"family":"Clooney","given":"Adam G."},{"family":"Sutton","given":"Thomas D.S."},{"family":"Ryan","given":"Feargal J."},{"family":"Daly","given":"Karen M."},{"family":"Nolan","given":"James A."},{"family":"McDonnell","given":"Siobhan A."},{"family":"Khokhlova","given":"Ekaterina V."},{"family":"Draper","given":"Lorraine A."},{"family":"Forde","given":"Amanda"},{"family":"Guerin","given":"Emma"},{"family":"Velayudhan","given":"Vimalkumar"},{"family":"Ross","given":"R. Paul"},{"family":"Hill","given":"Colin"}],"issued":{"date-parts":[["2019",10]]}}}],"schema":"https://github.com/citation-style-language/schema/raw/master/csl-citation.json"} </w:instrText>
      </w:r>
      <w:r w:rsidR="00E24117">
        <w:rPr>
          <w:rFonts w:cs="Times New Roman"/>
        </w:rPr>
        <w:fldChar w:fldCharType="separate"/>
      </w:r>
      <w:r w:rsidR="00E24117" w:rsidRPr="00E24117">
        <w:rPr>
          <w:rFonts w:cs="Times New Roman"/>
        </w:rPr>
        <w:t>(Shkoporov et al., 2019)</w:t>
      </w:r>
      <w:r w:rsidR="00E24117">
        <w:rPr>
          <w:rFonts w:cs="Times New Roman"/>
        </w:rPr>
        <w:fldChar w:fldCharType="end"/>
      </w:r>
      <w:r w:rsidRPr="00D93D74">
        <w:rPr>
          <w:rFonts w:cs="Times New Roman"/>
        </w:rPr>
        <w:t xml:space="preserve">. </w:t>
      </w:r>
      <w:r w:rsidR="008714D7">
        <w:rPr>
          <w:rFonts w:cs="Times New Roman"/>
        </w:rPr>
        <w:t>While</w:t>
      </w:r>
      <w:r w:rsidRPr="00D93D74">
        <w:rPr>
          <w:rFonts w:cs="Times New Roman"/>
        </w:rPr>
        <w:t xml:space="preserve"> consistent with </w:t>
      </w:r>
      <w:r w:rsidR="008714D7">
        <w:rPr>
          <w:rFonts w:cs="Times New Roman"/>
        </w:rPr>
        <w:t>existing</w:t>
      </w:r>
      <w:r w:rsidRPr="00D93D74">
        <w:rPr>
          <w:rFonts w:cs="Times New Roman"/>
        </w:rPr>
        <w:t xml:space="preserve"> literature, </w:t>
      </w:r>
      <w:r w:rsidR="008714D7">
        <w:rPr>
          <w:rFonts w:cs="Times New Roman"/>
        </w:rPr>
        <w:t xml:space="preserve">this observation may be influenced by the </w:t>
      </w:r>
      <w:r w:rsidRPr="00D93D74">
        <w:rPr>
          <w:rFonts w:cs="Times New Roman"/>
        </w:rPr>
        <w:t xml:space="preserve">over-representation of </w:t>
      </w:r>
      <w:r w:rsidRPr="00D93D74">
        <w:rPr>
          <w:rFonts w:cs="Times New Roman"/>
          <w:i/>
          <w:iCs/>
        </w:rPr>
        <w:t>Caudovirales</w:t>
      </w:r>
      <w:r w:rsidRPr="00D93D74">
        <w:rPr>
          <w:rFonts w:cs="Times New Roman"/>
        </w:rPr>
        <w:t xml:space="preserve"> sequences in the </w:t>
      </w:r>
      <w:r w:rsidR="008714D7">
        <w:rPr>
          <w:rFonts w:cs="Times New Roman"/>
        </w:rPr>
        <w:t xml:space="preserve">reference </w:t>
      </w:r>
      <w:r w:rsidRPr="00D93D74">
        <w:rPr>
          <w:rFonts w:cs="Times New Roman"/>
        </w:rPr>
        <w:t xml:space="preserve">databases, which </w:t>
      </w:r>
      <w:r w:rsidR="008714D7">
        <w:rPr>
          <w:rFonts w:cs="Times New Roman"/>
        </w:rPr>
        <w:t>can</w:t>
      </w:r>
      <w:r w:rsidRPr="00D93D74">
        <w:rPr>
          <w:rFonts w:cs="Times New Roman"/>
        </w:rPr>
        <w:t xml:space="preserve"> introduce </w:t>
      </w:r>
      <w:r w:rsidR="008714D7">
        <w:rPr>
          <w:rFonts w:cs="Times New Roman"/>
        </w:rPr>
        <w:t>b</w:t>
      </w:r>
      <w:r w:rsidRPr="00D93D74">
        <w:rPr>
          <w:rFonts w:cs="Times New Roman"/>
        </w:rPr>
        <w:t xml:space="preserve">ias in </w:t>
      </w:r>
      <w:r w:rsidR="008714D7">
        <w:rPr>
          <w:rFonts w:cs="Times New Roman"/>
        </w:rPr>
        <w:t>viral community analyses</w:t>
      </w:r>
      <w:r w:rsidR="00E24117">
        <w:rPr>
          <w:rFonts w:cs="Times New Roman"/>
        </w:rPr>
        <w:t xml:space="preserve"> </w:t>
      </w:r>
      <w:r w:rsidR="00E24117">
        <w:rPr>
          <w:rFonts w:cs="Times New Roman"/>
        </w:rPr>
        <w:fldChar w:fldCharType="begin"/>
      </w:r>
      <w:r w:rsidR="001C2A55">
        <w:rPr>
          <w:rFonts w:cs="Times New Roman"/>
        </w:rPr>
        <w:instrText xml:space="preserve"> ADDIN ZOTERO_ITEM CSL_CITATION {"citationID":"7X5dltwE","properties":{"formattedCitation":"(J. Li et al., 2022)","plainCitation":"(J. Li et al., 2022)","noteIndex":0},"citationItems":[{"id":843,"uris":["http://zotero.org/users/8873894/items/P4QV4D9N"],"itemData":{"id":843,"type":"article-journal","abstract":"The human gut virome, which is often referred to as the “dark matter” of the gut microbiome, remains understudied. A better understanding of the composition and variations of the gut virome across populations is critical for exploring its impact on diseases and health. A series of advances in the characterization of human gut virome have unveiled high genetic diversity and various functional potentials of gut viruses. Here, we summarize the recently available human gut virome databases and discuss their features, procedures, and challenges with the intention to provide a reference to researchers to use while choosing a profiling database. We also propose a “best practice” for cataloging the viral population.","container-title":"Cell Host &amp; Microbe","DOI":"10.1016/j.chom.2022.06.003","ISSN":"1931-3128","issue":"7","journalAbbreviation":"Cell Host &amp; Microbe","language":"en","page":"908-916","source":"ScienceDirect","title":"Advances and challenges in cataloging the human gut virome","volume":"30","author":[{"family":"Li","given":"Junhua"},{"family":"Yang","given":"Fangming"},{"family":"Xiao","given":"Minfeng"},{"family":"Li","given":"Aixin"}],"issued":{"date-parts":[["2022",7,13]]}}}],"schema":"https://github.com/citation-style-language/schema/raw/master/csl-citation.json"} </w:instrText>
      </w:r>
      <w:r w:rsidR="00E24117">
        <w:rPr>
          <w:rFonts w:cs="Times New Roman"/>
        </w:rPr>
        <w:fldChar w:fldCharType="separate"/>
      </w:r>
      <w:r w:rsidR="00E24117" w:rsidRPr="00E24117">
        <w:rPr>
          <w:rFonts w:cs="Times New Roman"/>
        </w:rPr>
        <w:t>(J. Li et al., 2022)</w:t>
      </w:r>
      <w:r w:rsidR="00E24117">
        <w:rPr>
          <w:rFonts w:cs="Times New Roman"/>
        </w:rPr>
        <w:fldChar w:fldCharType="end"/>
      </w:r>
      <w:r w:rsidRPr="00D93D74">
        <w:rPr>
          <w:rFonts w:cs="Times New Roman"/>
        </w:rPr>
        <w:t xml:space="preserve">. </w:t>
      </w:r>
      <w:r w:rsidR="008714D7">
        <w:rPr>
          <w:rFonts w:cs="Times New Roman"/>
        </w:rPr>
        <w:t xml:space="preserve">Dedicated viral enrichment protocols and higher-resolution analysis (e.g. </w:t>
      </w:r>
      <w:r w:rsidR="00E24117">
        <w:rPr>
          <w:rFonts w:cs="Times New Roman"/>
        </w:rPr>
        <w:t xml:space="preserve">at the </w:t>
      </w:r>
      <w:r w:rsidR="008714D7">
        <w:rPr>
          <w:rFonts w:cs="Times New Roman"/>
        </w:rPr>
        <w:t xml:space="preserve">family or viral OTUs </w:t>
      </w:r>
      <w:r w:rsidR="00E24117">
        <w:rPr>
          <w:rFonts w:cs="Times New Roman"/>
        </w:rPr>
        <w:t>level</w:t>
      </w:r>
      <w:r w:rsidR="008714D7">
        <w:rPr>
          <w:rFonts w:cs="Times New Roman"/>
        </w:rPr>
        <w:t xml:space="preserve">) would be </w:t>
      </w:r>
      <w:r w:rsidR="00E24117">
        <w:rPr>
          <w:rFonts w:cs="Times New Roman"/>
        </w:rPr>
        <w:t xml:space="preserve"> </w:t>
      </w:r>
      <w:r w:rsidR="008714D7">
        <w:rPr>
          <w:rFonts w:cs="Times New Roman"/>
        </w:rPr>
        <w:t>required to accurately assess</w:t>
      </w:r>
      <w:r w:rsidR="00E24117">
        <w:rPr>
          <w:rFonts w:cs="Times New Roman"/>
        </w:rPr>
        <w:t xml:space="preserve"> </w:t>
      </w:r>
      <w:r w:rsidR="008714D7">
        <w:rPr>
          <w:rFonts w:cs="Times New Roman"/>
        </w:rPr>
        <w:t>viral persistence and between-individual sharing.</w:t>
      </w:r>
    </w:p>
    <w:p w14:paraId="23472F8B" w14:textId="77777777" w:rsidR="00B129CB" w:rsidRPr="00D93D74" w:rsidRDefault="00B129CB" w:rsidP="009972F0">
      <w:pPr>
        <w:rPr>
          <w:rFonts w:cs="Times New Roman"/>
        </w:rPr>
      </w:pPr>
    </w:p>
    <w:p w14:paraId="2FFF6426" w14:textId="77777777" w:rsidR="009972F0" w:rsidRPr="00D93D74" w:rsidRDefault="009972F0" w:rsidP="009972F0">
      <w:pPr>
        <w:pStyle w:val="Naslov3"/>
        <w:numPr>
          <w:ilvl w:val="0"/>
          <w:numId w:val="0"/>
        </w:numPr>
        <w:ind w:left="720" w:hanging="720"/>
      </w:pPr>
      <w:bookmarkStart w:id="1196" w:name="_Toc220932887"/>
      <w:bookmarkStart w:id="1197" w:name="_Toc228252056"/>
      <w:r w:rsidRPr="00D93D74">
        <w:t>5.1.2 Human gut sporobiota</w:t>
      </w:r>
      <w:bookmarkEnd w:id="1196"/>
      <w:bookmarkEnd w:id="1197"/>
      <w:r w:rsidRPr="00D93D74">
        <w:t xml:space="preserve"> </w:t>
      </w:r>
    </w:p>
    <w:p w14:paraId="2C79AA27" w14:textId="77777777" w:rsidR="00A211D5" w:rsidRDefault="003B7D22" w:rsidP="003B7D22">
      <w:pPr>
        <w:rPr>
          <w:rFonts w:cs="Times New Roman"/>
          <w:szCs w:val="24"/>
        </w:rPr>
      </w:pPr>
      <w:r w:rsidRPr="00055836">
        <w:rPr>
          <w:rFonts w:cs="Times New Roman"/>
          <w:szCs w:val="24"/>
        </w:rPr>
        <w:t>Ethanol and EMA treatment depleted known non-spore-forming taxa, although a subset of non</w:t>
      </w:r>
      <w:r w:rsidRPr="00055836">
        <w:rPr>
          <w:rFonts w:cs="Times New Roman"/>
          <w:szCs w:val="24"/>
        </w:rPr>
        <w:noBreakHyphen/>
        <w:t>spore</w:t>
      </w:r>
      <w:r w:rsidRPr="00055836">
        <w:rPr>
          <w:rFonts w:cs="Times New Roman"/>
          <w:szCs w:val="24"/>
        </w:rPr>
        <w:noBreakHyphen/>
        <w:t xml:space="preserve">forming </w:t>
      </w:r>
      <w:r w:rsidRPr="00055836">
        <w:rPr>
          <w:rFonts w:cs="Times New Roman"/>
          <w:i/>
          <w:iCs/>
          <w:szCs w:val="24"/>
        </w:rPr>
        <w:t>Bacillota</w:t>
      </w:r>
      <w:r w:rsidRPr="00055836">
        <w:rPr>
          <w:rFonts w:cs="Times New Roman"/>
          <w:szCs w:val="24"/>
        </w:rPr>
        <w:t xml:space="preserve"> remained detectable after treatment. </w:t>
      </w:r>
      <w:r w:rsidR="005F1300">
        <w:rPr>
          <w:rFonts w:cs="Times New Roman"/>
          <w:szCs w:val="24"/>
        </w:rPr>
        <w:t>E</w:t>
      </w:r>
      <w:r w:rsidRPr="00055836">
        <w:rPr>
          <w:rFonts w:cs="Times New Roman"/>
          <w:szCs w:val="24"/>
        </w:rPr>
        <w:t xml:space="preserve">thanol treatment likely enriched for endospores </w:t>
      </w:r>
      <w:r w:rsidR="005F1300">
        <w:rPr>
          <w:rFonts w:cs="Times New Roman"/>
          <w:szCs w:val="24"/>
        </w:rPr>
        <w:t>and</w:t>
      </w:r>
      <w:r w:rsidRPr="00055836">
        <w:rPr>
          <w:rFonts w:cs="Times New Roman"/>
          <w:szCs w:val="24"/>
        </w:rPr>
        <w:t xml:space="preserve"> other dormant</w:t>
      </w:r>
      <w:r w:rsidR="00A211D5">
        <w:rPr>
          <w:rFonts w:cs="Times New Roman"/>
          <w:szCs w:val="24"/>
        </w:rPr>
        <w:t xml:space="preserve"> or </w:t>
      </w:r>
      <w:r w:rsidRPr="00055836">
        <w:rPr>
          <w:rFonts w:cs="Times New Roman"/>
          <w:szCs w:val="24"/>
        </w:rPr>
        <w:t xml:space="preserve">stress‑tolerant cell states. Because this operational definition of sporobiota is imperfect, we also inferred sporulation ability using a gene-based approach. </w:t>
      </w:r>
    </w:p>
    <w:p w14:paraId="798A1DD9" w14:textId="6AB52053" w:rsidR="003B7D22" w:rsidRPr="00055836" w:rsidRDefault="003B7D22" w:rsidP="003B7D22">
      <w:pPr>
        <w:rPr>
          <w:rFonts w:cs="Times New Roman"/>
          <w:szCs w:val="24"/>
        </w:rPr>
      </w:pPr>
      <w:r w:rsidRPr="00055836">
        <w:rPr>
          <w:rFonts w:cs="Times New Roman"/>
          <w:szCs w:val="24"/>
        </w:rPr>
        <w:t xml:space="preserve">Within </w:t>
      </w:r>
      <w:r w:rsidRPr="00055836">
        <w:rPr>
          <w:rFonts w:cs="Times New Roman"/>
          <w:i/>
          <w:iCs/>
          <w:szCs w:val="24"/>
        </w:rPr>
        <w:t>Bacillota</w:t>
      </w:r>
      <w:r w:rsidRPr="00055836">
        <w:rPr>
          <w:rFonts w:cs="Times New Roman"/>
          <w:szCs w:val="24"/>
        </w:rPr>
        <w:t>, our data showed that ethanol resistance is concentrated in genera characteri</w:t>
      </w:r>
      <w:r w:rsidR="005F1300">
        <w:rPr>
          <w:rFonts w:cs="Times New Roman"/>
          <w:szCs w:val="24"/>
        </w:rPr>
        <w:t>s</w:t>
      </w:r>
      <w:r w:rsidRPr="00055836">
        <w:rPr>
          <w:rFonts w:cs="Times New Roman"/>
          <w:szCs w:val="24"/>
        </w:rPr>
        <w:t>ed as spore</w:t>
      </w:r>
      <w:r w:rsidRPr="00055836">
        <w:rPr>
          <w:rFonts w:cs="Times New Roman"/>
          <w:szCs w:val="24"/>
        </w:rPr>
        <w:noBreakHyphen/>
        <w:t xml:space="preserve">forming, based on both sporulation gene clusters and previous </w:t>
      </w:r>
      <w:r w:rsidRPr="00055836">
        <w:rPr>
          <w:rFonts w:cs="Times New Roman"/>
          <w:i/>
          <w:iCs/>
          <w:szCs w:val="24"/>
        </w:rPr>
        <w:t>in vitro</w:t>
      </w:r>
      <w:r w:rsidRPr="00055836">
        <w:rPr>
          <w:rFonts w:cs="Times New Roman"/>
          <w:szCs w:val="24"/>
        </w:rPr>
        <w:t xml:space="preserve"> induction, thereby extending prior experimental work to a natural human cohort </w:t>
      </w:r>
      <w:r w:rsidRPr="00055836">
        <w:rPr>
          <w:rFonts w:cs="Times New Roman"/>
          <w:szCs w:val="24"/>
        </w:rPr>
        <w:fldChar w:fldCharType="begin"/>
      </w:r>
      <w:r w:rsidR="001C2A55">
        <w:rPr>
          <w:rFonts w:cs="Times New Roman"/>
          <w:szCs w:val="24"/>
        </w:rPr>
        <w:instrText xml:space="preserve"> ADDIN ZOTERO_ITEM CSL_CITATION {"citationID":"4ja7MP78","properties":{"formattedCitation":"(Browne et al., 2021; Galperin et al., 2022; Koopman et al., 2022)","plainCitation":"(Browne et al., 2021; Galperin et al., 2022; Koopman et al., 2022)","noteIndex":0},"citationItems":[{"id":1888,"uris":["http://zotero.org/users/8873894/items/92UZ9WSV"],"itemData":{"id":1888,"type":"article-journal","abstract":"Many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.\n            \n          , \n            ABSTRACT\n            \n              The current classification of the phylum\n              Firmicutes\n              (new name,\n              Bacillota\n              ) features eight distinct classes, six of which include known spore-forming bacteria. In\n              Bacillus subtilis\n              , sporulation involves up to 500 genes, many of which do not have orthologs in other bacilli and/or clostridia. Previous studies identified about 60 sporulation genes of\n              B. subtilis\n              that were shared by all spore-forming members of the\n              Firmicutes\n              . These genes are referred to as the sporulation core or signature, although many of these are also found in genomes of nonsporeformers. Using an expanded set of 180 firmicute genomes from 160 genera, including 76 spore-forming species, we investigated the conservation of the sporulation genes, in particular seeking to identify lineages that lack some of the genes from the conserved sporulation core. The results of this analysis confirmed that many small acid-soluble spore proteins (SASPs), spore coat proteins, and germination proteins, which were previously characterized in bacilli, are missing in spore-forming members of\n              Clostridia\n              and other classes of\n              Firmicutes\n              . A particularly dramatic loss of sporulation genes was observed in the spore-forming members of the families\n              Planococcaceae\n              and\n              Erysipelotrichaceae\n              . Fifteen species from diverse lineages were found to carry\n              skin\n              (\n              sigK\n              -interrupting) elements of different sizes that all encoded SpoIVCA-like recombinases but did not share any other genes. Phylogenetic trees built from concatenated alignments of sporulation proteins and ribosomal proteins showed similar topology, indicating an early origin and subsequent vertical inheritance of the sporulation genes.\n            \n            \n              IMPORTANCE\n              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 We also detected widespread loss of sporulation genes in many organisms, particularly within the families\n              Planococcaceae\n              and\n              Erysipelotrichaceae.\n              Members of these families, such as\n              Lysinibacillus sphaericus\n              and\n              Clostridium innocuum\n              , could be excellent model organisms for studying sporulation mechanisms, such as engulfment, formation of the spore coat, and spore germination.","container-title":"Journal of Bacteriology","DOI":"10.1128/jb.00079-22","ISSN":"0021-9193, 1098-5530","issue":"6","journalAbbreviation":"J Bacteriol","language":"en","page":"e00079-22","source":"DOI.org (Crossref)","title":"Conservation and Evolution of the Sporulation Gene Set in Diverse Members of the &lt;i&gt;Firmicutes&lt;/i&gt;","volume":"204","author":[{"family":"Galperin","given":"Michael Y."},{"family":"Yutin","given":"Natalya"},{"family":"Wolf","given":"Yuri I."},{"family":"Vera Alvarez","given":"Roberto"},{"family":"Koonin","given":"Eugene V."}],"editor":[{"family":"Shank","given":"Elizabeth Anne"}],"issued":{"date-parts":[["2022",6,21]]}}},{"id":33,"uris":["http://zotero.org/users/8873894/items/N88GZHKF"],"itemData":{"id":33,"type":"article-journal","abstract":"Background: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D."}],"issued":{"date-parts":[["2021",12]]}}},{"id":1642,"uris":["http://zotero.org/users/8873894/items/CWNLIUM4"],"itemData":{"id":1642,"type":"article-journal","abstract":"Recent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055836">
        <w:rPr>
          <w:rFonts w:cs="Times New Roman"/>
          <w:szCs w:val="24"/>
        </w:rPr>
        <w:fldChar w:fldCharType="separate"/>
      </w:r>
      <w:r w:rsidRPr="003B7D22">
        <w:rPr>
          <w:rFonts w:cs="Times New Roman"/>
        </w:rPr>
        <w:t>(Browne et al., 2021; Galperin et al., 2022; Koopman et al., 2022)</w:t>
      </w:r>
      <w:r w:rsidRPr="00055836">
        <w:rPr>
          <w:rFonts w:cs="Times New Roman"/>
          <w:szCs w:val="24"/>
        </w:rPr>
        <w:fldChar w:fldCharType="end"/>
      </w:r>
      <w:r w:rsidRPr="00055836">
        <w:rPr>
          <w:rFonts w:cs="Times New Roman"/>
          <w:szCs w:val="24"/>
        </w:rPr>
        <w:t>.</w:t>
      </w:r>
      <w:r>
        <w:rPr>
          <w:rFonts w:cs="Times New Roman"/>
          <w:szCs w:val="24"/>
        </w:rPr>
        <w:t xml:space="preserve"> </w:t>
      </w:r>
      <w:r w:rsidRPr="00D93D74">
        <w:t xml:space="preserve">The high abundance of ethanol-resistant representatives within </w:t>
      </w:r>
      <w:r w:rsidRPr="00D93D74">
        <w:rPr>
          <w:i/>
          <w:iCs/>
        </w:rPr>
        <w:t>Bacillota</w:t>
      </w:r>
      <w:r w:rsidRPr="00D93D74">
        <w:t xml:space="preserve"> was expected due to the widespread ability to sporulate in this phylum </w:t>
      </w:r>
      <w:r w:rsidRPr="00D93D74">
        <w:fldChar w:fldCharType="begin"/>
      </w:r>
      <w:r w:rsidR="001C2A55">
        <w:instrText xml:space="preserve"> ADDIN ZOTERO_ITEM CSL_CITATION {"citationID":"A68SKsND","properties":{"formattedCitation":"(Egan et al., 2021)","plainCitation":"(Egan et al., 2021)","noteIndex":0},"citationItems":[{"id":1150,"uris":["http://zotero.org/users/8873894/items/SJCCTPEG"],"itemData":{"id":1150,"type":"article-journal","abstract":"The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Pr="00D93D74">
        <w:t>(Egan et al., 2021)</w:t>
      </w:r>
      <w:r w:rsidRPr="00D93D74">
        <w:fldChar w:fldCharType="end"/>
      </w:r>
      <w:r w:rsidRPr="00D93D74">
        <w:t>.</w:t>
      </w:r>
    </w:p>
    <w:p w14:paraId="42A7F3E2" w14:textId="14634C9F" w:rsidR="003B7D22" w:rsidRPr="0056434F" w:rsidRDefault="003B7D22" w:rsidP="003B7D22">
      <w:pPr>
        <w:rPr>
          <w:rFonts w:ascii="Georgia" w:hAnsi="Georgia"/>
        </w:rPr>
      </w:pPr>
      <w:r w:rsidRPr="00055836">
        <w:rPr>
          <w:rFonts w:cs="Times New Roman"/>
          <w:szCs w:val="24"/>
        </w:rPr>
        <w:t xml:space="preserve">The combined approach of ethanol-EMA treatment and gene-based sporulation determination revealed a substantial group of </w:t>
      </w:r>
      <w:r w:rsidRPr="00055836">
        <w:rPr>
          <w:rFonts w:cs="Times New Roman"/>
          <w:i/>
          <w:iCs/>
          <w:szCs w:val="24"/>
        </w:rPr>
        <w:t>Bacillota</w:t>
      </w:r>
      <w:r w:rsidRPr="00055836">
        <w:rPr>
          <w:rFonts w:cs="Times New Roman"/>
          <w:szCs w:val="24"/>
        </w:rPr>
        <w:t xml:space="preserve"> representatives with gene-defined sporulation ability that did not confer ethanol resistance, indicating that the presence of sporulation genes alone does not guarantee spore formation under all conditions.</w:t>
      </w:r>
      <w:r w:rsidRPr="00055836">
        <w:rPr>
          <w:rFonts w:ascii="Georgia" w:hAnsi="Georgia"/>
        </w:rPr>
        <w:t xml:space="preserve"> </w:t>
      </w:r>
      <w:r w:rsidRPr="00055836">
        <w:rPr>
          <w:rFonts w:cs="Times New Roman"/>
          <w:szCs w:val="24"/>
        </w:rPr>
        <w:t xml:space="preserve">This is not unexpected, as the sporulation and germination signals differ markedly even between well-studied model organisms such as </w:t>
      </w:r>
      <w:r w:rsidRPr="00055836">
        <w:rPr>
          <w:rFonts w:cs="Times New Roman"/>
          <w:i/>
          <w:iCs/>
          <w:szCs w:val="24"/>
        </w:rPr>
        <w:t xml:space="preserve">Bacillus subtilis </w:t>
      </w:r>
      <w:r w:rsidRPr="00055836">
        <w:rPr>
          <w:rFonts w:cs="Times New Roman"/>
          <w:szCs w:val="24"/>
        </w:rPr>
        <w:t xml:space="preserve">and </w:t>
      </w:r>
      <w:r>
        <w:rPr>
          <w:rFonts w:cs="Times New Roman"/>
          <w:i/>
          <w:iCs/>
          <w:szCs w:val="24"/>
        </w:rPr>
        <w:t>C.</w:t>
      </w:r>
      <w:r w:rsidRPr="00055836">
        <w:rPr>
          <w:rFonts w:cs="Times New Roman"/>
          <w:i/>
          <w:iCs/>
          <w:szCs w:val="24"/>
        </w:rPr>
        <w:t xml:space="preserve"> difficile</w:t>
      </w:r>
      <w:r w:rsidRPr="00055836">
        <w:rPr>
          <w:rFonts w:cs="Times New Roman"/>
          <w:szCs w:val="24"/>
        </w:rPr>
        <w:t xml:space="preserve"> </w:t>
      </w:r>
      <w:r w:rsidRPr="00055836">
        <w:rPr>
          <w:rFonts w:cs="Times New Roman"/>
          <w:szCs w:val="24"/>
        </w:rPr>
        <w:fldChar w:fldCharType="begin"/>
      </w:r>
      <w:r w:rsidR="001C2A55">
        <w:rPr>
          <w:rFonts w:cs="Times New Roman"/>
          <w:szCs w:val="24"/>
        </w:rPr>
        <w:instrText xml:space="preserve"> ADDIN ZOTERO_ITEM CSL_CITATION {"citationID":"9eu5Tozm","properties":{"formattedCitation":"(Setlow, 2019)","plainCitation":"(Setlow, 2019)","noteIndex":0},"citationItems":[{"id":116,"uris":["http://zotero.org/users/8873894/items/SNGZWQ3N"],"itemData":{"id":116,"type":"article-journal","abstract":"The purpose of this article is to highlight some areas of research with spores of bacteria of Firmicute species in which the methodology too commonly used is not optimal and generates misleading results. As a consequence, conclusions drawn from data obtained are often ﬂawed or not appropriate. Topics covered in the article include the following: (i) the importance of using well-puriﬁed bacterial spores in studies on spore resistance, composition, killing, disinfection and germination; (ii) methods for obtaining good puriﬁcation of spores of various species; (iii) appropriate experimental approaches to determine mechanisms of spore resistance and spore killing by a variety of agents, as well as known mechanisms of spore resistance and killing; (iv) common errors made in drawing conclusions about spore killing by various agents, including failure to neutralize chemical agents before plating for viable spore enumeration, and equating correlations between changes in spore properties accompanying spore killing with causation. It is hoped that a consideration of these topics will improve the quality of spore research going forward.","container-title":"Journal of Applied Microbiology","DOI":"10.1111/jam.14067","ISSN":"13645072","issue":"2","journalAbbreviation":"J Appl Microbiol","language":"en","page":"348-358","source":"DOI.org (Crossref)","title":"Observations on research with spores of Bacillales and Clostridiales species","volume":"126","author":[{"family":"Setlow","given":"Peter"}],"issued":{"date-parts":[["2019",2]]}}}],"schema":"https://github.com/citation-style-language/schema/raw/master/csl-citation.json"} </w:instrText>
      </w:r>
      <w:r w:rsidRPr="00055836">
        <w:rPr>
          <w:rFonts w:cs="Times New Roman"/>
          <w:szCs w:val="24"/>
        </w:rPr>
        <w:fldChar w:fldCharType="separate"/>
      </w:r>
      <w:r w:rsidRPr="003B7D22">
        <w:rPr>
          <w:rFonts w:cs="Times New Roman"/>
        </w:rPr>
        <w:t>(Setlow, 2019)</w:t>
      </w:r>
      <w:r w:rsidRPr="00055836">
        <w:rPr>
          <w:rFonts w:cs="Times New Roman"/>
          <w:szCs w:val="24"/>
        </w:rPr>
        <w:fldChar w:fldCharType="end"/>
      </w:r>
      <w:r w:rsidRPr="00055836">
        <w:rPr>
          <w:rFonts w:cs="Times New Roman"/>
          <w:szCs w:val="24"/>
        </w:rPr>
        <w:t xml:space="preserve">. It is therefore plausible that many gut bacteria with the genetic capacity to sporulate either do not sporulate in the healthy human gut or do so only transiently, consistent with recent observations </w:t>
      </w:r>
      <w:r w:rsidRPr="00055836">
        <w:rPr>
          <w:rFonts w:cs="Times New Roman"/>
          <w:szCs w:val="24"/>
        </w:rPr>
        <w:fldChar w:fldCharType="begin"/>
      </w:r>
      <w:r w:rsidR="001C2A55">
        <w:rPr>
          <w:rFonts w:cs="Times New Roman"/>
          <w:szCs w:val="24"/>
        </w:rPr>
        <w:instrText xml:space="preserve"> ADDIN ZOTERO_ITEM CSL_CITATION {"citationID":"dfX7tAbe","properties":{"formattedCitation":"(Machado et al., 2025)","plainCitation":"(Machado et al., 2025)","noteIndex":0},"citationItems":[{"id":3404,"uris":["http://zotero.org/users/8873894/items/NIM9NPQN"],"itemData":{"id":3404,"type":"article-journal","abstract":"Sporulation represents a key adaptive strategy among Firmicutes, facilitating bacterial persistence under environmental stress while mediating host colonization, transmission dynamics, and microbiome stability. Despite the recognized ecological and biomedical significance of spore-forming Bacilli and Clostridia, most taxa remain uncultivated, limiting phenotypic characterization of their sporulation capacity. To bridge this knowledge gap, we developed SpoMAG, an ensemble machine learning framework that predicts sporulation potential of metagenome-assembled genomes (MAGs) through supervised classification models trained on the presence/absence of 160 sporulation-associated genes. This R-based tool integrates Random Forest and support vector machine algorithms, achieving probabilistic predictions with high performance (AUC = 92.2%, F1-score = 88.2%). Application to fecal metagenomes from humans, cattle, poultry, and swine identified 63 putatively spore-forming MAGs exhibiting distinct host- and order-specific patterns. Bacilli MAGs from Bacillales and Paenibacillales orders showed high sporulation probabilities and gene richness, while Clostridia MAGs exhibited more heterogeneous profiles. Predictions included undercharacterized families in the spore-forming perspective, such as Acetivibrionaceae, Christensenellaceae, and UBA1381, expanding the known phylogenetic breadth of sporulation capacity. Nine genes were consistently present across all predicted spore-formers (namely pth, yaaT, spoIIAB, spoIIIAE, spoIIIAD, ctpB, ftsW, spoVD, and lgt), suggesting conserved genetic elements across uncultivated Firmicutes for future research. Average nucleotide identity (ANI) analysis revealed seven cases of species-level sharing (ANI value &gt; 95%) among hosts, including a putative novel Acetivibrionaceae species, suggesting possible cross-host transmission facilitated by sporulation. In all 63 genomes predicted to sporulate, we identified nine genes across sporulation steps. In addition, SHapley Additive exPlanations (SHAP) analysis indicated 16 consensus genes consistently contributing to predictions (namely lytH, cotP, spoIIIAG, spoIIR, spoVAD, gerC, yabP, yqfD, gerD, spoVAA, gpr, ytaF, gdh, ypeB, spoVID, and ymfJ), bringing biologically meaningful features across sporulation stages. By combining gene annotation with interpretable machine learning, SpoMAG provides a reproducible and accessible framework to infer sporulation potential in uncultured microbial taxa. This tool enhances targeted investigations into microbial survival strategies and supports research in microbiome ecology, probiotic discovery, food safety, and public health surveillance. SpoMAG is freely available as an R package and expands current capabilities for functional inference in metagenomic datasets.","container-title":"PeerJ","DOI":"10.7717/peerj.20232","ISSN":"2167-8359","journalAbbreviation":"PeerJ","language":"en","page":"e20232","publisher":"PeerJ Inc.","source":"peerj.com","title":"Prediction of sporulating Firmicutes from uncultured gut microbiota using SpoMAG, an ensemble learning tool","volume":"13","author":[{"family":"Machado","given":"Douglas Terra"},{"family":"Brustolini","given":"Otávio José Bernardes"},{"family":"Corrêa","given":"Ellen dos Santos"},{"family":"Vasconcelos","given":"Ana Tereza Ribeiro"}],"issued":{"date-parts":[["2025",10,17]]}}}],"schema":"https://github.com/citation-style-language/schema/raw/master/csl-citation.json"} </w:instrText>
      </w:r>
      <w:r w:rsidRPr="00055836">
        <w:rPr>
          <w:rFonts w:cs="Times New Roman"/>
          <w:szCs w:val="24"/>
        </w:rPr>
        <w:fldChar w:fldCharType="separate"/>
      </w:r>
      <w:r w:rsidRPr="003B7D22">
        <w:rPr>
          <w:rFonts w:cs="Times New Roman"/>
        </w:rPr>
        <w:t>(Machado et al., 2025)</w:t>
      </w:r>
      <w:r w:rsidRPr="00055836">
        <w:rPr>
          <w:rFonts w:cs="Times New Roman"/>
          <w:szCs w:val="24"/>
        </w:rPr>
        <w:fldChar w:fldCharType="end"/>
      </w:r>
      <w:r w:rsidRPr="00055836">
        <w:rPr>
          <w:rFonts w:cs="Times New Roman"/>
          <w:szCs w:val="24"/>
        </w:rPr>
        <w:t xml:space="preserve">. </w:t>
      </w:r>
    </w:p>
    <w:p w14:paraId="6D06090B" w14:textId="3FEEDDA6" w:rsidR="003B7D22" w:rsidRPr="0056434F" w:rsidRDefault="003B7D22" w:rsidP="003B7D22">
      <w:pPr>
        <w:rPr>
          <w:szCs w:val="24"/>
        </w:rPr>
      </w:pPr>
      <w:r>
        <w:t xml:space="preserve">Gene-based determination of sporulation ability resulted in determination of spore-forming species present in </w:t>
      </w:r>
      <w:r w:rsidR="005F1300">
        <w:t xml:space="preserve">the </w:t>
      </w:r>
      <w:r>
        <w:t xml:space="preserve">phylum </w:t>
      </w:r>
      <w:r>
        <w:rPr>
          <w:i/>
          <w:iCs/>
        </w:rPr>
        <w:t>Bacillota</w:t>
      </w:r>
      <w:r>
        <w:t xml:space="preserve"> and one MAG with unclassified </w:t>
      </w:r>
      <w:r>
        <w:rPr>
          <w:i/>
          <w:iCs/>
        </w:rPr>
        <w:t xml:space="preserve">Bacteria </w:t>
      </w:r>
      <w:r>
        <w:t xml:space="preserve">as its lowest taxonomic level. </w:t>
      </w:r>
      <w:r w:rsidR="0056434F" w:rsidRPr="0056434F">
        <w:rPr>
          <w:szCs w:val="24"/>
        </w:rPr>
        <w:t>In addition, many species identified by MetaPhlAn lacked high-quality reference genomes for downstream analyses, while assembly-based reconstruction produced only 64 high-quality metagenome-assembled genomes (completion &gt; 90%, contamination &lt; 10%), thereby preventing genome-resolved analyses.</w:t>
      </w:r>
    </w:p>
    <w:p w14:paraId="655099E5" w14:textId="2237C9C0" w:rsidR="003B7D22" w:rsidRDefault="003B7D22" w:rsidP="003B7D22">
      <w:pPr>
        <w:rPr>
          <w:szCs w:val="24"/>
        </w:rPr>
      </w:pPr>
      <w:r w:rsidRPr="00055836">
        <w:rPr>
          <w:szCs w:val="24"/>
        </w:rPr>
        <w:lastRenderedPageBreak/>
        <w:t xml:space="preserve">Ethanol-resistant taxa outside </w:t>
      </w:r>
      <w:r w:rsidRPr="00055836">
        <w:rPr>
          <w:i/>
          <w:iCs/>
          <w:szCs w:val="24"/>
        </w:rPr>
        <w:t>Bacillota</w:t>
      </w:r>
      <w:r w:rsidRPr="00055836">
        <w:rPr>
          <w:szCs w:val="24"/>
        </w:rPr>
        <w:t xml:space="preserve"> were rare in our study and the mechanisms underlying their resistance remain poorly characteri</w:t>
      </w:r>
      <w:r w:rsidR="005F1300">
        <w:rPr>
          <w:szCs w:val="24"/>
        </w:rPr>
        <w:t>s</w:t>
      </w:r>
      <w:r w:rsidRPr="00055836">
        <w:rPr>
          <w:szCs w:val="24"/>
        </w:rPr>
        <w:t xml:space="preserve">ed. Although exospore formation has been described in </w:t>
      </w:r>
      <w:r w:rsidRPr="00055836">
        <w:rPr>
          <w:i/>
          <w:iCs/>
          <w:szCs w:val="24"/>
        </w:rPr>
        <w:t>Actinomycetaceae</w:t>
      </w:r>
      <w:r w:rsidRPr="00055836">
        <w:rPr>
          <w:szCs w:val="24"/>
        </w:rPr>
        <w:t xml:space="preserve"> and </w:t>
      </w:r>
      <w:r w:rsidRPr="00055836">
        <w:rPr>
          <w:i/>
          <w:iCs/>
          <w:szCs w:val="24"/>
        </w:rPr>
        <w:t>Streptomycetaceae</w:t>
      </w:r>
      <w:r w:rsidRPr="00055836">
        <w:rPr>
          <w:szCs w:val="24"/>
        </w:rPr>
        <w:t>, these families contributed minimally to the ethanol</w:t>
      </w:r>
      <w:r w:rsidRPr="00055836">
        <w:rPr>
          <w:szCs w:val="24"/>
        </w:rPr>
        <w:noBreakHyphen/>
        <w:t xml:space="preserve">resistant community in our cohort, with five </w:t>
      </w:r>
      <w:r w:rsidRPr="00055836">
        <w:rPr>
          <w:i/>
          <w:iCs/>
          <w:szCs w:val="24"/>
        </w:rPr>
        <w:t>Actinomycetaceae</w:t>
      </w:r>
      <w:r w:rsidRPr="00055836">
        <w:rPr>
          <w:szCs w:val="24"/>
        </w:rPr>
        <w:t xml:space="preserve"> species detected and no </w:t>
      </w:r>
      <w:r w:rsidRPr="00055836">
        <w:rPr>
          <w:i/>
          <w:iCs/>
          <w:szCs w:val="24"/>
        </w:rPr>
        <w:t>Streptomycetaceae</w:t>
      </w:r>
      <w:r w:rsidRPr="00055836">
        <w:rPr>
          <w:szCs w:val="24"/>
        </w:rPr>
        <w:t xml:space="preserve"> recovered from ethanol-treated samples.</w:t>
      </w:r>
      <w:r w:rsidRPr="00055836" w:rsidDel="00E7180D">
        <w:rPr>
          <w:szCs w:val="24"/>
        </w:rPr>
        <w:t xml:space="preserve"> </w:t>
      </w:r>
      <w:r w:rsidRPr="00055836">
        <w:rPr>
          <w:szCs w:val="24"/>
        </w:rPr>
        <w:t xml:space="preserve">This is consistent with previous studies in which these groups were reported in ethanol- or lysozyme-treated communities </w:t>
      </w:r>
      <w:r w:rsidRPr="00055836">
        <w:rPr>
          <w:i/>
          <w:iCs/>
          <w:szCs w:val="24"/>
        </w:rPr>
        <w:fldChar w:fldCharType="begin"/>
      </w:r>
      <w:r w:rsidR="001C2A55">
        <w:rPr>
          <w:i/>
          <w:iCs/>
          <w:szCs w:val="24"/>
        </w:rPr>
        <w:instrText xml:space="preserve"> ADDIN ZOTERO_ITEM CSL_CITATION {"citationID":"HQv08wON","properties":{"formattedCitation":"(Avershina et al., 2020; Browne et al., 2016b; Kearney et al., 2018)","plainCitation":"(Avershina et al., 2020; Browne et al., 2016b; Kearney et al., 2018)","noteIndex":0},"citationItems":[{"id":29,"uris":["http://zotero.org/users/8873894/items/YDIPWJ3L"],"itemData":{"id":29,"type":"article-journal","abstract":"A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055836">
        <w:rPr>
          <w:i/>
          <w:iCs/>
          <w:szCs w:val="24"/>
        </w:rPr>
        <w:fldChar w:fldCharType="separate"/>
      </w:r>
      <w:r w:rsidRPr="003B7D22">
        <w:t>(Avershina et al., 2020; Browne et al., 2016b; Kearney et al., 2018)</w:t>
      </w:r>
      <w:r w:rsidRPr="00055836">
        <w:rPr>
          <w:i/>
          <w:iCs/>
          <w:szCs w:val="24"/>
        </w:rPr>
        <w:fldChar w:fldCharType="end"/>
      </w:r>
      <w:r w:rsidRPr="00055836">
        <w:rPr>
          <w:szCs w:val="24"/>
        </w:rPr>
        <w:t xml:space="preserve">. Members of the phylum </w:t>
      </w:r>
      <w:r w:rsidRPr="00055836">
        <w:rPr>
          <w:i/>
          <w:iCs/>
          <w:szCs w:val="24"/>
        </w:rPr>
        <w:t xml:space="preserve">Pseudomonadota </w:t>
      </w:r>
      <w:r w:rsidRPr="00055836">
        <w:rPr>
          <w:szCs w:val="24"/>
        </w:rPr>
        <w:t xml:space="preserve">(nine species detected in the ethanol-resistant community), were also previously confirmed in the ethanol-resistant community and have been reported to adopt various dormant life strategies, including non-spore persistence and the viable but non-culturable state </w:t>
      </w:r>
      <w:r w:rsidRPr="00055836">
        <w:rPr>
          <w:szCs w:val="24"/>
        </w:rPr>
        <w:fldChar w:fldCharType="begin"/>
      </w:r>
      <w:r w:rsidR="001C2A55">
        <w:rPr>
          <w:szCs w:val="24"/>
        </w:rPr>
        <w:instrText xml:space="preserve"> ADDIN ZOTERO_ITEM CSL_CITATION {"citationID":"QrUQ4rcZ","properties":{"formattedCitation":"(L. Li et al., 2014)","plainCitation":"(L. Li et al., 2014)","noteIndex":0},"citationItems":[{"id":2933,"uris":["http://zotero.org/users/8873894/items/XZXFBB2A"],"itemData":{"id":2933,"type":"article-journal","abstract":"&lt;p&gt;Many bacterial species have been found to exist in a viable but non-culturable (VBNC) state since its discovery in 1982. VBNC cells are characterized by a loss of culturability on routine agar, which impairs their detection by conventional plate count techniques. This leads to an underestimation of total viable cells in environmental or clinical samples, and thus poses a risk to public health. In this review, we present recent findings on the VBNC state of human bacterial pathogens. The characteristics of VBNC cells, including the similarities and differences to viable, culturable cells and dead cells, and different detection methods are discussed. Exposure to various stresses can induce the VBNC state, and VBNC cells may be resuscitated back to culturable cells under suitable stimuli. The conditions that trigger the induction of the VBNC state and resuscitation from it are summarized and the mechanisms underlying these two processes are discussed. Last but not least, the significance of VBNC cells and their potential influence on human health are also reviewed.&lt;/p&gt;","container-title":"Frontiers in Microbiology","DOI":"10.3389/fmicb.2014.00258","ISSN":"1664-302X","journalAbbreviation":"Front. Microbiol.","language":"English","publisher":"Frontiers","source":"Frontiers","title":"The importance of the viable but non-culturable state in human bacterial pathogens","URL":"https://www.frontiersin.org/journals/microbiology/articles/10.3389/fmicb.2014.00258/full","volume":"5","author":[{"family":"Li","given":"Laam"},{"family":"Mendis","given":"Nilmini"},{"family":"Trigui","given":"Hana"},{"family":"Oliver","given":"James D."},{"family":"Faucher","given":"Sebastien P."}],"accessed":{"date-parts":[["2025",3,28]]},"issued":{"date-parts":[["2014",6,2]]}}}],"schema":"https://github.com/citation-style-language/schema/raw/master/csl-citation.json"} </w:instrText>
      </w:r>
      <w:r w:rsidRPr="00055836">
        <w:rPr>
          <w:szCs w:val="24"/>
        </w:rPr>
        <w:fldChar w:fldCharType="separate"/>
      </w:r>
      <w:r w:rsidRPr="003B7D22">
        <w:t>(L. Li et al., 2014)</w:t>
      </w:r>
      <w:r w:rsidRPr="00055836">
        <w:rPr>
          <w:szCs w:val="24"/>
        </w:rPr>
        <w:fldChar w:fldCharType="end"/>
      </w:r>
      <w:r w:rsidRPr="00055836">
        <w:rPr>
          <w:szCs w:val="24"/>
        </w:rPr>
        <w:t>. Together, these observations indicate that ethanol resistance may serve as a proxy for a broader spectrum of dormant or stress</w:t>
      </w:r>
      <w:r w:rsidRPr="00055836">
        <w:rPr>
          <w:szCs w:val="24"/>
        </w:rPr>
        <w:noBreakHyphen/>
        <w:t xml:space="preserve">tolerant cell states, including but not limited to endospores </w:t>
      </w:r>
      <w:r w:rsidRPr="00055836">
        <w:rPr>
          <w:szCs w:val="24"/>
        </w:rPr>
        <w:fldChar w:fldCharType="begin"/>
      </w:r>
      <w:r w:rsidR="001C2A55">
        <w:rPr>
          <w:szCs w:val="24"/>
        </w:rPr>
        <w:instrText xml:space="preserve"> ADDIN ZOTERO_ITEM CSL_CITATION {"citationID":"x7KTZwtl","properties":{"formattedCitation":"(Avershina et al., 2020; Browne et al., 2016b)","plainCitation":"(Avershina et al., 2020; Browne et al., 2016b)","noteIndex":0},"citationItems":[{"id":144,"uris":["http://zotero.org/users/8873894/items/UNE5VPVB"],"itemData":{"id":144,"type":"article-journal","abstract":"Abstract\n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29,"uris":["http://zotero.org/users/8873894/items/YDIPWJ3L"],"itemData":{"id":29,"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055836">
        <w:rPr>
          <w:szCs w:val="24"/>
        </w:rPr>
        <w:fldChar w:fldCharType="separate"/>
      </w:r>
      <w:r w:rsidRPr="003B7D22">
        <w:t>(Avershina et al., 2020; Browne et al., 2016b)</w:t>
      </w:r>
      <w:r w:rsidRPr="00055836">
        <w:rPr>
          <w:szCs w:val="24"/>
        </w:rPr>
        <w:fldChar w:fldCharType="end"/>
      </w:r>
      <w:r w:rsidRPr="00055836">
        <w:rPr>
          <w:szCs w:val="24"/>
        </w:rPr>
        <w:t>.</w:t>
      </w:r>
    </w:p>
    <w:p w14:paraId="4BD9AED1" w14:textId="77777777" w:rsidR="003B7D22" w:rsidRPr="00055836" w:rsidRDefault="003B7D22" w:rsidP="003B7D22">
      <w:pPr>
        <w:rPr>
          <w:szCs w:val="24"/>
        </w:rPr>
      </w:pPr>
    </w:p>
    <w:p w14:paraId="233B9286" w14:textId="77777777" w:rsidR="009972F0" w:rsidRPr="00D93D74" w:rsidRDefault="009972F0">
      <w:pPr>
        <w:pStyle w:val="Naslov3"/>
        <w:numPr>
          <w:ilvl w:val="2"/>
          <w:numId w:val="5"/>
        </w:numPr>
        <w:tabs>
          <w:tab w:val="num" w:pos="360"/>
        </w:tabs>
      </w:pPr>
      <w:bookmarkStart w:id="1198" w:name="_Toc220932888"/>
      <w:bookmarkStart w:id="1199" w:name="_Toc228252057"/>
      <w:r w:rsidRPr="00D93D74">
        <w:t>Between and within individual dynamics of spore-forming bacteria</w:t>
      </w:r>
      <w:bookmarkEnd w:id="1198"/>
      <w:bookmarkEnd w:id="1199"/>
    </w:p>
    <w:p w14:paraId="2522954E" w14:textId="2568C24D" w:rsidR="003B7D22" w:rsidRDefault="003B7D22" w:rsidP="003B7D22">
      <w:r w:rsidRPr="003B7D22">
        <w:t>In our cohort, ethanol</w:t>
      </w:r>
      <w:r w:rsidRPr="003B7D22">
        <w:noBreakHyphen/>
        <w:t>resistant spore-forming species were both more prevalent among individuals and more persistent within individuals over six months</w:t>
      </w:r>
      <w:r>
        <w:t xml:space="preserve">, </w:t>
      </w:r>
      <w:r w:rsidRPr="003B7D22">
        <w:t>corroborating comparative genomic predictions that sporulation ability is associated with higher population</w:t>
      </w:r>
      <w:r w:rsidRPr="003B7D22">
        <w:noBreakHyphen/>
        <w:t xml:space="preserve">level prevalence </w:t>
      </w:r>
      <w:r w:rsidRPr="003B7D22">
        <w:fldChar w:fldCharType="begin"/>
      </w:r>
      <w:r w:rsidR="001C2A55">
        <w:instrText xml:space="preserve"> ADDIN ZOTERO_ITEM CSL_CITATION {"citationID":"Rsl0CqoG","properties":{"formattedCitation":"(Browne et al., 2021)","plainCitation":"(Browne et al., 2021)","noteIndex":0},"citationItems":[{"id":33,"uris":["http://zotero.org/users/8873894/items/N88GZHKF"],"itemData":{"id":33,"type":"article-journal","abstract":"Background: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3B7D22">
        <w:fldChar w:fldCharType="separate"/>
      </w:r>
      <w:r w:rsidRPr="003B7D22">
        <w:rPr>
          <w:rFonts w:cs="Times New Roman"/>
        </w:rPr>
        <w:t>(Browne et al., 2021)</w:t>
      </w:r>
      <w:r w:rsidRPr="003B7D22">
        <w:fldChar w:fldCharType="end"/>
      </w:r>
      <w:r w:rsidRPr="003B7D22">
        <w:t xml:space="preserve"> and aligning with experimental findings from lysozyme treated communities </w:t>
      </w:r>
      <w:r w:rsidRPr="003B7D22">
        <w:fldChar w:fldCharType="begin"/>
      </w:r>
      <w:r w:rsidR="001C2A55">
        <w:instrText xml:space="preserve"> ADDIN ZOTERO_ITEM CSL_CITATION {"citationID":"lSJZqDlQ","properties":{"formattedCitation":"(Kearney et al., 2018)","plainCitation":"(Kearney et al., 2018)","noteIndex":0},"citationItems":[{"id":34,"uris":["http://zotero.org/users/8873894/items/3G69ZQ2W"],"itemData":{"id":34,"type":"article-journal","abstract":"Endospore-formers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3B7D22">
        <w:fldChar w:fldCharType="separate"/>
      </w:r>
      <w:r w:rsidRPr="003B7D22">
        <w:rPr>
          <w:rFonts w:cs="Times New Roman"/>
        </w:rPr>
        <w:t>(Kearney et al., 2018)</w:t>
      </w:r>
      <w:r w:rsidRPr="003B7D22">
        <w:fldChar w:fldCharType="end"/>
      </w:r>
      <w:r w:rsidRPr="003B7D22">
        <w:t xml:space="preserve">. </w:t>
      </w:r>
    </w:p>
    <w:p w14:paraId="43B5D78A" w14:textId="557CDE23" w:rsidR="003B7D22" w:rsidRPr="003B7D22" w:rsidRDefault="003B7D22" w:rsidP="003B7D22">
      <w:r w:rsidRPr="003B7D22">
        <w:t xml:space="preserve">Experimental evidence from </w:t>
      </w:r>
      <w:r w:rsidRPr="003B7D22">
        <w:rPr>
          <w:i/>
          <w:iCs/>
        </w:rPr>
        <w:t xml:space="preserve">in vitro </w:t>
      </w:r>
      <w:r w:rsidRPr="003B7D22">
        <w:t xml:space="preserve">and murine gut models has shown that </w:t>
      </w:r>
      <w:r w:rsidRPr="003B7D22">
        <w:rPr>
          <w:i/>
          <w:iCs/>
        </w:rPr>
        <w:t>C. difficile</w:t>
      </w:r>
      <w:r w:rsidRPr="003B7D22">
        <w:t xml:space="preserve"> spores can bind to biofilms and consequently evade washout, thereby sustaining recurrent infection </w:t>
      </w:r>
      <w:r w:rsidRPr="003B7D22">
        <w:fldChar w:fldCharType="begin"/>
      </w:r>
      <w:r w:rsidR="001C2A55">
        <w:instrText xml:space="preserve"> ADDIN ZOTERO_ITEM CSL_CITATION {"citationID":"Ywfc8bPC","properties":{"formattedCitation":"(Figueroa et al., 2012; Normington et al., 2021; Soavelomandroso et al., 2017)","plainCitation":"(Figueroa et al., 2012; Normington et al., 2021; Soavelomandroso et al., 2017)","noteIndex":0},"citationItems":[{"id":2927,"uris":["http://zotero.org/users/8873894/items/GWLWC4SF"],"itemData":{"id":2927,"type":"article-journal","abstract":"Our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Dis","language":"eng","page":"S104-109","PMID":"22752857","PMCID":"PMC3388025","source":"PubMed","title":"Relapse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N."}],"issued":{"date-parts":[["2012",8]]}}},{"id":2928,"uris":["http://zotero.org/users/8873894/items/Y5Y33ERV"],"itemData":{"id":2928,"type":"article-journal","abstract":"C.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Author(s)","page":"1-10","publisher":"Nature Publishing Group","source":"www.nature.com","title":"Biofilms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M."}],"issued":{"date-parts":[["2021",2,5]]}}},{"id":2859,"uris":["http://zotero.org/users/8873894/items/4EW43G8R"],"itemData":{"id":2859,"type":"article-journal","abstract":"Clostridium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Microbiology","DOI":"10.3389/fmicb.2017.02086","language":"en","page":"2086","PMID":"29118745","source":"pmc.ncbi.nlm.nih.gov","title":"Biofilm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schema":"https://github.com/citation-style-language/schema/raw/master/csl-citation.json"} </w:instrText>
      </w:r>
      <w:r w:rsidRPr="003B7D22">
        <w:fldChar w:fldCharType="separate"/>
      </w:r>
      <w:r w:rsidRPr="003B7D22">
        <w:rPr>
          <w:rFonts w:cs="Times New Roman"/>
        </w:rPr>
        <w:t>(Figueroa et al., 2012; Normington et al., 2021; Soavelomandroso et al., 2017)</w:t>
      </w:r>
      <w:r w:rsidRPr="003B7D22">
        <w:fldChar w:fldCharType="end"/>
      </w:r>
      <w:r w:rsidRPr="003B7D22">
        <w:t xml:space="preserve">, but similar mechanisms of spore persistence have not been demonstrated for other species beyond </w:t>
      </w:r>
      <w:r w:rsidRPr="003B7D22">
        <w:rPr>
          <w:i/>
          <w:iCs/>
        </w:rPr>
        <w:t>in vitro</w:t>
      </w:r>
      <w:r w:rsidRPr="003B7D22">
        <w:t xml:space="preserve"> biofilm formation </w:t>
      </w:r>
      <w:r w:rsidRPr="003B7D22">
        <w:fldChar w:fldCharType="begin"/>
      </w:r>
      <w:r w:rsidR="001C2A55">
        <w:instrText xml:space="preserve"> ADDIN ZOTERO_ITEM CSL_CITATION {"citationID":"qYcVtaqE","properties":{"formattedCitation":"(Donelli et al., 2012)","plainCitation":"(Donelli et al., 2012)","noteIndex":0},"citationItems":[{"id":2861,"uris":["http://zotero.org/users/8873894/items/2R2PHLWE"],"itemData":{"id":2861,"type":"article-journal","abstract":"Sessile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Microbiol","language":"eng","page":"318-325","PMID":"22444687","source":"PubMed","title":"Biofilm-growing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3B7D22">
        <w:fldChar w:fldCharType="separate"/>
      </w:r>
      <w:r w:rsidRPr="003B7D22">
        <w:rPr>
          <w:rFonts w:cs="Times New Roman"/>
        </w:rPr>
        <w:t>(Donelli et al., 2012)</w:t>
      </w:r>
      <w:r w:rsidRPr="003B7D22">
        <w:fldChar w:fldCharType="end"/>
      </w:r>
      <w:r w:rsidRPr="003B7D22">
        <w:t>. Within this context, our longitudinal findings show that ethanol</w:t>
      </w:r>
      <w:r w:rsidRPr="003B7D22">
        <w:noBreakHyphen/>
        <w:t>resistant and particularly spore</w:t>
      </w:r>
      <w:r w:rsidRPr="003B7D22">
        <w:noBreakHyphen/>
        <w:t xml:space="preserve">forming </w:t>
      </w:r>
      <w:r w:rsidRPr="003B7D22">
        <w:rPr>
          <w:i/>
          <w:iCs/>
        </w:rPr>
        <w:t>Bacillota</w:t>
      </w:r>
      <w:r w:rsidRPr="003B7D22">
        <w:t xml:space="preserve"> behave as a gut “seed bank”, persisting over months </w:t>
      </w:r>
      <w:r w:rsidRPr="003B7D22">
        <w:fldChar w:fldCharType="begin"/>
      </w:r>
      <w:r w:rsidR="001C2A55">
        <w:instrText xml:space="preserve"> ADDIN ZOTERO_ITEM CSL_CITATION {"citationID":"VjpLtxpl","properties":{"formattedCitation":"(Jones &amp; Lennon, 2010)","plainCitation":"(Jones &amp; Lennon, 2010)","noteIndex":0},"citationItems":[{"id":2830,"uris":["http://zotero.org/users/8873894/items/MGAXWYKM"],"itemData":{"id":2830,"type":"article-journal","abstract":"Dormancy is a bet-hedging strategy used by a variety of organisms to overcome unfavorable environmental conditions. By entering a reversible state of low metabolic activity, dormant individuals become members of a seed bank, which can determine community dynamics in future generations. Although microbiologists have documented dormancy in both clinical and natural settings, the importance of seed banks for the diversity and functioning of microbial communities remains untested. Here, we develop a theoretical model demonstrating that microbial communities are structured by environmental cues that trigger dormancy. A molecular survey of lake ecosystems revealed that dormancy plays a more important role in shaping bacterial communities than eukaryotic microbial communities. The proportion of dormant bacteria was relatively low in productive ecosystems but accounted for up to 40% of taxon richness in nutrient-poor systems. Our simulations and empirical data suggest that regional environmental cues and dormancy synchronize the composition of active communities across the landscape while decoupling active microbes from the total community at local scales. Furthermore, we observed that rare bacterial taxa were disproportionately active relative to common bacterial taxa, suggesting that microbial rank-abundance curves are more dynamic than previously considered. We propose that repeated transitions to and from the seed bank may help maintain the high levels of microbial biodiversity that are observed in nearly all ecosystems.","container-title":"Proceedings of the National Academy of Sciences of the United States of America","DOI":"10.1073/pnas.0912765107","ISSN":"0027-8424","issue":"13","journalAbbreviation":"Proc Natl Acad Sci U S A","page":"5881-5886","PMID":"20231463","PMCID":"PMC2851880","source":"PubMed Central","title":"Dormancy contributes to the maintenance of microbial diversity","volume":"107","author":[{"family":"Jones","given":"Stuart E."},{"family":"Lennon","given":"Jay T."}],"issued":{"date-parts":[["2010",3,30]]}}}],"schema":"https://github.com/citation-style-language/schema/raw/master/csl-citation.json"} </w:instrText>
      </w:r>
      <w:r w:rsidRPr="003B7D22">
        <w:fldChar w:fldCharType="separate"/>
      </w:r>
      <w:r w:rsidRPr="003B7D22">
        <w:rPr>
          <w:rFonts w:cs="Times New Roman"/>
        </w:rPr>
        <w:t>(Jones &amp; Lennon, 2010)</w:t>
      </w:r>
      <w:r w:rsidRPr="003B7D22">
        <w:fldChar w:fldCharType="end"/>
      </w:r>
      <w:r w:rsidRPr="003B7D22">
        <w:t xml:space="preserve">. In contrast non-spore-forming taxa exhibited higher within-individual turnover and were less likely to be shared within our cohort. </w:t>
      </w:r>
    </w:p>
    <w:p w14:paraId="321AB40F" w14:textId="12FD70AF" w:rsidR="003B7D22" w:rsidRPr="003B7D22" w:rsidRDefault="003B7D22" w:rsidP="003B7D22">
      <w:r w:rsidRPr="003B7D22">
        <w:t xml:space="preserve">Surprisingly, ethanol-resistant taxa outside </w:t>
      </w:r>
      <w:r w:rsidRPr="003B7D22">
        <w:rPr>
          <w:i/>
          <w:iCs/>
        </w:rPr>
        <w:t>Bacillota</w:t>
      </w:r>
      <w:r w:rsidRPr="003B7D22">
        <w:t xml:space="preserve"> also showed a higher degree of between</w:t>
      </w:r>
      <w:r w:rsidRPr="003B7D22">
        <w:noBreakHyphen/>
        <w:t>host sharing, while having minimal effect on long-term persistence within the host. This suggests that alternative dormancy or stress</w:t>
      </w:r>
      <w:r w:rsidRPr="003B7D22">
        <w:noBreakHyphen/>
        <w:t>response mechanisms in these lineages preferentially support transmission within the population rather than long</w:t>
      </w:r>
      <w:r w:rsidRPr="003B7D22">
        <w:noBreakHyphen/>
        <w:t>term coloni</w:t>
      </w:r>
      <w:r w:rsidR="005F1300">
        <w:t>s</w:t>
      </w:r>
      <w:r w:rsidRPr="003B7D22">
        <w:t>ation.</w:t>
      </w:r>
    </w:p>
    <w:p w14:paraId="05A34099" w14:textId="3B612A88" w:rsidR="009972F0" w:rsidRPr="00D93D74" w:rsidRDefault="005F1300" w:rsidP="009972F0">
      <w:pPr>
        <w:rPr>
          <w:rFonts w:cs="Times New Roman"/>
        </w:rPr>
      </w:pPr>
      <w:r>
        <w:rPr>
          <w:rFonts w:cs="Times New Roman"/>
        </w:rPr>
        <w:t>A l</w:t>
      </w:r>
      <w:r w:rsidR="009972F0" w:rsidRPr="00D93D74">
        <w:rPr>
          <w:rFonts w:cs="Times New Roman"/>
        </w:rPr>
        <w:t xml:space="preserve">imitation of our study </w:t>
      </w:r>
      <w:r w:rsidR="00AF412B">
        <w:rPr>
          <w:rFonts w:cs="Times New Roman"/>
        </w:rPr>
        <w:t>was</w:t>
      </w:r>
      <w:r w:rsidR="009972F0" w:rsidRPr="00D93D74">
        <w:rPr>
          <w:rFonts w:cs="Times New Roman"/>
        </w:rPr>
        <w:t xml:space="preserve"> to assess whether temporal changes in taxa detection reflect strain replacement or the coexistence of multiple strains </w:t>
      </w:r>
      <w:r w:rsidR="009972F0" w:rsidRPr="00D93D74">
        <w:rPr>
          <w:rFonts w:cs="Times New Roman"/>
        </w:rPr>
        <w:fldChar w:fldCharType="begin"/>
      </w:r>
      <w:r w:rsidR="001C2A55">
        <w:rPr>
          <w:rFonts w:cs="Times New Roman"/>
        </w:rPr>
        <w:instrText xml:space="preserve"> ADDIN ZOTERO_ITEM CSL_CITATION {"citationID":"rj5CuAzA","properties":{"formattedCitation":"(Poyet et al., 2019)","plainCitation":"(Poyet et al., 2019)","noteIndex":0},"citationItems":[{"id":400,"uris":["http://zotero.org/users/8873894/items/D73U5VSG"],"itemData":{"id":400,"type":"article-journal","abstract":"Our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009972F0" w:rsidRPr="00D93D74">
        <w:rPr>
          <w:rFonts w:cs="Times New Roman"/>
        </w:rPr>
        <w:fldChar w:fldCharType="separate"/>
      </w:r>
      <w:r w:rsidR="009972F0" w:rsidRPr="00D93D74">
        <w:rPr>
          <w:rFonts w:cs="Times New Roman"/>
        </w:rPr>
        <w:t>(Poyet et al., 2019)</w:t>
      </w:r>
      <w:r w:rsidR="009972F0" w:rsidRPr="00D93D74">
        <w:rPr>
          <w:rFonts w:cs="Times New Roman"/>
        </w:rPr>
        <w:fldChar w:fldCharType="end"/>
      </w:r>
      <w:r w:rsidR="009972F0" w:rsidRPr="00D93D74">
        <w:rPr>
          <w:rFonts w:cs="Times New Roman"/>
        </w:rPr>
        <w:t xml:space="preserve">. This distinction is particularly relevant given previous reports of high strain-level retention in the gut over short time scales and limited strain sharing between individuals </w:t>
      </w:r>
      <w:r w:rsidR="009972F0" w:rsidRPr="00D93D74">
        <w:rPr>
          <w:rFonts w:cs="Times New Roman"/>
        </w:rPr>
        <w:fldChar w:fldCharType="begin"/>
      </w:r>
      <w:r w:rsidR="001C2A55">
        <w:rPr>
          <w:rFonts w:cs="Times New Roman"/>
        </w:rPr>
        <w:instrText xml:space="preserve"> ADDIN ZOTERO_ITEM CSL_CITATION {"citationID":"rL10cViM","properties":{"formattedCitation":"(Wolff et al., 2023)","plainCitation":"(Wolff et al., 2023)","noteIndex":0},"citationItems":[{"id":2274,"uris":["http://zotero.org/users/8873894/items/8JFF8KSZ"],"itemData":{"id":2274,"type":"article-journal","abstract":"The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009972F0" w:rsidRPr="00D93D74">
        <w:rPr>
          <w:rFonts w:cs="Times New Roman"/>
        </w:rPr>
        <w:fldChar w:fldCharType="separate"/>
      </w:r>
      <w:r w:rsidR="009972F0" w:rsidRPr="00D93D74">
        <w:rPr>
          <w:rFonts w:cs="Times New Roman"/>
        </w:rPr>
        <w:t>(Wolff et al., 2023)</w:t>
      </w:r>
      <w:r w:rsidR="009972F0" w:rsidRPr="00D93D74">
        <w:rPr>
          <w:rFonts w:cs="Times New Roman"/>
        </w:rPr>
        <w:fldChar w:fldCharType="end"/>
      </w:r>
      <w:r w:rsidR="009972F0" w:rsidRPr="00D93D74">
        <w:rPr>
          <w:rFonts w:cs="Times New Roman"/>
        </w:rPr>
        <w:t>.</w:t>
      </w:r>
    </w:p>
    <w:p w14:paraId="62F1E268" w14:textId="77777777" w:rsidR="009972F0" w:rsidRPr="00D93D74" w:rsidRDefault="009972F0" w:rsidP="009972F0">
      <w:pPr>
        <w:rPr>
          <w:rFonts w:cs="Times New Roman"/>
        </w:rPr>
      </w:pPr>
    </w:p>
    <w:p w14:paraId="74878BCA" w14:textId="1DAFF310" w:rsidR="009972F0" w:rsidRPr="00D93D74" w:rsidRDefault="009972F0" w:rsidP="009972F0">
      <w:pPr>
        <w:pStyle w:val="Naslov3"/>
        <w:numPr>
          <w:ilvl w:val="0"/>
          <w:numId w:val="0"/>
        </w:numPr>
        <w:ind w:left="720" w:hanging="720"/>
      </w:pPr>
      <w:bookmarkStart w:id="1200" w:name="_Toc220932889"/>
      <w:bookmarkStart w:id="1201" w:name="_Toc228252058"/>
      <w:r w:rsidRPr="00D93D74">
        <w:lastRenderedPageBreak/>
        <w:t>5.1.4 Sporulation frequency</w:t>
      </w:r>
      <w:r w:rsidR="0056434F">
        <w:t xml:space="preserve"> in the human gut</w:t>
      </w:r>
      <w:r w:rsidRPr="00D93D74">
        <w:t xml:space="preserve"> is individual and time-specific</w:t>
      </w:r>
      <w:bookmarkEnd w:id="1200"/>
      <w:bookmarkEnd w:id="1201"/>
    </w:p>
    <w:p w14:paraId="63FF4590" w14:textId="7B587067" w:rsidR="0056434F" w:rsidRPr="00055836" w:rsidRDefault="0056434F" w:rsidP="0056434F">
      <w:r w:rsidRPr="00055836">
        <w:t xml:space="preserve">One of the key findings of our study is that gut spore-formers, the highly abundant and persistent ethanol-resistant </w:t>
      </w:r>
      <w:r w:rsidRPr="00055836">
        <w:rPr>
          <w:i/>
          <w:iCs/>
        </w:rPr>
        <w:t>Bacillota</w:t>
      </w:r>
      <w:r w:rsidRPr="00055836">
        <w:t xml:space="preserve"> community, respond to </w:t>
      </w:r>
      <w:r w:rsidR="005F1300">
        <w:t xml:space="preserve">the </w:t>
      </w:r>
      <w:r w:rsidRPr="00055836">
        <w:t>same gut environmental signals, resulting in synchroni</w:t>
      </w:r>
      <w:r w:rsidR="005F1300">
        <w:t>s</w:t>
      </w:r>
      <w:r w:rsidRPr="00055836">
        <w:t>ed sporulation across diverse genera within the same host. These fluctuations were not conserved across hosts, suggesting that sporulation in the human gut is governed primarily by host specific environmental and physiological conditions rather than by taxon specific mechanisms. This interpretation is consistent with previous reports showing highly individuali</w:t>
      </w:r>
      <w:r w:rsidR="005F1300">
        <w:t>s</w:t>
      </w:r>
      <w:r w:rsidRPr="00055836">
        <w:t xml:space="preserve">ed microbial responses to diet and lifestyle factors </w:t>
      </w:r>
      <w:r w:rsidRPr="00055836">
        <w:fldChar w:fldCharType="begin"/>
      </w:r>
      <w:r w:rsidR="001C2A55">
        <w:instrText xml:space="preserve"> ADDIN ZOTERO_ITEM CSL_CITATION {"citationID":"N9fdZ7Th","properties":{"formattedCitation":"(Zeevi et al., 2015)","plainCitation":"(Zeevi et al., 2015)","noteIndex":0},"citationItems":[{"id":2940,"uris":["http://zotero.org/users/8873894/items/ZZWAE27N"],"itemData":{"id":2940,"type":"article-journal","abstract":"Elevated postprandial blood glucose levels constitute a global epidemic and a major risk factor for prediabetes and type II diabetes, but existing dietary methods for controlling them have limited efficacy. Here, we continuously monitored week-long glucose levels in an 800-person cohort, measured responses to 46,898 meals, and found high variability in the response to identical meals, suggesting that universal dietary recommendations may have limited utility. We devised a machine-learning algorithm that integrates blood parameters, dietary habits, anthropometrics, physical activity, and gut microbiota measured in this cohort and showed that it accurately predicts personalized postprandial glycemic response to real-life meals. We validated these predictions in an independent 100-person cohort. Finally, a blinded randomized controlled dietary intervention based on this algorithm resulted in significantly lower postprandial responses and consistent alterations to gut microbiota configuration. Together, our results suggest that personalized diets may successfully modify elevated postprandial blood glucose and its metabolic consequences.\nVideo Abstract","container-title":"Cell","DOI":"10.1016/j.cell.2015.11.001","ISSN":"0092-8674","issue":"5","journalAbbreviation":"Cell","page":"1079-1094","source":"ScienceDirect","title":"Personalized Nutrition by Prediction of Glycemic Responses","volume":"163","author":[{"family":"Zeevi","given":"David"},{"family":"Korem","given":"Tal"},{"family":"Zmora","given":"Niv"},{"family":"Israeli","given":"David"},{"family":"Rothschild","given":"Daphna"},{"family":"Weinberger","given":"Adina"},{"family":"Ben-Yacov","given":"Orly"},{"family":"Lador","given":"Dar"},{"family":"Avnit-Sagi","given":"Tali"},{"family":"Lotan-Pompan","given":"Maya"},{"family":"Suez","given":"Jotham"},{"family":"Mahdi","given":"Jemal Ali"},{"family":"Matot","given":"Elad"},{"family":"Malka","given":"Gal"},{"family":"Kosower","given":"Noa"},{"family":"Rein","given":"Michal"},{"family":"Zilberman-Schapira","given":"Gili"},{"family":"Dohnalová","given":"Lenka"},{"family":"Pevsner-Fischer","given":"Meirav"},{"family":"Bikovsky","given":"Rony"},{"family":"Halpern","given":"Zamir"},{"family":"Elinav","given":"Eran"},{"family":"Segal","given":"Eran"}],"issued":{"date-parts":[["2015",11,19]]}}}],"schema":"https://github.com/citation-style-language/schema/raw/master/csl-citation.json"} </w:instrText>
      </w:r>
      <w:r w:rsidRPr="00055836">
        <w:fldChar w:fldCharType="separate"/>
      </w:r>
      <w:r w:rsidRPr="0056434F">
        <w:t>(Zeevi et al., 2015)</w:t>
      </w:r>
      <w:r w:rsidRPr="00055836">
        <w:fldChar w:fldCharType="end"/>
      </w:r>
      <w:r w:rsidRPr="00055836">
        <w:t xml:space="preserve">. In line with </w:t>
      </w:r>
      <w:r w:rsidRPr="00055836">
        <w:rPr>
          <w:i/>
          <w:iCs/>
        </w:rPr>
        <w:t>in vitro</w:t>
      </w:r>
      <w:r w:rsidRPr="00055836">
        <w:t xml:space="preserve"> studies, potential triggers may include environmental stress, metabolic depression, cell signalling, or viral threats </w:t>
      </w:r>
      <w:r w:rsidRPr="00055836">
        <w:fldChar w:fldCharType="begin"/>
      </w:r>
      <w:r w:rsidR="001C2A55">
        <w:instrText xml:space="preserve"> ADDIN ZOTERO_ITEM CSL_CITATION {"citationID":"BDrolCxg","properties":{"formattedCitation":"(Hutchison et al., 2014; Koopman et al., 2022; Ramos-Silva et al., 2019)","plainCitation":"(Hutchison et al., 2014; Koopman et al., 2022; Ramos-Silva et al., 2019)","noteIndex":0},"citationItems":[{"id":150,"uris":["http://zotero.org/users/8873894/items/U78K94NN"],"itemData":{"id":150,"type":"article-journal","abstract":"Endospore formation follows a complex, highly regulated developmental pathway that\noccurs in a broad range of Firmicutes. Although Bacillus subtilis has served as a powerful model system to study the morphological, biochemical, and\ngenetic ...","archive_location":"Washington, DC","container-title":"Microbiology Spectrum","DOI":"10.1128/microbiolspec.TBS-0013-2012","language":"EN","license":"© 2014 American Society for Microbiology. All rights reserved.","publisher":"ASM PressWashington, DC","source":"journals.asm.org","title":"Sporulation in Bacteria: Beyond the Standard Model","title-short":"Sporulation in Bacteria","URL":"https://journals.asm.org/doi/abs/10.1128/microbiolspec.TBS-0013-2012","author":[{"family":"Hutchison","given":"Elizabeth A."},{"family":"Miller","given":"David A."},{"family":"Angert","given":"Esther R."}],"accessed":{"date-parts":[["2022",2,23]]},"issued":{"date-parts":[["2014",10,3]]}}},{"id":1642,"uris":["http://zotero.org/users/8873894/items/CWNLIUM4"],"itemData":{"id":1642,"type":"article-journal","abstract":"Recent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id":2083,"uris":["http://zotero.org/users/8873894/items/DDC2T243"],"itemData":{"id":2083,"type":"article-journal","abstract":"Bacteria of the Firmicutes phylum are able to enter a developmental pathway that culminates with the formation of highly resistant, dormant endospores. Endospores allow environmental persistence, dissemination and for pathogens, are also infection vehicles. In both the model Bacillus subtilis, an aerobic organism, and in the intestinal pathogen Clostridioides difficile, an obligate anaerobe, sporulation mobilizes hundreds of genes. Their expression is coordinated between the forespore and the mother cell, the two cells that participate in the process, and is kept in close register with the course of morphogenesis. The evolutionary mechanisms by which sporulation emerged and evolved in these two species, and more broadly across Firmicutes, remain largely unknown. Here, we trace the origin and evolution of sporulation using the genes known </w:instrText>
      </w:r>
      <w:r w:rsidR="001C2A55" w:rsidRPr="001C2A55">
        <w:rPr>
          <w:lang w:val="es-ES"/>
        </w:rPr>
        <w:instrText xml:space="preserve">to be involved in the process in B. subtilis and C. difficile, and estimating their gain-loss dynamics in a comprehensive bacterial macroevolutionary framework. We show that sporulation evolution was driven by two major gene gain events, the first at the base of the Firmicutes and the second at the base of the B. subtilis group and within the Peptostreptococcaceae family, which includes C. difficile. We also show that early and late sporulation regulons have been coevolving and that sporulation genes entail greater innovation in B. subtilis with many Bacilli lineage-restricted genes. In contrast, C. difficile more often recruits new sporulation genes by horizontal gene transfer, which reflects both its highly mobile genome, the complexity of the gut microbiota, and an adjustment of sporulation to the gut ecosystem.","container-title":"Molecular Biology and Evolution","DOI":"10.1093/molbev/msz175","ISSN":"0737-4038","issue":"12","journalAbbreviation":"Molecular Biology and Evolution","page":"2714-2736","source":"Silverchair","title":"From Root to Tips: Sporulation Evolution and Specialization in Bacillus subtilis and the Intestinal Pathogen Clostridioides difficile","title-short":"From Root to Tips","volume":"36","author":[{"family":"Ramos-Silva","given":"Paula"},{"family":"Serrano","given":"Mónica"},{"family":"Henriques","given":"Adriano O"}],"issued":{"date-parts":[["2019",12,1]]}}}],"schema":"https://github.com/citation-style-language/schema/raw/master/csl-citation.json"} </w:instrText>
      </w:r>
      <w:r w:rsidRPr="00055836">
        <w:fldChar w:fldCharType="separate"/>
      </w:r>
      <w:r w:rsidRPr="00236DBE">
        <w:rPr>
          <w:lang w:val="es-ES"/>
        </w:rPr>
        <w:t>(Hutchison et al., 2014; Koopman et al., 2022; Ramos-Silva et al., 2019)</w:t>
      </w:r>
      <w:r w:rsidRPr="00055836">
        <w:fldChar w:fldCharType="end"/>
      </w:r>
      <w:r w:rsidRPr="00236DBE">
        <w:rPr>
          <w:lang w:val="es-ES"/>
        </w:rPr>
        <w:t xml:space="preserve">. </w:t>
      </w:r>
      <w:r w:rsidRPr="00055836">
        <w:t xml:space="preserve">In addition to host derived cues, phage–host interactions may also influence sporulation decisions, as phages carrying sporulation-related genes have been described in spore-forming </w:t>
      </w:r>
      <w:r w:rsidRPr="00055836">
        <w:rPr>
          <w:i/>
          <w:iCs/>
        </w:rPr>
        <w:t>Bacillota</w:t>
      </w:r>
      <w:r w:rsidRPr="00055836">
        <w:t xml:space="preserve">, providing another potential layer of regulation of the sporobiota </w:t>
      </w:r>
      <w:r w:rsidRPr="00055836">
        <w:fldChar w:fldCharType="begin"/>
      </w:r>
      <w:r w:rsidR="001C2A55">
        <w:instrText xml:space="preserve"> ADDIN ZOTERO_ITEM CSL_CITATION {"citationID":"EM5YKKhz","properties":{"formattedCitation":"(Schwartz et al., 2022)","plainCitation":"(Schwartz et al., 2022)","noteIndex":0},"citationItems":[{"id":847,"uris":["http://zotero.org/users/8873894/items/G5DG6CDZ"],"itemData":{"id":847,"type":"article-journal","container-title":"mSphere","DOI":"10.1128/msphere.00297-22","issue":"0","page":"e00297-22","publisher":"American Society for Microbiology","source":"journals.asm.org (Atypon)","title":"Phage-Encoded Sigma Factors Alter Bacterial Dormancy","volume":"0","author":[{"family":"Schwartz","given":"D. A."},{"family":"Lehmkuhl","given":"B. K."},{"family":"Lennon","given":"J. T."}],"issued":{"date-parts":[["2022",7,20]]}}}],"schema":"https://github.com/citation-style-language/schema/raw/master/csl-citation.json"} </w:instrText>
      </w:r>
      <w:r w:rsidRPr="00055836">
        <w:fldChar w:fldCharType="separate"/>
      </w:r>
      <w:r w:rsidRPr="0056434F">
        <w:t>(Schwartz et al., 2022)</w:t>
      </w:r>
      <w:r w:rsidRPr="00055836">
        <w:fldChar w:fldCharType="end"/>
      </w:r>
      <w:r w:rsidRPr="00055836">
        <w:t xml:space="preserve">. Although the specific </w:t>
      </w:r>
      <w:r w:rsidRPr="00055836">
        <w:rPr>
          <w:i/>
          <w:iCs/>
        </w:rPr>
        <w:t>in vivo</w:t>
      </w:r>
      <w:r w:rsidRPr="00055836">
        <w:t xml:space="preserve"> signals governing sporulation and germination remain unresolved, our findings suggest that spore-forming gut bacteria respond collectively to shared, host-specific environmental or physiological cues rather than acting solely through species-specific regulation.</w:t>
      </w:r>
    </w:p>
    <w:p w14:paraId="2B74FC9F" w14:textId="77777777" w:rsidR="009972F0" w:rsidRDefault="009972F0" w:rsidP="009972F0"/>
    <w:p w14:paraId="2C94B310" w14:textId="77777777" w:rsidR="0056434F" w:rsidRDefault="0056434F" w:rsidP="009972F0"/>
    <w:p w14:paraId="1B294AF4" w14:textId="02A9761B" w:rsidR="0056434F" w:rsidRPr="00D93D74" w:rsidRDefault="0056434F">
      <w:pPr>
        <w:pStyle w:val="Naslov2"/>
        <w:numPr>
          <w:ilvl w:val="1"/>
          <w:numId w:val="5"/>
        </w:numPr>
      </w:pPr>
      <w:bookmarkStart w:id="1202" w:name="_Toc220932891"/>
      <w:bookmarkStart w:id="1203" w:name="_Toc228252059"/>
      <w:r w:rsidRPr="00D93D74">
        <w:t>MONITORING LONGITUDINAL CHANGES IN THE GUT RESISTOME OF HEALTHY INDIVIDUALS</w:t>
      </w:r>
      <w:bookmarkEnd w:id="1202"/>
      <w:r w:rsidR="00BE1C36">
        <w:t xml:space="preserve"> (GOAL 3)</w:t>
      </w:r>
      <w:bookmarkEnd w:id="1203"/>
    </w:p>
    <w:p w14:paraId="35E5B94A" w14:textId="4CDED13F" w:rsidR="00CD1E8C" w:rsidRDefault="00AF412B" w:rsidP="00EB650C">
      <w:pPr>
        <w:rPr>
          <w:rFonts w:cs="Times New Roman"/>
        </w:rPr>
      </w:pPr>
      <w:r>
        <w:rPr>
          <w:rFonts w:cs="Times New Roman"/>
        </w:rPr>
        <w:t xml:space="preserve">Across the cohort, we detected between </w:t>
      </w:r>
      <w:r w:rsidR="00EB650C">
        <w:rPr>
          <w:rFonts w:cs="Times New Roman"/>
        </w:rPr>
        <w:t xml:space="preserve">81 </w:t>
      </w:r>
      <w:r>
        <w:rPr>
          <w:rFonts w:cs="Times New Roman"/>
        </w:rPr>
        <w:t>and</w:t>
      </w:r>
      <w:r w:rsidR="00EB650C">
        <w:rPr>
          <w:rFonts w:cs="Times New Roman"/>
        </w:rPr>
        <w:t xml:space="preserve"> 101 unique antimicrobial resistance genes (ARGs) per individual, of which on average 49% were consistently present over six months</w:t>
      </w:r>
      <w:r w:rsidR="005F1300">
        <w:rPr>
          <w:rFonts w:cs="Times New Roman"/>
        </w:rPr>
        <w:t>,</w:t>
      </w:r>
      <w:r w:rsidR="00EB650C">
        <w:rPr>
          <w:rFonts w:cs="Times New Roman"/>
        </w:rPr>
        <w:t xml:space="preserve"> </w:t>
      </w:r>
      <w:r>
        <w:rPr>
          <w:rFonts w:cs="Times New Roman"/>
        </w:rPr>
        <w:t>indicating</w:t>
      </w:r>
      <w:r w:rsidR="00EB650C">
        <w:rPr>
          <w:rFonts w:cs="Times New Roman"/>
        </w:rPr>
        <w:t xml:space="preserve"> </w:t>
      </w:r>
      <w:r w:rsidR="005F1300">
        <w:rPr>
          <w:rFonts w:cs="Times New Roman"/>
        </w:rPr>
        <w:t xml:space="preserve">that the </w:t>
      </w:r>
      <w:r w:rsidR="00EB650C">
        <w:rPr>
          <w:rFonts w:cs="Times New Roman"/>
        </w:rPr>
        <w:t>human gut harbours a diverse</w:t>
      </w:r>
      <w:r>
        <w:rPr>
          <w:rFonts w:cs="Times New Roman"/>
        </w:rPr>
        <w:t xml:space="preserve"> and temporally stable</w:t>
      </w:r>
      <w:r w:rsidR="00EB650C">
        <w:rPr>
          <w:rFonts w:cs="Times New Roman"/>
        </w:rPr>
        <w:t xml:space="preserve"> multi-class resistome </w:t>
      </w:r>
      <w:r w:rsidR="00EB650C" w:rsidRPr="00D93D74">
        <w:rPr>
          <w:rFonts w:cs="Times New Roman"/>
        </w:rPr>
        <w:fldChar w:fldCharType="begin"/>
      </w:r>
      <w:r w:rsidR="001C2A55">
        <w:rPr>
          <w:rFonts w:cs="Times New Roman"/>
        </w:rPr>
        <w:instrText xml:space="preserve"> ADDIN ZOTERO_ITEM CSL_CITATION {"citationID":"vIoGlAro","properties":{"formattedCitation":"(Ho et al., 2020)","plainCitation":"(Ho et al., 2020)","noteIndex":0},"citationItems":[{"id":3449,"uris":["http://zotero.org/users/8873894/items/EBF6AJTG"],"itemData":{"id":3449,"type":"article-journal","abstract":"In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00EB650C" w:rsidRPr="00D93D74">
        <w:rPr>
          <w:rFonts w:cs="Times New Roman"/>
        </w:rPr>
        <w:fldChar w:fldCharType="separate"/>
      </w:r>
      <w:r w:rsidR="00EB650C" w:rsidRPr="00D93D74">
        <w:rPr>
          <w:rFonts w:cs="Times New Roman"/>
        </w:rPr>
        <w:t>(Ho et al., 2020)</w:t>
      </w:r>
      <w:r w:rsidR="00EB650C" w:rsidRPr="00D93D74">
        <w:rPr>
          <w:rFonts w:cs="Times New Roman"/>
        </w:rPr>
        <w:fldChar w:fldCharType="end"/>
      </w:r>
      <w:r w:rsidR="00EB650C">
        <w:rPr>
          <w:rFonts w:cs="Times New Roman"/>
        </w:rPr>
        <w:t>. This</w:t>
      </w:r>
      <w:r w:rsidR="005F1300">
        <w:rPr>
          <w:rFonts w:cs="Times New Roman"/>
        </w:rPr>
        <w:t xml:space="preserve"> </w:t>
      </w:r>
      <w:r>
        <w:rPr>
          <w:rFonts w:cs="Times New Roman"/>
        </w:rPr>
        <w:t>was observed both in individuals</w:t>
      </w:r>
      <w:r w:rsidR="00EB650C">
        <w:rPr>
          <w:rFonts w:cs="Times New Roman"/>
        </w:rPr>
        <w:t xml:space="preserve"> </w:t>
      </w:r>
      <w:r w:rsidR="005F1300">
        <w:rPr>
          <w:rFonts w:cs="Times New Roman"/>
        </w:rPr>
        <w:t xml:space="preserve">who reported </w:t>
      </w:r>
      <w:r w:rsidR="00EB650C">
        <w:rPr>
          <w:rFonts w:cs="Times New Roman"/>
        </w:rPr>
        <w:t xml:space="preserve">antibiotic treatment </w:t>
      </w:r>
      <w:r>
        <w:rPr>
          <w:rFonts w:cs="Times New Roman"/>
        </w:rPr>
        <w:t xml:space="preserve">during the study </w:t>
      </w:r>
      <w:r w:rsidR="00EB650C">
        <w:rPr>
          <w:rFonts w:cs="Times New Roman"/>
        </w:rPr>
        <w:t xml:space="preserve">(E, H) </w:t>
      </w:r>
      <w:r>
        <w:rPr>
          <w:rFonts w:cs="Times New Roman"/>
        </w:rPr>
        <w:t>and in those</w:t>
      </w:r>
      <w:r w:rsidR="005F1300">
        <w:rPr>
          <w:rFonts w:cs="Times New Roman"/>
        </w:rPr>
        <w:t xml:space="preserve"> who </w:t>
      </w:r>
      <w:r w:rsidR="00EB650C">
        <w:rPr>
          <w:rFonts w:cs="Times New Roman"/>
        </w:rPr>
        <w:t xml:space="preserve">did not report antibiotic </w:t>
      </w:r>
      <w:r>
        <w:rPr>
          <w:rFonts w:cs="Times New Roman"/>
        </w:rPr>
        <w:t>exposure</w:t>
      </w:r>
      <w:r w:rsidR="00EB650C">
        <w:rPr>
          <w:rFonts w:cs="Times New Roman"/>
        </w:rPr>
        <w:t xml:space="preserve"> during</w:t>
      </w:r>
      <w:r w:rsidR="005F1300">
        <w:rPr>
          <w:rFonts w:cs="Times New Roman"/>
        </w:rPr>
        <w:t xml:space="preserve"> the study</w:t>
      </w:r>
      <w:r w:rsidR="00EB650C">
        <w:rPr>
          <w:rFonts w:cs="Times New Roman"/>
        </w:rPr>
        <w:t xml:space="preserve"> or</w:t>
      </w:r>
      <w:r w:rsidR="005F1300">
        <w:rPr>
          <w:rFonts w:cs="Times New Roman"/>
        </w:rPr>
        <w:t xml:space="preserve"> in the</w:t>
      </w:r>
      <w:r w:rsidR="00EB650C">
        <w:rPr>
          <w:rFonts w:cs="Times New Roman"/>
        </w:rPr>
        <w:t xml:space="preserve"> three months prior</w:t>
      </w:r>
      <w:r w:rsidR="00CD1E8C">
        <w:rPr>
          <w:rFonts w:cs="Times New Roman"/>
        </w:rPr>
        <w:t xml:space="preserve">. </w:t>
      </w:r>
      <w:r w:rsidR="00CD1E8C" w:rsidRPr="00D93D74">
        <w:rPr>
          <w:rFonts w:cs="Times New Roman"/>
        </w:rPr>
        <w:t xml:space="preserve">Both individuals (E, H) </w:t>
      </w:r>
      <w:r w:rsidR="005F1300">
        <w:rPr>
          <w:rFonts w:cs="Times New Roman"/>
        </w:rPr>
        <w:t>who</w:t>
      </w:r>
      <w:r w:rsidR="00CD1E8C" w:rsidRPr="00D93D74">
        <w:rPr>
          <w:rFonts w:cs="Times New Roman"/>
        </w:rPr>
        <w:t xml:space="preserve"> consumed antibiotics during the study had </w:t>
      </w:r>
      <w:r w:rsidR="005F1300">
        <w:rPr>
          <w:rFonts w:cs="Times New Roman"/>
        </w:rPr>
        <w:t xml:space="preserve">a </w:t>
      </w:r>
      <w:r w:rsidR="00CD1E8C" w:rsidRPr="00D93D74">
        <w:rPr>
          <w:rFonts w:cs="Times New Roman"/>
        </w:rPr>
        <w:t>higher abundance, but not diversity</w:t>
      </w:r>
      <w:r w:rsidR="005F1300">
        <w:rPr>
          <w:rFonts w:cs="Times New Roman"/>
        </w:rPr>
        <w:t xml:space="preserve"> </w:t>
      </w:r>
      <w:r w:rsidR="00CD1E8C" w:rsidRPr="00D93D74">
        <w:rPr>
          <w:rFonts w:cs="Times New Roman"/>
        </w:rPr>
        <w:t>of ARGs</w:t>
      </w:r>
      <w:r w:rsidR="005F1300">
        <w:rPr>
          <w:rFonts w:cs="Times New Roman"/>
        </w:rPr>
        <w:t>,</w:t>
      </w:r>
      <w:r w:rsidR="00CD1E8C" w:rsidRPr="00D93D74">
        <w:rPr>
          <w:rFonts w:cs="Times New Roman"/>
        </w:rPr>
        <w:t xml:space="preserve"> </w:t>
      </w:r>
      <w:r>
        <w:rPr>
          <w:rFonts w:cs="Times New Roman"/>
        </w:rPr>
        <w:t>compared to non-exposed individuals. This finding is consistent</w:t>
      </w:r>
      <w:r w:rsidR="00CD1E8C" w:rsidRPr="00D93D74">
        <w:rPr>
          <w:rFonts w:cs="Times New Roman"/>
        </w:rPr>
        <w:t xml:space="preserve"> with previous studies</w:t>
      </w:r>
      <w:r>
        <w:rPr>
          <w:rFonts w:cs="Times New Roman"/>
        </w:rPr>
        <w:t xml:space="preserve"> showing that antibiotic treatment tends to expand the abundance of existing resistance genes rather than introduce substantial new diversity</w:t>
      </w:r>
      <w:r w:rsidR="00CD1E8C" w:rsidRPr="00D93D74">
        <w:rPr>
          <w:rFonts w:cs="Times New Roman"/>
        </w:rPr>
        <w:t xml:space="preserve"> </w:t>
      </w:r>
      <w:r w:rsidR="00EB650C" w:rsidRPr="00EB650C">
        <w:rPr>
          <w:rFonts w:cs="Times New Roman"/>
          <w:szCs w:val="24"/>
        </w:rPr>
        <w:fldChar w:fldCharType="begin"/>
      </w:r>
      <w:r w:rsidR="001C2A55">
        <w:rPr>
          <w:rFonts w:cs="Times New Roman"/>
          <w:szCs w:val="24"/>
        </w:rPr>
        <w:instrText xml:space="preserve"> ADDIN ZOTERO_ITEM CSL_CITATION {"citationID":"p7BZN0Sx","properties":{"formattedCitation":"(Malin et al., 2023; Rampelli et al., 2015; Willmann et al., 2019)","plainCitation":"(Malin et al., 2023; Rampelli et al., 2015; Willmann et al., 2019)","noteIndex":0},"citationItems":[{"id":2271,"uris":["http://zotero.org/users/8873894/items/RXG66CCS"],"itemData":{"id":2271,"type":"article-journal","abstract":"The human gut microbiome is an important reservoir of antimicrobial resistance genes (ARGs), collectively termed the ‘resistome’. To date, few studies have examined the dynamics of the human gut resistome in healthy individuals. Previously, the authors observed high rates of ARG acquisition and significant abundance shifts during international travel. In order to provide insight into commonly occurring dynamics, this study investigated longitudinal fluctuations in prevalent ARGs (cfxA, tetM and ermB) in the resistomes of non-travelling healthy volunteers. In addition, this study assessed the prevalence of acquirable ARGs (blaCTX-M, qnrB, qnrS, vanA and vanB) over time. Faecal samples from 23 participants were collected at baseline and after 2 and 4 weeks. DNA was isolated, and ARG quantification was performed by quantitative polymerase chain reaction adjusting for the total amount of bacterial 16S rDNA. vanA and qnrS were not detected in any of the samples, while the prevalence rates of vanB of non-enterococcal origin and qnrB were 73.9% and 5.7%, respectively. The ß-lactamase encoding blaCTX-M was detected in 17.4% of healthy participants. The results were compared with previous data from 122 travellers. ARG acquisitions observed in travellers were rare in non-travelling individuals during 4 weeks of follow-up, supporting the hypothesis of ARG acquisition during international travel. However, median -1.04- to 1.04-fold abundance changes were observed for 100% of cfxA, tetM and ermB, which did not differ from those found in travellers. Thus, common abundance shifts in prevalent ARGs of the gut resistome were found to occur independent of travel behaviour.","container-title":"International Journal of Antimicrobial Agents","DOI":"10.1016/j.ijantimicag.2023.106716","ISSN":"0924-8579","issue":"3","journalAbbreviation":"International Journal of Antimicrobial Agents","language":"en","page":"106716","source":"ScienceDirect","title":"Longitudinal fluctuations of common antimicrobial resistance genes in the gut microbiomes of healthy Dutch individuals","volume":"61","author":[{"family":"Malin","given":"Jakob J."},{"family":"Wintersdorff","given":"Christian J. H.","non-dropping-particle":"von"},{"family":"Penders","given":"John"},{"family":"Savelkoul","given":"Paul H. M."},{"family":"Wolffs","given":"Petra F. G."}],"issued":{"date-parts":[["2023",3,1]]}}},{"id":3339,"uris":["http://zotero.org/users/8873894/items/TXYRF3DQ"],"itemData":{"id":3339,"type":"article-journal","abstract":"Through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G."},{"family":"Candela","given":"Marco"}],"issued":{"date-parts":[["2015",6,29]]}}},{"id":156,"uris":["http://zotero.org/users/8873894/items/AQV4MRN2"],"itemData":{"id":156,"type":"article-journal","abstract":"BACKGROUND: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00EB650C" w:rsidRPr="00EB650C">
        <w:rPr>
          <w:rFonts w:cs="Times New Roman"/>
          <w:szCs w:val="24"/>
        </w:rPr>
        <w:fldChar w:fldCharType="separate"/>
      </w:r>
      <w:r w:rsidR="00EB650C" w:rsidRPr="00EB650C">
        <w:rPr>
          <w:rFonts w:cs="Times New Roman"/>
          <w:szCs w:val="24"/>
        </w:rPr>
        <w:t>(Malin et al., 2023; Rampelli et al., 2015; Willmann et al., 2019)</w:t>
      </w:r>
      <w:r w:rsidR="00EB650C" w:rsidRPr="00EB650C">
        <w:rPr>
          <w:rFonts w:cs="Times New Roman"/>
          <w:szCs w:val="24"/>
        </w:rPr>
        <w:fldChar w:fldCharType="end"/>
      </w:r>
      <w:r w:rsidR="00EB650C" w:rsidRPr="00EB650C">
        <w:rPr>
          <w:rFonts w:cs="Times New Roman"/>
          <w:szCs w:val="24"/>
        </w:rPr>
        <w:t>.</w:t>
      </w:r>
      <w:r w:rsidR="00EB650C" w:rsidRPr="00D93D74">
        <w:rPr>
          <w:rFonts w:cs="Times New Roman"/>
        </w:rPr>
        <w:t xml:space="preserve"> </w:t>
      </w:r>
    </w:p>
    <w:p w14:paraId="064D6AEB" w14:textId="7FE6C692" w:rsidR="000C2140" w:rsidRDefault="00EB650C" w:rsidP="0056434F">
      <w:pPr>
        <w:rPr>
          <w:szCs w:val="24"/>
        </w:rPr>
      </w:pPr>
      <w:r w:rsidRPr="00EB650C">
        <w:rPr>
          <w:szCs w:val="24"/>
        </w:rPr>
        <w:t>Despite using the comprehensive AMRfinder</w:t>
      </w:r>
      <w:r w:rsidR="005F1300">
        <w:rPr>
          <w:szCs w:val="24"/>
        </w:rPr>
        <w:t>+</w:t>
      </w:r>
      <w:r w:rsidR="00AF412B">
        <w:rPr>
          <w:szCs w:val="24"/>
        </w:rPr>
        <w:t xml:space="preserve"> </w:t>
      </w:r>
      <w:r w:rsidR="00AF412B" w:rsidRPr="00EB650C">
        <w:rPr>
          <w:szCs w:val="24"/>
        </w:rPr>
        <w:t>database</w:t>
      </w:r>
      <w:r w:rsidR="00AF412B">
        <w:rPr>
          <w:szCs w:val="24"/>
        </w:rPr>
        <w:t xml:space="preserve"> with a </w:t>
      </w:r>
      <w:r w:rsidR="00BE1C36" w:rsidRPr="00EB650C">
        <w:rPr>
          <w:szCs w:val="24"/>
        </w:rPr>
        <w:t>str</w:t>
      </w:r>
      <w:r w:rsidR="00BE1C36">
        <w:rPr>
          <w:szCs w:val="24"/>
        </w:rPr>
        <w:t>ingent</w:t>
      </w:r>
      <w:r w:rsidRPr="00EB650C">
        <w:rPr>
          <w:szCs w:val="24"/>
        </w:rPr>
        <w:t xml:space="preserve"> identity threshold (&gt;</w:t>
      </w:r>
      <w:r w:rsidR="00AF412B">
        <w:rPr>
          <w:szCs w:val="24"/>
        </w:rPr>
        <w:t xml:space="preserve"> </w:t>
      </w:r>
      <w:r w:rsidRPr="00EB650C">
        <w:rPr>
          <w:szCs w:val="24"/>
        </w:rPr>
        <w:t>90%)</w:t>
      </w:r>
      <w:r w:rsidR="005F1300">
        <w:rPr>
          <w:szCs w:val="24"/>
        </w:rPr>
        <w:t>,</w:t>
      </w:r>
      <w:r w:rsidRPr="00EB650C">
        <w:rPr>
          <w:szCs w:val="24"/>
        </w:rPr>
        <w:t xml:space="preserve"> both false positive</w:t>
      </w:r>
      <w:r w:rsidR="000C2140">
        <w:rPr>
          <w:szCs w:val="24"/>
        </w:rPr>
        <w:t>s</w:t>
      </w:r>
      <w:r w:rsidR="00AF412B">
        <w:rPr>
          <w:szCs w:val="24"/>
        </w:rPr>
        <w:t xml:space="preserve"> and false negative</w:t>
      </w:r>
      <w:r w:rsidR="000C2140">
        <w:rPr>
          <w:szCs w:val="24"/>
        </w:rPr>
        <w:t>s</w:t>
      </w:r>
      <w:r w:rsidRPr="00EB650C">
        <w:rPr>
          <w:szCs w:val="24"/>
        </w:rPr>
        <w:t xml:space="preserve"> </w:t>
      </w:r>
      <w:r w:rsidR="000C2140">
        <w:rPr>
          <w:szCs w:val="24"/>
        </w:rPr>
        <w:t>remain possible. Some detected A</w:t>
      </w:r>
      <w:r w:rsidRPr="00EB650C">
        <w:rPr>
          <w:szCs w:val="24"/>
        </w:rPr>
        <w:t xml:space="preserve">RGs </w:t>
      </w:r>
      <w:r w:rsidR="000C2140">
        <w:rPr>
          <w:szCs w:val="24"/>
        </w:rPr>
        <w:t xml:space="preserve">may represent </w:t>
      </w:r>
      <w:r w:rsidR="000C2140" w:rsidRPr="000C2140">
        <w:rPr>
          <w:szCs w:val="24"/>
        </w:rPr>
        <w:t>misannotations</w:t>
      </w:r>
      <w:r w:rsidR="000C2140">
        <w:rPr>
          <w:szCs w:val="24"/>
        </w:rPr>
        <w:t xml:space="preserve">, while others may be absent from current databases and therefore undetected </w:t>
      </w:r>
      <w:r w:rsidRPr="00EB650C">
        <w:rPr>
          <w:szCs w:val="24"/>
        </w:rPr>
        <w:t xml:space="preserve"> </w:t>
      </w:r>
      <w:r w:rsidRPr="00EB650C">
        <w:rPr>
          <w:szCs w:val="24"/>
        </w:rPr>
        <w:fldChar w:fldCharType="begin"/>
      </w:r>
      <w:r w:rsidR="001C2A55">
        <w:rPr>
          <w:szCs w:val="24"/>
        </w:rPr>
        <w:instrText xml:space="preserve"> ADDIN ZOTERO_ITEM CSL_CITATION {"citationID":"m2SjDUdz","properties":{"formattedCitation":"(Feldgarden et al., 2019, 2021)","plainCitation":"(Feldgarden et al., 2019, 2021)","noteIndex":0},"citationItems":[{"id":3226,"uris":["http://zotero.org/users/8873894/items/LIDDZD68"],"itemData":{"id":3226,"type":"article-journal","abstract":"Antimicrobial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P."},{"family":"Klimke","given":"William"}],"issued":{"date-parts":[["2019",10,22]]}}},{"id":3227,"uris":["http://zotero.org/users/8873894/items/AB86VQVC"],"itemData":{"id":3227,"type":"article-journal","abstract":"Antimicrobial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Pr="00EB650C">
        <w:rPr>
          <w:szCs w:val="24"/>
        </w:rPr>
        <w:fldChar w:fldCharType="separate"/>
      </w:r>
      <w:r w:rsidRPr="00EB650C">
        <w:rPr>
          <w:szCs w:val="24"/>
        </w:rPr>
        <w:t>(Feldgarden et al., 2019, 2021)</w:t>
      </w:r>
      <w:r w:rsidRPr="00EB650C">
        <w:rPr>
          <w:szCs w:val="24"/>
        </w:rPr>
        <w:fldChar w:fldCharType="end"/>
      </w:r>
      <w:r w:rsidRPr="00EB650C">
        <w:rPr>
          <w:szCs w:val="24"/>
        </w:rPr>
        <w:t xml:space="preserve">. </w:t>
      </w:r>
    </w:p>
    <w:p w14:paraId="73ADD1E8" w14:textId="6A22EEF0" w:rsidR="00EB650C" w:rsidRDefault="00EB650C" w:rsidP="0056434F">
      <w:pPr>
        <w:rPr>
          <w:rFonts w:cs="Times New Roman"/>
        </w:rPr>
      </w:pPr>
      <w:r w:rsidRPr="00EB650C">
        <w:rPr>
          <w:szCs w:val="24"/>
        </w:rPr>
        <w:t xml:space="preserve">Comparison with other European </w:t>
      </w:r>
      <w:r w:rsidR="000C2140">
        <w:rPr>
          <w:szCs w:val="24"/>
        </w:rPr>
        <w:t xml:space="preserve">cohort studies shows that the </w:t>
      </w:r>
      <w:r w:rsidRPr="00EB650C">
        <w:rPr>
          <w:szCs w:val="24"/>
        </w:rPr>
        <w:t xml:space="preserve"> </w:t>
      </w:r>
      <w:r w:rsidR="000C2140" w:rsidRPr="000C2140">
        <w:rPr>
          <w:szCs w:val="24"/>
        </w:rPr>
        <w:t xml:space="preserve">high abundance and persistence of tetracycline resistance genes observed in our dataset is consistent with broader population-level trends </w:t>
      </w:r>
      <w:r w:rsidRPr="00EB650C">
        <w:rPr>
          <w:szCs w:val="24"/>
        </w:rPr>
        <w:fldChar w:fldCharType="begin"/>
      </w:r>
      <w:r w:rsidR="001C2A55">
        <w:rPr>
          <w:szCs w:val="24"/>
        </w:rPr>
        <w:instrText xml:space="preserve"> ADDIN ZOTERO_ITEM CSL_CITATION {"citationID":"ifVqKtzc","properties":{"formattedCitation":"(Boolchandani et al., 2022; X. Li et al., 2023; Sinha et al., 2018; Willmann et al., 2019)","plainCitation":"(Boolchandani et al., 2022; X. Li et al., 2023; Sinha et al., 2018; Willmann et al., 2019)","noteIndex":0},"citationItems":[{"id":2269,"uris":["http://zotero.org/users/8873894/items/9PEDGFEH"],"itemData":{"id":2269,"type":"article-journal","abstract":"International travel contributes to the global spread of antimicrobial resistance. Travelers’ diarrhea exacerbates the risk of acquiring multidrug-resistant organisms and can lead to persistent gastrointestinal disturbance post-travel. However, little is known about the impact of diarrhea on travelers’ gut microbiomes, and the dynamics of these changes throughout travel. Here, we assembled a cohort of 159 international students visiting the Andean city of Cusco, Peru and applied next-generation sequencing techniques to 718 longitudinally-collected stool samples. We find that gut microbiome composition changed significantly throughout travel, but taxonomic diversity remained stable. However, diarrhea disrupted this stability and resulted in an increased abundance of antimicrobial resistance genes that can remain high for weeks. We also identified taxa differentially abundant between diarrheal and non-diarrheal samples, which were used to develop a classification model that distinguishes between these disease states. Additionally, we sequenced the genomes of 212 diarrheagenic Escherichia coli isolates and found those from travelers who experienced diarrhea encoded more antimicrobial resistance genes than those who did not. In this work, we find the gut microbiomes of international travelers’ are resilient to dysbiosis; however, they are also susceptible to colonization by multidrug-resistant bacteria, a risk that is more pronounced in travelers with diarrhea.","container-title":"Nature Communications","DOI":"10.1038/s41467-022-34862-w","ISSN":"2041-1723","issue":"1","journalAbbreviation":"Nat Commun","language":"en","license":"2022 The Author(s)","note":"number: 1","page":"7485","publisher":"Nature Publishing Group","source":"www.nature.com","title":"Impact of international travel and diarrhea on gut microbiome and resistome dynamics","volume":"13","author":[{"family":"Boolchandani","given":"Manish"},{"family":"Blake","given":"Kevin S."},{"family":"Tilley","given":"Drake H."},{"family":"Cabada","given":"Miguel M."},{"family":"Schwartz","given":"Drew J."},{"family":"Patel","given":"Sanket"},{"family":"Morales","given":"Maria Luisa"},{"family":"Meza","given":"Rina"},{"family":"Soto","given":"Giselle"},{"family":"Isidean","given":"Sandra D."},{"family":"Porter","given":"Chad K."},{"family":"Simons","given":"Mark P."},{"family":"Dantas","given":"Gautam"}],"issued":{"date-parts":[["2022",12,5]]}}},{"id":3429,"uris":["http://zotero.org/users/8873894/items/V5ETH9ZX"],"itemData":{"id":3429,"type":"article-journal","abstract":"Despite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Johannes"}],"issued":{"date-parts":[["2023",12,22]]}}},{"id":721,"uris":["http://zotero.org/users/8873894/items/KV49XZWB"],"itemData":{"id":721,"type":"article-journal","abstract":"Several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id":156,"uris":["http://zotero.org/users/8873894/items/AQV4MRN2"],"itemData":{"id":156,"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EB650C">
        <w:rPr>
          <w:szCs w:val="24"/>
        </w:rPr>
        <w:fldChar w:fldCharType="separate"/>
      </w:r>
      <w:r w:rsidRPr="00EB650C">
        <w:rPr>
          <w:szCs w:val="24"/>
        </w:rPr>
        <w:t>(Boolchandani et al., 2022; X. Li et al., 2023; Sinha et al., 2018; Willmann et al., 2019)</w:t>
      </w:r>
      <w:r w:rsidRPr="00EB650C">
        <w:rPr>
          <w:szCs w:val="24"/>
        </w:rPr>
        <w:fldChar w:fldCharType="end"/>
      </w:r>
      <w:r w:rsidRPr="00EB650C">
        <w:rPr>
          <w:szCs w:val="24"/>
        </w:rPr>
        <w:t xml:space="preserve">. As </w:t>
      </w:r>
      <w:r w:rsidRPr="00EB650C">
        <w:rPr>
          <w:szCs w:val="24"/>
        </w:rPr>
        <w:lastRenderedPageBreak/>
        <w:t>this is the first study of</w:t>
      </w:r>
      <w:r w:rsidR="005F1300">
        <w:rPr>
          <w:szCs w:val="24"/>
        </w:rPr>
        <w:t xml:space="preserve"> the</w:t>
      </w:r>
      <w:r w:rsidRPr="00EB650C">
        <w:rPr>
          <w:szCs w:val="24"/>
        </w:rPr>
        <w:t xml:space="preserve"> human gut resistome </w:t>
      </w:r>
      <w:r w:rsidR="005F1300">
        <w:rPr>
          <w:szCs w:val="24"/>
        </w:rPr>
        <w:t>in the</w:t>
      </w:r>
      <w:r w:rsidRPr="00EB650C">
        <w:rPr>
          <w:szCs w:val="24"/>
        </w:rPr>
        <w:t xml:space="preserve"> Slovenian population, </w:t>
      </w:r>
      <w:r w:rsidR="000C2140" w:rsidRPr="000C2140">
        <w:rPr>
          <w:szCs w:val="24"/>
        </w:rPr>
        <w:t>comprehensive comparisons are limited</w:t>
      </w:r>
      <w:r w:rsidR="000C2140">
        <w:rPr>
          <w:szCs w:val="24"/>
        </w:rPr>
        <w:t>. However,</w:t>
      </w:r>
      <w:r w:rsidRPr="00EB650C">
        <w:rPr>
          <w:szCs w:val="24"/>
        </w:rPr>
        <w:t xml:space="preserve"> there </w:t>
      </w:r>
      <w:r w:rsidR="005F1300">
        <w:rPr>
          <w:szCs w:val="24"/>
        </w:rPr>
        <w:t>is</w:t>
      </w:r>
      <w:r w:rsidRPr="00EB650C">
        <w:rPr>
          <w:szCs w:val="24"/>
        </w:rPr>
        <w:t xml:space="preserve"> information on clinically important resistance genes present in nosocomial infections, rivers</w:t>
      </w:r>
      <w:r w:rsidR="005F1300">
        <w:rPr>
          <w:szCs w:val="24"/>
        </w:rPr>
        <w:t>,</w:t>
      </w:r>
      <w:r w:rsidRPr="00EB650C">
        <w:rPr>
          <w:szCs w:val="24"/>
        </w:rPr>
        <w:t xml:space="preserve"> and wastewaters </w:t>
      </w:r>
      <w:r w:rsidRPr="00EB650C">
        <w:rPr>
          <w:szCs w:val="24"/>
        </w:rPr>
        <w:fldChar w:fldCharType="begin"/>
      </w:r>
      <w:r w:rsidR="001C2A55">
        <w:rPr>
          <w:szCs w:val="24"/>
        </w:rPr>
        <w:instrText xml:space="preserve"> ADDIN ZOTERO_ITEM CSL_CITATION {"citationID":"xuz6YZZi","properties":{"formattedCitation":"(Maric et al., 2025; {\\i{}Slovenia}, n.d.)","plainCitation":"(Maric et al., 2025; Slovenia, n.d.)","noteIndex":0},"citationItems":[{"id":3484,"uris":["http://zotero.org/users/8873894/items/4F5RD4JR"],"itemData":{"id":3484,"type":"article-journal","abstract":"Extended-spectrum beta-lactamase (ESBL)-producing Escherichia coli is a critical antimicrobial-resistant pathogen. While well-studied in humans and animals, its presence in the environment remains underexplored. This study analyses the genotypes and plasmid composition of ESBL-producing E. coli from human and environmental sources in Northeastern Slovenia. Freshwater and sediment samples were collected bimonthly during one year at ten sites, including rivers, lakes, and wastewater treatment plant (WWTP) influents. Human isolates were collected during the same period and geographic area. Whole-genome sequencing and bioinformatic analyses were conducted to evaluate genetic relatedness, antimicrobial resistance genes, and plasmid composition. Among 414 sequenced isolates (230 human, 184 environmental), 108 multilocus sequence types (MLST-ST) were identified, with 20 STs shared between sources. Core-genome MLST (cgMLST) revealed 59 clonal clusters, six of which included both human and environmental isolates. The dominant ESBL gene was bla CTX-M-15 (59 % of all ESBL isolates), and 54 % of all ESBL isolates carried ESBL genes on plasmids. Plasmid cluster AA474, found across different sources, STs, and locations, was linked to multiple ESBL genes, suggesting a key role in resistance dissemination. Despite shared STs, ESBL genes, and plasmids between humans and the environment, cgMLST analysis indicated limited clonal spread. This suggest that transmission between humans and the environment remains restricted and is more often linked to spread of plasmids than of strains.","container-title":"Current Research in Microbial Sciences","DOI":"10.1016/j.crmicr.2025.100408","ISSN":"2666-5174","journalAbbreviation":"Curr Res Microb Sci","language":"eng","page":"100408","PMID":"40511295","PMCID":"PMC12158563","source":"PubMed","title":"Limited clonality but widespread plasmid sharing of ESBL-producing E. coli between humans and the environment of northeastern Slovenia","volume":"9","author":[{"family":"Maric","given":"Leon"},{"family":"Janezic","given":"Sandra"},{"family":"Coia","given":"Camilla Wiuff"},{"family":"Roer","given":"Louise"},{"family":"Rupnik","given":"Maja"}],"issued":{"date-parts":[["2025"]]}}},{"id":3338,"uris":["http://zotero.org/users/8873894/items/SANUWPD5"],"itemData":{"id":3338,"type":"webpage","abstract":"2019-2024","language":"en","title":"Slovenia: National One Health strategy for the management of microbial resistance 2019-2024 (Slovenian)","title-short":"Slovenia","URL":"https://www.who.int/publications/m/item/slovenia-national-one-health-strategy-for-the-management-of-microbial-resistance-2019-2024","accessed":{"date-parts":[["2026",1,19]]}}}],"schema":"https://github.com/citation-style-language/schema/raw/master/csl-citation.json"} </w:instrText>
      </w:r>
      <w:r w:rsidRPr="00EB650C">
        <w:rPr>
          <w:szCs w:val="24"/>
        </w:rPr>
        <w:fldChar w:fldCharType="separate"/>
      </w:r>
      <w:r w:rsidRPr="00EB650C">
        <w:rPr>
          <w:szCs w:val="24"/>
        </w:rPr>
        <w:t xml:space="preserve">(Maric et al., 2025; </w:t>
      </w:r>
      <w:r w:rsidRPr="00EB650C">
        <w:rPr>
          <w:i/>
          <w:iCs/>
          <w:szCs w:val="24"/>
        </w:rPr>
        <w:t>Slovenia</w:t>
      </w:r>
      <w:r w:rsidRPr="00EB650C">
        <w:rPr>
          <w:szCs w:val="24"/>
        </w:rPr>
        <w:t>, n.d.)</w:t>
      </w:r>
      <w:r w:rsidRPr="00EB650C">
        <w:rPr>
          <w:szCs w:val="24"/>
        </w:rPr>
        <w:fldChar w:fldCharType="end"/>
      </w:r>
      <w:r w:rsidRPr="00EB650C">
        <w:rPr>
          <w:szCs w:val="24"/>
        </w:rPr>
        <w:t xml:space="preserve">. Notably, clinically important carbapenem and beta-lactam genes prevalent in Slovenia were absent in the gut of our healthy participants, </w:t>
      </w:r>
      <w:r w:rsidR="005F1300" w:rsidRPr="00EB650C">
        <w:rPr>
          <w:szCs w:val="24"/>
        </w:rPr>
        <w:t>except for</w:t>
      </w:r>
      <w:r w:rsidRPr="00EB650C">
        <w:rPr>
          <w:szCs w:val="24"/>
        </w:rPr>
        <w:t xml:space="preserve"> </w:t>
      </w:r>
      <w:r w:rsidRPr="00EB650C">
        <w:rPr>
          <w:i/>
          <w:iCs/>
          <w:szCs w:val="24"/>
        </w:rPr>
        <w:t>bla</w:t>
      </w:r>
      <w:r w:rsidRPr="00EB650C">
        <w:rPr>
          <w:szCs w:val="24"/>
          <w:vertAlign w:val="subscript"/>
        </w:rPr>
        <w:t>CTX-M1</w:t>
      </w:r>
      <w:r w:rsidR="005F1300">
        <w:rPr>
          <w:szCs w:val="24"/>
        </w:rPr>
        <w:t>,</w:t>
      </w:r>
      <w:r w:rsidRPr="00EB650C">
        <w:rPr>
          <w:szCs w:val="24"/>
        </w:rPr>
        <w:t xml:space="preserve"> found at very low abundance in a single individual (I). </w:t>
      </w:r>
    </w:p>
    <w:p w14:paraId="5391A23F" w14:textId="34B9A813" w:rsidR="0056434F" w:rsidRPr="00EB650C" w:rsidRDefault="0056434F" w:rsidP="00EB650C">
      <w:pPr>
        <w:rPr>
          <w:szCs w:val="24"/>
        </w:rPr>
      </w:pPr>
      <w:r w:rsidRPr="00EB650C">
        <w:rPr>
          <w:szCs w:val="24"/>
        </w:rPr>
        <w:t xml:space="preserve">ARGs </w:t>
      </w:r>
      <w:r w:rsidR="000C2140">
        <w:rPr>
          <w:szCs w:val="24"/>
        </w:rPr>
        <w:t xml:space="preserve">were most abundant </w:t>
      </w:r>
      <w:r w:rsidRPr="00EB650C">
        <w:rPr>
          <w:szCs w:val="24"/>
        </w:rPr>
        <w:t xml:space="preserve">in </w:t>
      </w:r>
      <w:r w:rsidR="005F1300">
        <w:rPr>
          <w:szCs w:val="24"/>
        </w:rPr>
        <w:t xml:space="preserve">the </w:t>
      </w:r>
      <w:r w:rsidRPr="00EB650C">
        <w:rPr>
          <w:szCs w:val="24"/>
        </w:rPr>
        <w:t xml:space="preserve">phylum </w:t>
      </w:r>
      <w:r w:rsidR="005F1300">
        <w:rPr>
          <w:i/>
          <w:iCs/>
          <w:szCs w:val="24"/>
        </w:rPr>
        <w:t>Bacillota</w:t>
      </w:r>
      <w:r w:rsidRPr="00EB650C">
        <w:rPr>
          <w:szCs w:val="24"/>
        </w:rPr>
        <w:t xml:space="preserve">, followed by </w:t>
      </w:r>
      <w:r w:rsidR="005F1300">
        <w:rPr>
          <w:i/>
          <w:iCs/>
          <w:szCs w:val="24"/>
        </w:rPr>
        <w:t>Bacteriodata</w:t>
      </w:r>
      <w:r w:rsidRPr="00EB650C">
        <w:rPr>
          <w:szCs w:val="24"/>
        </w:rPr>
        <w:t xml:space="preserve">, </w:t>
      </w:r>
      <w:r w:rsidR="000C2140">
        <w:rPr>
          <w:szCs w:val="24"/>
        </w:rPr>
        <w:t>and</w:t>
      </w:r>
      <w:r w:rsidRPr="00EB650C">
        <w:rPr>
          <w:szCs w:val="24"/>
        </w:rPr>
        <w:t xml:space="preserve"> </w:t>
      </w:r>
      <w:r w:rsidRPr="000C2140">
        <w:rPr>
          <w:i/>
          <w:iCs/>
          <w:szCs w:val="24"/>
        </w:rPr>
        <w:t>Pseudomonadota</w:t>
      </w:r>
      <w:r w:rsidR="000C2140">
        <w:rPr>
          <w:szCs w:val="24"/>
        </w:rPr>
        <w:t xml:space="preserve">, in contrast to </w:t>
      </w:r>
      <w:r w:rsidRPr="000C2140">
        <w:rPr>
          <w:szCs w:val="24"/>
        </w:rPr>
        <w:t>other</w:t>
      </w:r>
      <w:r w:rsidRPr="00EB650C">
        <w:rPr>
          <w:szCs w:val="24"/>
        </w:rPr>
        <w:t xml:space="preserve"> studies</w:t>
      </w:r>
      <w:r w:rsidR="001F1052">
        <w:rPr>
          <w:szCs w:val="24"/>
        </w:rPr>
        <w:t>, which report</w:t>
      </w:r>
      <w:r w:rsidRPr="00EB650C">
        <w:rPr>
          <w:szCs w:val="24"/>
        </w:rPr>
        <w:t xml:space="preserve"> </w:t>
      </w:r>
      <w:r w:rsidRPr="00EB650C">
        <w:rPr>
          <w:i/>
          <w:iCs/>
          <w:szCs w:val="24"/>
        </w:rPr>
        <w:t>Pseudomonadota</w:t>
      </w:r>
      <w:r w:rsidR="001F1052">
        <w:rPr>
          <w:szCs w:val="24"/>
        </w:rPr>
        <w:t>,</w:t>
      </w:r>
      <w:r w:rsidRPr="00EB650C">
        <w:rPr>
          <w:i/>
          <w:iCs/>
          <w:szCs w:val="24"/>
        </w:rPr>
        <w:t xml:space="preserve"> </w:t>
      </w:r>
      <w:r w:rsidRPr="00EB650C">
        <w:rPr>
          <w:szCs w:val="24"/>
        </w:rPr>
        <w:t>specifically</w:t>
      </w:r>
      <w:r w:rsidRPr="00EB650C">
        <w:rPr>
          <w:i/>
          <w:iCs/>
          <w:szCs w:val="24"/>
        </w:rPr>
        <w:t xml:space="preserve"> Escherichia coli</w:t>
      </w:r>
      <w:r w:rsidR="001F1052">
        <w:rPr>
          <w:szCs w:val="24"/>
        </w:rPr>
        <w:t>,</w:t>
      </w:r>
      <w:r w:rsidRPr="00EB650C">
        <w:rPr>
          <w:i/>
          <w:iCs/>
          <w:szCs w:val="24"/>
        </w:rPr>
        <w:t xml:space="preserve"> </w:t>
      </w:r>
      <w:r w:rsidRPr="00EB650C">
        <w:rPr>
          <w:szCs w:val="24"/>
        </w:rPr>
        <w:t xml:space="preserve">as the largest contributor </w:t>
      </w:r>
      <w:r w:rsidR="001F1052">
        <w:rPr>
          <w:szCs w:val="24"/>
        </w:rPr>
        <w:t>to</w:t>
      </w:r>
      <w:r w:rsidRPr="00EB650C">
        <w:rPr>
          <w:szCs w:val="24"/>
        </w:rPr>
        <w:t xml:space="preserve"> ARG abundance in the human gut, followed by </w:t>
      </w:r>
      <w:r w:rsidR="001F1052">
        <w:rPr>
          <w:szCs w:val="24"/>
        </w:rPr>
        <w:t xml:space="preserve">members of the phylum </w:t>
      </w:r>
      <w:r w:rsidRPr="00EB650C">
        <w:rPr>
          <w:i/>
          <w:iCs/>
          <w:szCs w:val="24"/>
        </w:rPr>
        <w:t>Bacteroidota</w:t>
      </w:r>
      <w:r w:rsidRPr="00EB650C">
        <w:rPr>
          <w:szCs w:val="24"/>
        </w:rPr>
        <w:t xml:space="preserve"> </w:t>
      </w:r>
      <w:r w:rsidRPr="00EB650C">
        <w:rPr>
          <w:szCs w:val="24"/>
        </w:rPr>
        <w:fldChar w:fldCharType="begin"/>
      </w:r>
      <w:r w:rsidR="001C2A55">
        <w:rPr>
          <w:szCs w:val="24"/>
        </w:rPr>
        <w:instrText xml:space="preserve"> ADDIN ZOTERO_ITEM CSL_CITATION {"citationID":"wXTAO0LX","properties":{"formattedCitation":"(X. Li et al., 2023; Sinha et al., 2018)","plainCitation":"(X. Li et al., 2023; Sinha et al., 2018)","noteIndex":0},"citationItems":[{"id":3429,"uris":["http://zotero.org/users/8873894/items/V5ETH9ZX"],"itemData":{"id":3429,"type":"article-journal","abstract":"Despite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Johannes"}],"issued":{"date-parts":[["2023",12,22]]}}},{"id":721,"uris":["http://zotero.org/users/8873894/items/KV49XZWB"],"itemData":{"id":721,"type":"article-journal","abstract":"Several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schema":"https://github.com/citation-style-language/schema/raw/master/csl-citation.json"} </w:instrText>
      </w:r>
      <w:r w:rsidRPr="00EB650C">
        <w:rPr>
          <w:szCs w:val="24"/>
        </w:rPr>
        <w:fldChar w:fldCharType="separate"/>
      </w:r>
      <w:r w:rsidRPr="00EB650C">
        <w:rPr>
          <w:szCs w:val="24"/>
        </w:rPr>
        <w:t>(X. Li et al., 2023; Sinha et al., 2018)</w:t>
      </w:r>
      <w:r w:rsidRPr="00EB650C">
        <w:rPr>
          <w:szCs w:val="24"/>
        </w:rPr>
        <w:fldChar w:fldCharType="end"/>
      </w:r>
      <w:r w:rsidRPr="00EB650C">
        <w:rPr>
          <w:szCs w:val="24"/>
        </w:rPr>
        <w:t xml:space="preserve">. </w:t>
      </w:r>
      <w:r w:rsidR="000C2140">
        <w:rPr>
          <w:szCs w:val="24"/>
        </w:rPr>
        <w:t xml:space="preserve">While ARG diversity was most prevalent in phylum </w:t>
      </w:r>
      <w:r w:rsidR="000C2140">
        <w:rPr>
          <w:i/>
          <w:iCs/>
          <w:szCs w:val="24"/>
        </w:rPr>
        <w:t>Bacillota</w:t>
      </w:r>
      <w:r w:rsidR="000C2140">
        <w:rPr>
          <w:szCs w:val="24"/>
        </w:rPr>
        <w:t xml:space="preserve"> followed by </w:t>
      </w:r>
      <w:r w:rsidR="000C2140">
        <w:rPr>
          <w:i/>
          <w:iCs/>
          <w:szCs w:val="24"/>
        </w:rPr>
        <w:t>Pseudomonadota</w:t>
      </w:r>
      <w:r w:rsidR="000C2140">
        <w:rPr>
          <w:szCs w:val="24"/>
        </w:rPr>
        <w:t xml:space="preserve">. </w:t>
      </w:r>
      <w:r w:rsidR="006F3169">
        <w:rPr>
          <w:szCs w:val="24"/>
        </w:rPr>
        <w:t>A substantial number of ARGs were present on contigs without taxonomic classification, which could be improved if bins and not contigs would be used for detection of ARGs . D</w:t>
      </w:r>
      <w:r w:rsidRPr="00EB650C">
        <w:rPr>
          <w:szCs w:val="24"/>
        </w:rPr>
        <w:t>epending on the quality of assembly</w:t>
      </w:r>
      <w:r w:rsidR="001F1052">
        <w:rPr>
          <w:szCs w:val="24"/>
        </w:rPr>
        <w:t>,</w:t>
      </w:r>
      <w:r w:rsidRPr="00EB650C">
        <w:rPr>
          <w:szCs w:val="24"/>
        </w:rPr>
        <w:t xml:space="preserve"> taxonomic classification could have been improved and </w:t>
      </w:r>
      <w:r w:rsidR="006F3169">
        <w:rPr>
          <w:szCs w:val="24"/>
        </w:rPr>
        <w:t>achieved</w:t>
      </w:r>
      <w:r w:rsidRPr="00EB650C">
        <w:rPr>
          <w:szCs w:val="24"/>
        </w:rPr>
        <w:t xml:space="preserve"> higher resolution </w:t>
      </w:r>
      <w:r w:rsidRPr="00EB650C">
        <w:rPr>
          <w:szCs w:val="24"/>
        </w:rPr>
        <w:fldChar w:fldCharType="begin"/>
      </w:r>
      <w:r w:rsidR="001C2A55">
        <w:rPr>
          <w:szCs w:val="24"/>
        </w:rPr>
        <w:instrText xml:space="preserve"> ADDIN ZOTERO_ITEM CSL_CITATION {"citationID":"ChHU0Ao0","properties":{"formattedCitation":"(Ho et al., 2020)","plainCitation":"(Ho et al., 2020)","noteIndex":0},"citationItems":[{"id":3449,"uris":["http://zotero.org/users/8873894/items/EBF6AJTG"],"itemData":{"id":3449,"type":"article-journal","abstract":"In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EB650C">
        <w:rPr>
          <w:szCs w:val="24"/>
        </w:rPr>
        <w:fldChar w:fldCharType="separate"/>
      </w:r>
      <w:r w:rsidRPr="00EB650C">
        <w:rPr>
          <w:szCs w:val="24"/>
        </w:rPr>
        <w:t>(Ho et al., 2020)</w:t>
      </w:r>
      <w:r w:rsidRPr="00EB650C">
        <w:rPr>
          <w:szCs w:val="24"/>
        </w:rPr>
        <w:fldChar w:fldCharType="end"/>
      </w:r>
      <w:r w:rsidRPr="00EB650C">
        <w:rPr>
          <w:szCs w:val="24"/>
        </w:rPr>
        <w:t xml:space="preserve">. </w:t>
      </w:r>
    </w:p>
    <w:p w14:paraId="6C78DC89" w14:textId="183A6926" w:rsidR="00FA10E7" w:rsidRDefault="0056434F" w:rsidP="00EE7A62">
      <w:pPr>
        <w:rPr>
          <w:rFonts w:cs="Times New Roman"/>
        </w:rPr>
      </w:pPr>
      <w:r w:rsidRPr="00D93D74">
        <w:rPr>
          <w:rFonts w:cs="Times New Roman"/>
        </w:rPr>
        <w:t xml:space="preserve">Reduced microbial diversity </w:t>
      </w:r>
      <w:r w:rsidR="006F3169" w:rsidRPr="006F3169">
        <w:rPr>
          <w:rFonts w:cs="Times New Roman"/>
        </w:rPr>
        <w:t xml:space="preserve">has been proposed to facilitate the proliferation and horizontal transfer of resistance genes by simplifying community structure and opening ecological niches for resistant taxa </w:t>
      </w:r>
      <w:r w:rsidR="00B772B8">
        <w:rPr>
          <w:rFonts w:cs="Times New Roman"/>
        </w:rPr>
        <w:fldChar w:fldCharType="begin"/>
      </w:r>
      <w:r w:rsidR="001C2A55">
        <w:rPr>
          <w:rFonts w:cs="Times New Roman"/>
        </w:rPr>
        <w:instrText xml:space="preserve"> ADDIN ZOTERO_ITEM CSL_CITATION {"citationID":"4NQ5VE8G","properties":{"formattedCitation":"(Willmann et al., 2019)","plainCitation":"(Willmann et al., 2019)","noteIndex":0},"citationItems":[{"id":156,"uris":["http://zotero.org/users/8873894/items/AQV4MRN2"],"itemData":{"id":156,"type":"article-journal","abstract":"BACKGROUND: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00B772B8">
        <w:rPr>
          <w:rFonts w:cs="Times New Roman"/>
        </w:rPr>
        <w:fldChar w:fldCharType="separate"/>
      </w:r>
      <w:r w:rsidR="00B772B8" w:rsidRPr="00B772B8">
        <w:rPr>
          <w:rFonts w:cs="Times New Roman"/>
        </w:rPr>
        <w:t>(Willmann et al., 2019)</w:t>
      </w:r>
      <w:r w:rsidR="00B772B8">
        <w:rPr>
          <w:rFonts w:cs="Times New Roman"/>
        </w:rPr>
        <w:fldChar w:fldCharType="end"/>
      </w:r>
      <w:r w:rsidRPr="00D93D74">
        <w:rPr>
          <w:rFonts w:cs="Times New Roman"/>
        </w:rPr>
        <w:t xml:space="preserve">. </w:t>
      </w:r>
      <w:r w:rsidR="00B772B8">
        <w:rPr>
          <w:rFonts w:cs="Times New Roman"/>
        </w:rPr>
        <w:t>In our study</w:t>
      </w:r>
      <w:r w:rsidR="001F1052">
        <w:rPr>
          <w:rFonts w:cs="Times New Roman"/>
        </w:rPr>
        <w:t>,</w:t>
      </w:r>
      <w:r w:rsidR="00B772B8">
        <w:rPr>
          <w:rFonts w:cs="Times New Roman"/>
        </w:rPr>
        <w:t xml:space="preserve"> we </w:t>
      </w:r>
      <w:r w:rsidR="006F3169" w:rsidRPr="006F3169">
        <w:rPr>
          <w:rFonts w:cs="Times New Roman"/>
        </w:rPr>
        <w:t>hypothesised that lower bacterial diversity would correlate with increased ARG diversity</w:t>
      </w:r>
      <w:r w:rsidR="006F3169">
        <w:rPr>
          <w:rFonts w:cs="Times New Roman"/>
        </w:rPr>
        <w:t xml:space="preserve">. </w:t>
      </w:r>
      <w:r w:rsidR="00FA10E7" w:rsidRPr="00FA10E7">
        <w:rPr>
          <w:rFonts w:cs="Times New Roman"/>
        </w:rPr>
        <w:t xml:space="preserve">However, our data did not support this hypothesis, as no significant association was observed between bacterial diversity and ARG diversity over time. </w:t>
      </w:r>
    </w:p>
    <w:p w14:paraId="174A4A66" w14:textId="1AD9D765" w:rsidR="0056434F" w:rsidRDefault="00FA10E7" w:rsidP="009972F0">
      <w:r>
        <w:rPr>
          <w:rFonts w:cs="Times New Roman"/>
        </w:rPr>
        <w:t>Instead, we identified class-specific relationships between bacterial diversity and abundance of ARGs. A</w:t>
      </w:r>
      <w:r w:rsidR="00B772B8">
        <w:rPr>
          <w:rFonts w:cs="Times New Roman"/>
        </w:rPr>
        <w:t xml:space="preserve"> negative association </w:t>
      </w:r>
      <w:r>
        <w:rPr>
          <w:rFonts w:cs="Times New Roman"/>
        </w:rPr>
        <w:t xml:space="preserve">was observed </w:t>
      </w:r>
      <w:r w:rsidR="00B772B8">
        <w:rPr>
          <w:rFonts w:cs="Times New Roman"/>
        </w:rPr>
        <w:t xml:space="preserve">between bacterial </w:t>
      </w:r>
      <w:r>
        <w:rPr>
          <w:rFonts w:cs="Times New Roman"/>
        </w:rPr>
        <w:t>diversity</w:t>
      </w:r>
      <w:r w:rsidR="00B772B8">
        <w:rPr>
          <w:rFonts w:cs="Times New Roman"/>
        </w:rPr>
        <w:t xml:space="preserve"> and </w:t>
      </w:r>
      <w:r>
        <w:rPr>
          <w:rFonts w:cs="Times New Roman"/>
        </w:rPr>
        <w:t>abundance of ARGs in</w:t>
      </w:r>
      <w:r w:rsidR="001F1052">
        <w:rPr>
          <w:rFonts w:cs="Times New Roman"/>
        </w:rPr>
        <w:t xml:space="preserve"> </w:t>
      </w:r>
      <w:r w:rsidR="00B772B8">
        <w:rPr>
          <w:rFonts w:cs="Times New Roman"/>
        </w:rPr>
        <w:t>MLS class</w:t>
      </w:r>
      <w:r w:rsidR="001F1052">
        <w:rPr>
          <w:rFonts w:cs="Times New Roman"/>
        </w:rPr>
        <w:t>,</w:t>
      </w:r>
      <w:r w:rsidR="00B772B8">
        <w:rPr>
          <w:rFonts w:cs="Times New Roman"/>
        </w:rPr>
        <w:t xml:space="preserve"> and </w:t>
      </w:r>
      <w:r w:rsidR="001F1052">
        <w:rPr>
          <w:rFonts w:cs="Times New Roman"/>
        </w:rPr>
        <w:t xml:space="preserve">a </w:t>
      </w:r>
      <w:r w:rsidR="00B772B8">
        <w:rPr>
          <w:rFonts w:cs="Times New Roman"/>
        </w:rPr>
        <w:t>positive association for</w:t>
      </w:r>
      <w:r w:rsidR="001F1052">
        <w:rPr>
          <w:rFonts w:cs="Times New Roman"/>
        </w:rPr>
        <w:t xml:space="preserve"> the</w:t>
      </w:r>
      <w:r w:rsidR="00B772B8">
        <w:rPr>
          <w:rFonts w:cs="Times New Roman"/>
        </w:rPr>
        <w:t xml:space="preserve"> macrolide and trimethoprim</w:t>
      </w:r>
      <w:r w:rsidR="001F1052">
        <w:rPr>
          <w:rFonts w:cs="Times New Roman"/>
        </w:rPr>
        <w:t xml:space="preserve"> classes</w:t>
      </w:r>
      <w:r w:rsidR="00B772B8">
        <w:rPr>
          <w:rFonts w:cs="Times New Roman"/>
        </w:rPr>
        <w:t>.</w:t>
      </w:r>
      <w:r w:rsidR="001F1052">
        <w:rPr>
          <w:rFonts w:cs="Times New Roman"/>
        </w:rPr>
        <w:t xml:space="preserve"> </w:t>
      </w:r>
      <w:r w:rsidRPr="00FA10E7">
        <w:rPr>
          <w:rFonts w:cs="Times New Roman"/>
        </w:rPr>
        <w:t>These findings suggest that reductions in bacterial abundance may selectively influence certain resistance classes, rather than driving a broad increase in resistome diversity.</w:t>
      </w:r>
    </w:p>
    <w:p w14:paraId="7A999F7E" w14:textId="77777777" w:rsidR="0056434F" w:rsidRPr="00D93D74" w:rsidRDefault="0056434F" w:rsidP="009972F0"/>
    <w:p w14:paraId="420C1975" w14:textId="39FED02E" w:rsidR="009972F0" w:rsidRPr="00D93D74" w:rsidRDefault="009972F0">
      <w:pPr>
        <w:pStyle w:val="Naslov2"/>
        <w:numPr>
          <w:ilvl w:val="1"/>
          <w:numId w:val="5"/>
        </w:numPr>
      </w:pPr>
      <w:bookmarkStart w:id="1204" w:name="_Toc220932890"/>
      <w:bookmarkStart w:id="1205" w:name="_Toc228252060"/>
      <w:r w:rsidRPr="00D93D74">
        <w:t xml:space="preserve">INDIVIDUAL-SPECIFIC POPULATION GENETIC ANALYSIS </w:t>
      </w:r>
      <w:r w:rsidR="003314EC">
        <w:t>ON THE ISOLATED</w:t>
      </w:r>
      <w:r w:rsidR="003314EC" w:rsidRPr="00D93D74">
        <w:t xml:space="preserve"> </w:t>
      </w:r>
      <w:r w:rsidRPr="00D93D74">
        <w:t>SPORE-FORMING SPECIES</w:t>
      </w:r>
      <w:bookmarkEnd w:id="1204"/>
      <w:r w:rsidR="00BE1C36">
        <w:t xml:space="preserve"> (GOAL 2)</w:t>
      </w:r>
      <w:bookmarkEnd w:id="1205"/>
      <w:r w:rsidR="00BE1C36">
        <w:t xml:space="preserve"> </w:t>
      </w:r>
    </w:p>
    <w:p w14:paraId="774FFE41" w14:textId="0C3AA1F5" w:rsidR="001722C1" w:rsidRPr="001722C1" w:rsidRDefault="001722C1" w:rsidP="001722C1">
      <w:pPr>
        <w:rPr>
          <w:rFonts w:cs="Times New Roman"/>
          <w:szCs w:val="24"/>
        </w:rPr>
      </w:pPr>
      <w:r w:rsidRPr="001722C1">
        <w:rPr>
          <w:rFonts w:cs="Times New Roman"/>
          <w:szCs w:val="24"/>
        </w:rPr>
        <w:t>Integrating whole-genome sequencing of cultured isolates with metagenomic sequencing of stool samples enabled tracking of bacterial strains using both culture-dependent and culture-independent approaches.</w:t>
      </w:r>
      <w:r>
        <w:rPr>
          <w:rFonts w:cs="Times New Roman"/>
          <w:szCs w:val="24"/>
        </w:rPr>
        <w:t xml:space="preserve"> Offering a new perspective into the persistence of spore-forming bacteria in the human gut across six months encompassing</w:t>
      </w:r>
      <w:r w:rsidRPr="00A90451">
        <w:rPr>
          <w:rFonts w:cs="Times New Roman"/>
          <w:szCs w:val="24"/>
        </w:rPr>
        <w:t xml:space="preserve"> </w:t>
      </w:r>
      <w:r>
        <w:rPr>
          <w:rFonts w:cs="Times New Roman"/>
          <w:szCs w:val="24"/>
        </w:rPr>
        <w:t xml:space="preserve">antibiotic treatment. </w:t>
      </w:r>
      <w:r w:rsidRPr="001722C1">
        <w:rPr>
          <w:rFonts w:cs="Times New Roman"/>
          <w:szCs w:val="24"/>
        </w:rPr>
        <w:t xml:space="preserve"> </w:t>
      </w:r>
    </w:p>
    <w:p w14:paraId="3A6847F4" w14:textId="6E568472" w:rsidR="001722C1" w:rsidRPr="00A90451" w:rsidRDefault="001722C1" w:rsidP="001722C1">
      <w:pPr>
        <w:rPr>
          <w:rFonts w:cs="Times New Roman"/>
          <w:szCs w:val="24"/>
        </w:rPr>
      </w:pPr>
      <w:r w:rsidRPr="00A90451">
        <w:rPr>
          <w:rFonts w:cs="Times New Roman"/>
          <w:szCs w:val="24"/>
        </w:rPr>
        <w:t xml:space="preserve">We </w:t>
      </w:r>
      <w:r>
        <w:rPr>
          <w:rFonts w:cs="Times New Roman"/>
          <w:szCs w:val="24"/>
        </w:rPr>
        <w:t>obtained</w:t>
      </w:r>
      <w:r w:rsidRPr="00A90451">
        <w:rPr>
          <w:rFonts w:cs="Times New Roman"/>
          <w:szCs w:val="24"/>
        </w:rPr>
        <w:t xml:space="preserve"> 87 </w:t>
      </w:r>
      <w:r>
        <w:rPr>
          <w:rFonts w:cs="Times New Roman"/>
          <w:szCs w:val="24"/>
        </w:rPr>
        <w:t>isolates</w:t>
      </w:r>
      <w:r w:rsidRPr="00A90451">
        <w:rPr>
          <w:rFonts w:cs="Times New Roman"/>
          <w:szCs w:val="24"/>
        </w:rPr>
        <w:t xml:space="preserve"> of </w:t>
      </w:r>
      <w:r>
        <w:rPr>
          <w:rFonts w:cs="Times New Roman"/>
          <w:i/>
          <w:iCs/>
          <w:szCs w:val="24"/>
        </w:rPr>
        <w:t>C.</w:t>
      </w:r>
      <w:r w:rsidRPr="00A90451">
        <w:rPr>
          <w:rFonts w:cs="Times New Roman"/>
          <w:i/>
          <w:iCs/>
          <w:szCs w:val="24"/>
        </w:rPr>
        <w:t xml:space="preserve"> saudiense</w:t>
      </w:r>
      <w:r w:rsidRPr="00A90451">
        <w:rPr>
          <w:rFonts w:cs="Times New Roman"/>
          <w:szCs w:val="24"/>
        </w:rPr>
        <w:t xml:space="preserve">, from three </w:t>
      </w:r>
      <w:r>
        <w:rPr>
          <w:rFonts w:cs="Times New Roman"/>
          <w:szCs w:val="24"/>
        </w:rPr>
        <w:t xml:space="preserve">longitudinal </w:t>
      </w:r>
      <w:r w:rsidRPr="00A90451">
        <w:rPr>
          <w:rFonts w:cs="Times New Roman"/>
          <w:szCs w:val="24"/>
        </w:rPr>
        <w:t>stool samples collected from a single individual before, during and</w:t>
      </w:r>
      <w:r>
        <w:rPr>
          <w:rFonts w:cs="Times New Roman"/>
          <w:szCs w:val="24"/>
        </w:rPr>
        <w:t xml:space="preserve"> after </w:t>
      </w:r>
      <w:r w:rsidRPr="00A90451">
        <w:rPr>
          <w:rFonts w:cs="Times New Roman"/>
          <w:szCs w:val="24"/>
        </w:rPr>
        <w:t>amoxicillin</w:t>
      </w:r>
      <w:r>
        <w:rPr>
          <w:rFonts w:cs="Times New Roman"/>
          <w:szCs w:val="24"/>
        </w:rPr>
        <w:t xml:space="preserve"> </w:t>
      </w:r>
      <w:r w:rsidRPr="00A90451">
        <w:rPr>
          <w:rFonts w:cs="Times New Roman"/>
          <w:szCs w:val="24"/>
        </w:rPr>
        <w:t xml:space="preserve">treatment. Spore-forming bacteria are </w:t>
      </w:r>
      <w:r>
        <w:rPr>
          <w:rFonts w:cs="Times New Roman"/>
          <w:szCs w:val="24"/>
        </w:rPr>
        <w:t xml:space="preserve">typically </w:t>
      </w:r>
      <w:r w:rsidRPr="00A90451">
        <w:rPr>
          <w:rFonts w:cs="Times New Roman"/>
          <w:szCs w:val="24"/>
        </w:rPr>
        <w:t xml:space="preserve">slow-growing, </w:t>
      </w:r>
      <w:r>
        <w:rPr>
          <w:rFonts w:cs="Times New Roman"/>
          <w:szCs w:val="24"/>
        </w:rPr>
        <w:t>however the use of nutrient-</w:t>
      </w:r>
      <w:r w:rsidRPr="00A90451">
        <w:rPr>
          <w:rFonts w:cs="Times New Roman"/>
          <w:szCs w:val="24"/>
        </w:rPr>
        <w:t xml:space="preserve">rich medium (WCAB) and short incubation </w:t>
      </w:r>
      <w:r>
        <w:rPr>
          <w:rFonts w:cs="Times New Roman"/>
          <w:szCs w:val="24"/>
        </w:rPr>
        <w:t>period</w:t>
      </w:r>
      <w:r w:rsidRPr="00A90451">
        <w:rPr>
          <w:rFonts w:cs="Times New Roman"/>
          <w:szCs w:val="24"/>
        </w:rPr>
        <w:t xml:space="preserve"> (48 </w:t>
      </w:r>
      <w:r>
        <w:rPr>
          <w:rFonts w:cs="Times New Roman"/>
          <w:szCs w:val="24"/>
        </w:rPr>
        <w:t>hours</w:t>
      </w:r>
      <w:r w:rsidRPr="00A90451">
        <w:rPr>
          <w:rFonts w:cs="Times New Roman"/>
          <w:szCs w:val="24"/>
        </w:rPr>
        <w:t xml:space="preserve">) </w:t>
      </w:r>
      <w:r>
        <w:rPr>
          <w:rFonts w:cs="Times New Roman"/>
          <w:szCs w:val="24"/>
        </w:rPr>
        <w:t>likely</w:t>
      </w:r>
      <w:r w:rsidRPr="00A90451">
        <w:rPr>
          <w:rFonts w:cs="Times New Roman"/>
          <w:szCs w:val="24"/>
        </w:rPr>
        <w:t xml:space="preserve"> select</w:t>
      </w:r>
      <w:r>
        <w:rPr>
          <w:rFonts w:cs="Times New Roman"/>
          <w:szCs w:val="24"/>
        </w:rPr>
        <w:t>ed</w:t>
      </w:r>
      <w:r w:rsidRPr="00A90451">
        <w:rPr>
          <w:rFonts w:cs="Times New Roman"/>
          <w:szCs w:val="24"/>
        </w:rPr>
        <w:t xml:space="preserve"> for species capable of rapid germination and vegetative </w:t>
      </w:r>
      <w:r>
        <w:rPr>
          <w:rFonts w:cs="Times New Roman"/>
          <w:szCs w:val="24"/>
        </w:rPr>
        <w:t>growth</w:t>
      </w:r>
      <w:r w:rsidRPr="00A90451">
        <w:rPr>
          <w:rFonts w:cs="Times New Roman"/>
          <w:szCs w:val="24"/>
        </w:rPr>
        <w:t xml:space="preserve"> </w:t>
      </w:r>
      <w:r w:rsidRPr="00A90451">
        <w:rPr>
          <w:rFonts w:cs="Times New Roman"/>
          <w:szCs w:val="24"/>
        </w:rPr>
        <w:fldChar w:fldCharType="begin"/>
      </w:r>
      <w:r w:rsidR="001C2A55">
        <w:rPr>
          <w:rFonts w:cs="Times New Roman"/>
          <w:szCs w:val="24"/>
        </w:rPr>
        <w:instrText xml:space="preserve"> ADDIN ZOTERO_ITEM CSL_CITATION {"citationID":"qfXcae00","properties":{"formattedCitation":"(Kapinusova et al., 2023; Setlow, 2019)","plainCitation":"(Kapinusova et al., 2023; Setlow, 2019)","noteIndex":0},"citationItems":[{"id":3439,"uris":["http://zotero.org/users/8873894/items/5KVFNNLL"],"itemData":{"id":3439,"type":"article-journal","abstract":"In terms of the number and diversity of living units, the prokaryotic empire is the most represented form of life on Earth, and yet it is still to a significant degree shrouded in darkness. This microbial “dark matter” hides a great deal of potential in terms of phylogenetically or metabolically diverse microorganisms, and thus it is important to acquire them in pure culture. However, do we know what microorganisms really need for their growth, and what the obstacles are to the cultivation of previously unidentified taxa? Here we review common and sometimes unexpected requirements of environmental microorganisms, especially soil-harbored bacteria, needed for their replication and cultivation. These requirements include resuscitation stimuli, physical and chemical factors aiding cultivation, growth factors, and co-cultivation in a laboratory and natural microbial neighborhood.","container-title":"Frontiers in Microbiology","DOI":"10.3389/fmicb.2023.1089630","ISSN":"1664-302X","journalAbbreviation":"Front Microbiol","page":"1089630","PMID":"36960281","PMCID":"PMC10027941","source":"PubMed Central","title":"Reaching unreachables: Obstacles and successes of microbial cultivation and their reasons","title-short":"Reaching unreachables","volume":"14","author":[{"family":"Kapinusova","given":"Gabriela"},{"family":"Lopez Marin","given":"Marco A."},{"family":"Uhlik","given":"Ondrej"}],"issued":{"date-parts":[["2023",3,7]]}}},{"id":116,"uris":["http://zotero.org/users/8873894/items/SNGZWQ3N"],"itemData":{"id":116,"type":"article-journal","abstract":"The purpose of this article is to highlight some areas of research with spores of bacteria of Firmicute species in which the methodology too commonly used is not optimal and generates misleading results. As a consequence, conclusions drawn from data obtained are often ﬂawed or not appropriate. Topics covered in the article include the following: (i) the importance of using well-puriﬁed bacterial spores in studies on spore resistance, composition, killing, disinfection and germination; (ii) methods for obtaining good puriﬁcation of spores of various species; (iii) appropriate experimental approaches to determine mechanisms of spore resistance and spore killing by a variety of agents, as well as known mechanisms of spore resistance and killing; (iv) common errors made in drawing conclusions about spore killing by various agents, including failure to neutralize chemical agents before plating for viable spore enumeration, and equating correlations between changes in spore properties accompanying spore killing with causation. It is hoped that a consideration of these topics will improve the quality of spore research going forward.","container-title":"Journal of Applied Microbiology","DOI":"10.1111/jam.14067","ISSN":"13645072","issue":"2","journalAbbreviation":"J Appl Microbiol","language":"en","page":"348-358","source":"DOI.org (Crossref)","title":"Observations on research with spores of Bacillales and Clostridiales species","volume":"126","author":[{"family":"Setlow","given":"Peter"}],"issued":{"date-parts":[["2019",2]]}}}],"schema":"https://github.com/citation-style-language/schema/raw/master/csl-citation.json"} </w:instrText>
      </w:r>
      <w:r w:rsidRPr="00A90451">
        <w:rPr>
          <w:rFonts w:cs="Times New Roman"/>
          <w:szCs w:val="24"/>
        </w:rPr>
        <w:fldChar w:fldCharType="separate"/>
      </w:r>
      <w:r w:rsidR="008E64BE" w:rsidRPr="008E64BE">
        <w:rPr>
          <w:rFonts w:cs="Times New Roman"/>
        </w:rPr>
        <w:t>(Kapinusova et al., 2023; Setlow, 2019)</w:t>
      </w:r>
      <w:r w:rsidRPr="00A90451">
        <w:rPr>
          <w:rFonts w:cs="Times New Roman"/>
          <w:szCs w:val="24"/>
        </w:rPr>
        <w:fldChar w:fldCharType="end"/>
      </w:r>
      <w:r w:rsidRPr="00A90451">
        <w:rPr>
          <w:rFonts w:cs="Times New Roman"/>
          <w:szCs w:val="24"/>
        </w:rPr>
        <w:t>. Of these, 42 strains were successfully sequenced</w:t>
      </w:r>
      <w:r>
        <w:rPr>
          <w:rFonts w:cs="Times New Roman"/>
          <w:szCs w:val="24"/>
        </w:rPr>
        <w:t xml:space="preserve">. </w:t>
      </w:r>
      <w:r w:rsidRPr="00A90451">
        <w:rPr>
          <w:rFonts w:cs="Times New Roman"/>
          <w:szCs w:val="24"/>
        </w:rPr>
        <w:t xml:space="preserve">The </w:t>
      </w:r>
      <w:r>
        <w:rPr>
          <w:rFonts w:cs="Times New Roman"/>
          <w:szCs w:val="24"/>
        </w:rPr>
        <w:lastRenderedPageBreak/>
        <w:t xml:space="preserve">discrepancy between </w:t>
      </w:r>
      <w:r w:rsidRPr="00A90451">
        <w:rPr>
          <w:rFonts w:cs="Times New Roman"/>
          <w:szCs w:val="24"/>
        </w:rPr>
        <w:t xml:space="preserve">isolated strains </w:t>
      </w:r>
      <w:r>
        <w:rPr>
          <w:rFonts w:cs="Times New Roman"/>
          <w:szCs w:val="24"/>
        </w:rPr>
        <w:t>and</w:t>
      </w:r>
      <w:r w:rsidRPr="00A90451">
        <w:rPr>
          <w:rFonts w:cs="Times New Roman"/>
          <w:szCs w:val="24"/>
        </w:rPr>
        <w:t xml:space="preserve"> sequenced strains </w:t>
      </w:r>
      <w:r>
        <w:rPr>
          <w:rFonts w:cs="Times New Roman"/>
          <w:szCs w:val="24"/>
        </w:rPr>
        <w:t>may be due</w:t>
      </w:r>
      <w:r w:rsidRPr="00A90451">
        <w:rPr>
          <w:rFonts w:cs="Times New Roman"/>
          <w:szCs w:val="24"/>
        </w:rPr>
        <w:t xml:space="preserve"> to unknown factors </w:t>
      </w:r>
      <w:r>
        <w:rPr>
          <w:rFonts w:cs="Times New Roman"/>
          <w:szCs w:val="24"/>
        </w:rPr>
        <w:t>in</w:t>
      </w:r>
      <w:r w:rsidRPr="00A90451">
        <w:rPr>
          <w:rFonts w:cs="Times New Roman"/>
          <w:szCs w:val="24"/>
        </w:rPr>
        <w:t xml:space="preserve"> secondary re-streaking </w:t>
      </w:r>
      <w:r>
        <w:rPr>
          <w:rFonts w:cs="Times New Roman"/>
          <w:szCs w:val="24"/>
        </w:rPr>
        <w:t xml:space="preserve">as observed earlier </w:t>
      </w:r>
      <w:r w:rsidRPr="00A90451">
        <w:rPr>
          <w:rFonts w:cs="Times New Roman"/>
          <w:szCs w:val="24"/>
        </w:rPr>
        <w:fldChar w:fldCharType="begin"/>
      </w:r>
      <w:r w:rsidR="001C2A55">
        <w:rPr>
          <w:rFonts w:cs="Times New Roman"/>
          <w:szCs w:val="24"/>
        </w:rPr>
        <w:instrText xml:space="preserve"> ADDIN ZOTERO_ITEM CSL_CITATION {"citationID":"eImo87hV","properties":{"formattedCitation":"(Lagier et al., 2018)","plainCitation":"(Lagier et al., 2018)","noteIndex":0},"citationItems":[{"id":132,"uris":["http://zotero.org/users/8873894/items/ADFRVAB3"],"itemData":{"id":132,"type":"article-journal","abstract":"The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A90451">
        <w:rPr>
          <w:rFonts w:cs="Times New Roman"/>
          <w:szCs w:val="24"/>
        </w:rPr>
        <w:fldChar w:fldCharType="separate"/>
      </w:r>
      <w:r w:rsidRPr="00C65174">
        <w:rPr>
          <w:rFonts w:cs="Times New Roman"/>
        </w:rPr>
        <w:t>(Lagier et al., 2018)</w:t>
      </w:r>
      <w:r w:rsidRPr="00A90451">
        <w:rPr>
          <w:rFonts w:cs="Times New Roman"/>
          <w:szCs w:val="24"/>
        </w:rPr>
        <w:fldChar w:fldCharType="end"/>
      </w:r>
      <w:r w:rsidRPr="00A90451">
        <w:rPr>
          <w:rFonts w:cs="Times New Roman"/>
          <w:szCs w:val="24"/>
        </w:rPr>
        <w:t xml:space="preserve">. </w:t>
      </w:r>
      <w:r>
        <w:rPr>
          <w:rFonts w:cs="Times New Roman"/>
          <w:szCs w:val="24"/>
        </w:rPr>
        <w:t>Despite this, our dataset</w:t>
      </w:r>
      <w:r w:rsidRPr="00A90451">
        <w:rPr>
          <w:rFonts w:cs="Times New Roman"/>
          <w:szCs w:val="24"/>
        </w:rPr>
        <w:t xml:space="preserve"> substantially </w:t>
      </w:r>
      <w:r>
        <w:rPr>
          <w:rFonts w:cs="Times New Roman"/>
          <w:szCs w:val="24"/>
        </w:rPr>
        <w:t>expands</w:t>
      </w:r>
      <w:r w:rsidRPr="00A90451">
        <w:rPr>
          <w:rFonts w:cs="Times New Roman"/>
          <w:szCs w:val="24"/>
        </w:rPr>
        <w:t xml:space="preserve"> </w:t>
      </w:r>
      <w:r>
        <w:rPr>
          <w:rFonts w:cs="Times New Roman"/>
          <w:szCs w:val="24"/>
        </w:rPr>
        <w:t>the genomic diversity and improves quality</w:t>
      </w:r>
      <w:r w:rsidRPr="00A90451">
        <w:rPr>
          <w:rFonts w:cs="Times New Roman"/>
          <w:szCs w:val="24"/>
        </w:rPr>
        <w:t xml:space="preserve"> of </w:t>
      </w:r>
      <w:r w:rsidRPr="00A90451">
        <w:rPr>
          <w:rFonts w:cs="Times New Roman"/>
          <w:i/>
          <w:iCs/>
          <w:szCs w:val="24"/>
        </w:rPr>
        <w:t>C. saudiense</w:t>
      </w:r>
      <w:r>
        <w:rPr>
          <w:rFonts w:cs="Times New Roman"/>
          <w:szCs w:val="24"/>
        </w:rPr>
        <w:t xml:space="preserve"> genomes, which p</w:t>
      </w:r>
      <w:r w:rsidRPr="00A90451">
        <w:rPr>
          <w:rFonts w:cs="Times New Roman"/>
          <w:szCs w:val="24"/>
        </w:rPr>
        <w:t xml:space="preserve">reviously </w:t>
      </w:r>
      <w:r>
        <w:rPr>
          <w:rFonts w:cs="Times New Roman"/>
          <w:szCs w:val="24"/>
        </w:rPr>
        <w:t>comprised</w:t>
      </w:r>
      <w:r w:rsidRPr="00A90451">
        <w:rPr>
          <w:rFonts w:cs="Times New Roman"/>
          <w:szCs w:val="24"/>
        </w:rPr>
        <w:t xml:space="preserve"> 3</w:t>
      </w:r>
      <w:r>
        <w:rPr>
          <w:rFonts w:cs="Times New Roman"/>
          <w:szCs w:val="24"/>
        </w:rPr>
        <w:t>1</w:t>
      </w:r>
      <w:r w:rsidRPr="00A90451">
        <w:rPr>
          <w:rFonts w:cs="Times New Roman"/>
          <w:szCs w:val="24"/>
        </w:rPr>
        <w:t xml:space="preserve"> isolate draft genomes and </w:t>
      </w:r>
      <w:r>
        <w:rPr>
          <w:rFonts w:cs="Times New Roman"/>
          <w:szCs w:val="24"/>
        </w:rPr>
        <w:t>7</w:t>
      </w:r>
      <w:r w:rsidRPr="00A90451">
        <w:rPr>
          <w:rFonts w:cs="Times New Roman"/>
          <w:szCs w:val="24"/>
        </w:rPr>
        <w:t xml:space="preserve"> metagenome-assembled genomes (MAGs)</w:t>
      </w:r>
      <w:r>
        <w:rPr>
          <w:rFonts w:cs="Times New Roman"/>
          <w:szCs w:val="24"/>
        </w:rPr>
        <w:t xml:space="preserve"> from public databases</w:t>
      </w:r>
      <w:r w:rsidRPr="00A90451">
        <w:rPr>
          <w:rFonts w:cs="Times New Roman"/>
          <w:szCs w:val="24"/>
        </w:rPr>
        <w:t xml:space="preserve"> (accessed </w:t>
      </w:r>
      <w:r>
        <w:rPr>
          <w:rFonts w:cs="Times New Roman"/>
          <w:szCs w:val="24"/>
        </w:rPr>
        <w:t>April 15,</w:t>
      </w:r>
      <w:r w:rsidRPr="00A90451">
        <w:rPr>
          <w:rFonts w:cs="Times New Roman"/>
          <w:szCs w:val="24"/>
        </w:rPr>
        <w:t xml:space="preserve"> 2026). </w:t>
      </w:r>
      <w:r>
        <w:rPr>
          <w:rFonts w:cs="Times New Roman"/>
          <w:szCs w:val="24"/>
        </w:rPr>
        <w:t>Previously published isolate genomes</w:t>
      </w:r>
      <w:r w:rsidRPr="00A90451">
        <w:rPr>
          <w:rFonts w:cs="Times New Roman"/>
          <w:szCs w:val="24"/>
        </w:rPr>
        <w:t xml:space="preserve"> </w:t>
      </w:r>
      <w:r>
        <w:rPr>
          <w:rFonts w:cs="Times New Roman"/>
          <w:szCs w:val="24"/>
        </w:rPr>
        <w:t>were obtained from</w:t>
      </w:r>
      <w:r w:rsidRPr="00A90451">
        <w:rPr>
          <w:rFonts w:cs="Times New Roman"/>
          <w:szCs w:val="24"/>
        </w:rPr>
        <w:t xml:space="preserve"> adult (n = </w:t>
      </w:r>
      <w:r>
        <w:rPr>
          <w:rFonts w:cs="Times New Roman"/>
          <w:szCs w:val="24"/>
        </w:rPr>
        <w:t>28</w:t>
      </w:r>
      <w:r w:rsidRPr="00A90451">
        <w:rPr>
          <w:rFonts w:cs="Times New Roman"/>
          <w:szCs w:val="24"/>
        </w:rPr>
        <w:t>) and infant</w:t>
      </w:r>
      <w:r>
        <w:rPr>
          <w:rFonts w:cs="Times New Roman"/>
          <w:szCs w:val="24"/>
        </w:rPr>
        <w:t xml:space="preserve"> </w:t>
      </w:r>
      <w:r w:rsidRPr="00A90451">
        <w:rPr>
          <w:rFonts w:cs="Times New Roman"/>
          <w:szCs w:val="24"/>
        </w:rPr>
        <w:t>(n = 2) human stool samples (n = 3</w:t>
      </w:r>
      <w:r>
        <w:rPr>
          <w:rFonts w:cs="Times New Roman"/>
          <w:szCs w:val="24"/>
        </w:rPr>
        <w:t>1</w:t>
      </w:r>
      <w:r w:rsidRPr="00A90451">
        <w:rPr>
          <w:rFonts w:cs="Times New Roman"/>
          <w:szCs w:val="24"/>
        </w:rPr>
        <w:t>), and one</w:t>
      </w:r>
      <w:r>
        <w:rPr>
          <w:rFonts w:cs="Times New Roman"/>
          <w:szCs w:val="24"/>
        </w:rPr>
        <w:t xml:space="preserve"> from a</w:t>
      </w:r>
      <w:r w:rsidRPr="00A90451">
        <w:rPr>
          <w:rFonts w:cs="Times New Roman"/>
          <w:szCs w:val="24"/>
        </w:rPr>
        <w:t xml:space="preserve"> cattle stool sample</w:t>
      </w:r>
      <w:r>
        <w:rPr>
          <w:rFonts w:cs="Times New Roman"/>
          <w:szCs w:val="24"/>
        </w:rPr>
        <w:t>, while the seven</w:t>
      </w:r>
      <w:r w:rsidRPr="00A90451">
        <w:rPr>
          <w:rFonts w:cs="Times New Roman"/>
          <w:szCs w:val="24"/>
        </w:rPr>
        <w:t xml:space="preserve"> MAGs </w:t>
      </w:r>
      <w:r>
        <w:rPr>
          <w:rFonts w:cs="Times New Roman"/>
          <w:szCs w:val="24"/>
        </w:rPr>
        <w:t xml:space="preserve">were obtained from </w:t>
      </w:r>
      <w:r w:rsidRPr="00A90451">
        <w:rPr>
          <w:rFonts w:cs="Times New Roman"/>
          <w:szCs w:val="24"/>
        </w:rPr>
        <w:t xml:space="preserve">human gut </w:t>
      </w:r>
      <w:r>
        <w:rPr>
          <w:rFonts w:cs="Times New Roman"/>
          <w:szCs w:val="24"/>
        </w:rPr>
        <w:t>metagenomes</w:t>
      </w:r>
      <w:r w:rsidRPr="00A90451">
        <w:rPr>
          <w:rFonts w:cs="Times New Roman"/>
          <w:szCs w:val="24"/>
        </w:rPr>
        <w:t xml:space="preserve">. </w:t>
      </w:r>
    </w:p>
    <w:p w14:paraId="02088AFA" w14:textId="2196FA83" w:rsidR="001722C1" w:rsidRDefault="00C65827" w:rsidP="001722C1">
      <w:pPr>
        <w:rPr>
          <w:rFonts w:cs="Times New Roman"/>
          <w:szCs w:val="24"/>
        </w:rPr>
      </w:pPr>
      <w:bookmarkStart w:id="1206" w:name="_Hlk219379315"/>
      <w:r w:rsidRPr="00D93D74">
        <w:rPr>
          <w:i/>
          <w:iCs/>
        </w:rPr>
        <w:t xml:space="preserve">Clostridium saudiense </w:t>
      </w:r>
      <w:r w:rsidRPr="00D93D74">
        <w:t>is a poorly studied bacterial species, first isolated in Marseille</w:t>
      </w:r>
      <w:r w:rsidR="001722C1">
        <w:t>, France</w:t>
      </w:r>
      <w:r w:rsidRPr="00D93D74">
        <w:t xml:space="preserve"> in 2014, from the stool of an obese Saudi individual </w:t>
      </w:r>
      <w:r w:rsidRPr="00D93D74">
        <w:fldChar w:fldCharType="begin"/>
      </w:r>
      <w:r w:rsidR="001C2A55">
        <w:instrText xml:space="preserve"> ADDIN ZOTERO_ITEM CSL_CITATION {"citationID":"zUbcAteG","properties":{"formattedCitation":"(Angelakis et al., 2014)","plainCitation":"(Angelakis et al., 2014)","noteIndex":0},"citationItems":[{"id":3145,"uris":["http://zotero.org/users/8873894/items/M3D44GNN"],"itemData":{"id":3145,"type":"article-journal","abstract":"Clostridium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fldChar w:fldCharType="separate"/>
      </w:r>
      <w:r w:rsidRPr="00D93D74">
        <w:rPr>
          <w:rFonts w:cs="Times New Roman"/>
        </w:rPr>
        <w:t>(Angelakis et al., 2014)</w:t>
      </w:r>
      <w:r w:rsidRPr="00D93D74">
        <w:fldChar w:fldCharType="end"/>
      </w:r>
      <w:r w:rsidRPr="00D93D74">
        <w:t xml:space="preserve">. </w:t>
      </w:r>
      <w:r w:rsidR="001722C1">
        <w:t xml:space="preserve">Using several tools we identified seven distinct strains and </w:t>
      </w:r>
      <w:r w:rsidR="001722C1">
        <w:rPr>
          <w:rFonts w:cs="Times New Roman"/>
          <w:szCs w:val="24"/>
        </w:rPr>
        <w:t xml:space="preserve">revealed extensive within-host diversity. </w:t>
      </w:r>
      <w:r w:rsidR="001722C1" w:rsidRPr="00A90451">
        <w:rPr>
          <w:rFonts w:cs="Times New Roman"/>
          <w:szCs w:val="24"/>
        </w:rPr>
        <w:t xml:space="preserve">This </w:t>
      </w:r>
      <w:r w:rsidR="001722C1">
        <w:rPr>
          <w:rFonts w:cs="Times New Roman"/>
          <w:szCs w:val="24"/>
        </w:rPr>
        <w:t xml:space="preserve">level of diversity exceeds the commonly reported strain richness of 1 to 4 strains per species in the human gut </w:t>
      </w:r>
      <w:r w:rsidR="001722C1" w:rsidRPr="00A90451">
        <w:rPr>
          <w:rFonts w:cs="Times New Roman"/>
          <w:szCs w:val="24"/>
        </w:rPr>
        <w:fldChar w:fldCharType="begin"/>
      </w:r>
      <w:r w:rsidR="001C2A55">
        <w:rPr>
          <w:rFonts w:cs="Times New Roman"/>
          <w:szCs w:val="24"/>
        </w:rPr>
        <w:instrText xml:space="preserve"> ADDIN ZOTERO_ITEM CSL_CITATION {"citationID":"FYRWqUOb","properties":{"formattedCitation":"(Chen-Liaw et al., 2025; Poyet et al., 2019; Van Rossum et al., 2020)","plainCitation":"(Chen-Liaw et al., 2025; Poyet et al., 2019; Van Rossum et al., 2020)","noteIndex":0},"citationItems":[{"id":400,"uris":["http://zotero.org/users/8873894/items/D73U5VSG"],"itemData":{"id":400,"type":"article-journal","abstract":"Our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J."}],"issued":{"date-parts":[["2019",9]]}}},{"id":3065,"uris":["http://zotero.org/users/8873894/items/ML3L59RU"],"itemData":{"id":3065,"type":"article-journal","abstract":"Studying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M."},{"family":"Bork","given":"Peer"}],"issued":{"date-parts":[["2020",9]]}}},{"id":3052,"uris":["http://zotero.org/users/8873894/items/TFKXPFY8"],"itemData":{"id":3052,"type":"article-journal","abstract":"Despite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J."}],"issued":{"date-parts":[["2025",1]]}}}],"schema":"https://github.com/citation-style-language/schema/raw/master/csl-citation.json"} </w:instrText>
      </w:r>
      <w:r w:rsidR="001722C1" w:rsidRPr="00A90451">
        <w:rPr>
          <w:rFonts w:cs="Times New Roman"/>
          <w:szCs w:val="24"/>
        </w:rPr>
        <w:fldChar w:fldCharType="separate"/>
      </w:r>
      <w:r w:rsidR="008E64BE" w:rsidRPr="008E64BE">
        <w:rPr>
          <w:rFonts w:cs="Times New Roman"/>
        </w:rPr>
        <w:t>(Chen-Liaw et al., 2025; Poyet et al., 2019; Van Rossum et al., 2020)</w:t>
      </w:r>
      <w:r w:rsidR="001722C1" w:rsidRPr="00A90451">
        <w:rPr>
          <w:rFonts w:cs="Times New Roman"/>
          <w:szCs w:val="24"/>
        </w:rPr>
        <w:fldChar w:fldCharType="end"/>
      </w:r>
      <w:r w:rsidR="001722C1">
        <w:rPr>
          <w:rFonts w:cs="Times New Roman"/>
          <w:szCs w:val="24"/>
        </w:rPr>
        <w:t xml:space="preserve">, highlighting substantial intra-species </w:t>
      </w:r>
      <w:r w:rsidR="001722C1" w:rsidRPr="0024406A">
        <w:rPr>
          <w:rFonts w:cs="Times New Roman"/>
          <w:szCs w:val="24"/>
        </w:rPr>
        <w:t xml:space="preserve">heterogeneity </w:t>
      </w:r>
      <w:r w:rsidR="001722C1">
        <w:rPr>
          <w:rFonts w:cs="Times New Roman"/>
          <w:szCs w:val="24"/>
        </w:rPr>
        <w:t xml:space="preserve">within a single host. </w:t>
      </w:r>
    </w:p>
    <w:p w14:paraId="525A4AE3" w14:textId="062629CA" w:rsidR="001722C1" w:rsidRPr="00236DBE" w:rsidRDefault="001722C1" w:rsidP="001722C1">
      <w:pPr>
        <w:rPr>
          <w:rFonts w:cs="Times New Roman"/>
          <w:szCs w:val="24"/>
          <w:lang w:val="es-ES"/>
        </w:rPr>
      </w:pPr>
      <w:r w:rsidRPr="00A90451">
        <w:rPr>
          <w:rFonts w:cs="Times New Roman"/>
          <w:szCs w:val="24"/>
        </w:rPr>
        <w:t xml:space="preserve">Only one </w:t>
      </w:r>
      <w:r>
        <w:rPr>
          <w:rFonts w:cs="Times New Roman"/>
          <w:szCs w:val="24"/>
        </w:rPr>
        <w:t xml:space="preserve">isolated </w:t>
      </w:r>
      <w:r w:rsidRPr="00A90451">
        <w:rPr>
          <w:rFonts w:cs="Times New Roman"/>
          <w:szCs w:val="24"/>
        </w:rPr>
        <w:t>strain was detected in all three stool samples (spanning 3 months), others were either detected at two time points (strain 7) or mostly at only one time point (strains 1, 2, 3, 4, and 5)</w:t>
      </w:r>
      <w:r>
        <w:rPr>
          <w:rFonts w:cs="Times New Roman"/>
          <w:szCs w:val="24"/>
        </w:rPr>
        <w:t xml:space="preserve">. </w:t>
      </w:r>
      <w:r w:rsidRPr="00A90451">
        <w:rPr>
          <w:rFonts w:cs="Times New Roman"/>
          <w:szCs w:val="24"/>
        </w:rPr>
        <w:t>Cultivat</w:t>
      </w:r>
      <w:r>
        <w:rPr>
          <w:rFonts w:cs="Times New Roman"/>
          <w:szCs w:val="24"/>
        </w:rPr>
        <w:t xml:space="preserve">ion of gut microbes remains inherently biased due to selective growth conditions </w:t>
      </w:r>
      <w:r w:rsidRPr="00A90451">
        <w:rPr>
          <w:rFonts w:cs="Times New Roman"/>
          <w:szCs w:val="24"/>
        </w:rPr>
        <w:fldChar w:fldCharType="begin"/>
      </w:r>
      <w:r w:rsidR="001C2A55">
        <w:rPr>
          <w:rFonts w:cs="Times New Roman"/>
          <w:szCs w:val="24"/>
        </w:rPr>
        <w:instrText xml:space="preserve"> ADDIN ZOTERO_ITEM CSL_CITATION {"citationID":"mmtn9ZYV","properties":{"formattedCitation":"(Tidjani Alou et al., 2020)","plainCitation":"(Tidjani Alou et al., 2020)","noteIndex":0},"citationItems":[{"id":3441,"uris":["http://zotero.org/users/8873894/items/7MT4WBB4"],"itemData":{"id":3441,"type":"article-journal","abstract":"SUMMARYThe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A90451">
        <w:rPr>
          <w:rFonts w:cs="Times New Roman"/>
          <w:szCs w:val="24"/>
        </w:rPr>
        <w:fldChar w:fldCharType="separate"/>
      </w:r>
      <w:r w:rsidRPr="00C65174">
        <w:rPr>
          <w:rFonts w:cs="Times New Roman"/>
        </w:rPr>
        <w:t>(Tidjani Alou et al., 2020)</w:t>
      </w:r>
      <w:r w:rsidRPr="00A90451">
        <w:rPr>
          <w:rFonts w:cs="Times New Roman"/>
          <w:szCs w:val="24"/>
        </w:rPr>
        <w:fldChar w:fldCharType="end"/>
      </w:r>
      <w:r w:rsidRPr="00A90451">
        <w:rPr>
          <w:rFonts w:cs="Times New Roman"/>
          <w:szCs w:val="24"/>
        </w:rPr>
        <w:t xml:space="preserve">. To expand </w:t>
      </w:r>
      <w:r>
        <w:rPr>
          <w:rFonts w:cs="Times New Roman"/>
          <w:szCs w:val="24"/>
        </w:rPr>
        <w:t xml:space="preserve">strain tracking beyond cultivation time points, we integrated isolated genomes with longitudinal metagenomic data spanning six months. Ethanol treatment coupled with cultivation enabled recovery of germinated spores, whereas metagenomic sequencing captured both vegetative and spore-associated DNA, provided sufficient abundance and coverage. </w:t>
      </w:r>
      <w:r w:rsidRPr="00A90451">
        <w:rPr>
          <w:rFonts w:cs="Times New Roman"/>
          <w:szCs w:val="24"/>
        </w:rPr>
        <w:t xml:space="preserve">Strain-resolved metagenomics is possible for high-abundance taxa with sufficient coverage (typically &gt; 20x), with non-dominant subpopulations often evading detection due to allelic variation or chimeric assemblies </w:t>
      </w:r>
      <w:r w:rsidRPr="00A90451">
        <w:rPr>
          <w:rFonts w:cs="Times New Roman"/>
          <w:szCs w:val="24"/>
        </w:rPr>
        <w:fldChar w:fldCharType="begin"/>
      </w:r>
      <w:r w:rsidR="001C2A55">
        <w:rPr>
          <w:rFonts w:cs="Times New Roman"/>
          <w:szCs w:val="24"/>
        </w:rPr>
        <w:instrText xml:space="preserve"> ADDIN ZOTERO_ITEM CSL_CITATION {"citationID":"oJXPzO4f","properties":{"formattedCitation":"(Garud et al., 2019; Garud &amp; Pollard, 2020; Nayfach et al., 2016; Poyet et al., 2019; Valles-Colomer et al., 2023)","plainCitation":"(Garud et al., 2019; Garud &amp; Pollard, 2020; Nayfach et al., 2016; Poyet et al., 2019; Valles-Colomer et al., 2023)","noteIndex":0},"citationItems":[{"id":1161,"uris":["http://zotero.org/users/8873894/items/NZ4G596M"],"itemData":{"id":1161,"type":"article-journal","abstract":"Gut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S."}],"issued":{"date-parts":[["2019",1,23]]}}},{"id":3072,"uris":["http://zotero.org/users/8873894/items/8HJ4HKTS"],"itemData":{"id":3072,"type":"article-journal","container-title":"Trends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S."}],"issued":{"date-parts":[["2020",1,1]]}}},{"id":23,"uris":["http://zotero.org/users/8873894/items/C8X2T89J"],"itemData":{"id":23,"type":"article-journal","abstract":"We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S."}],"issued":{"date-parts":[["2016",11]]}}},{"id":400,"uris":["http://zotero.org/users/8873894/items/D73U5VSG"],"itemData":{"id":400,"type":"article-journal","abstract":"Our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J."}],"issued":{"date-parts":[["2019",9]]}}},{"id":1879,"uris":["http://zotero.org/users/8873894/items/8PIGTYZD"],"itemData":{"id":1879,"type":"article-journal","abstract":"The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w:instrText>
      </w:r>
      <w:r w:rsidR="001C2A55" w:rsidRPr="001C2A55">
        <w:rPr>
          <w:rFonts w:cs="Times New Roman"/>
          <w:szCs w:val="24"/>
          <w:lang w:val="es-ES"/>
        </w:rPr>
        <w:instrText xml:space="preserve">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A90451">
        <w:rPr>
          <w:rFonts w:cs="Times New Roman"/>
          <w:szCs w:val="24"/>
        </w:rPr>
        <w:fldChar w:fldCharType="separate"/>
      </w:r>
      <w:r w:rsidR="008E64BE" w:rsidRPr="00236DBE">
        <w:rPr>
          <w:rFonts w:cs="Times New Roman"/>
          <w:lang w:val="es-ES"/>
        </w:rPr>
        <w:t>(Garud et al., 2019; Garud &amp; Pollard, 2020; Nayfach et al., 2016; Poyet et al., 2019; Valles-Colomer et al., 2023)</w:t>
      </w:r>
      <w:r w:rsidRPr="00A90451">
        <w:rPr>
          <w:rFonts w:cs="Times New Roman"/>
          <w:szCs w:val="24"/>
        </w:rPr>
        <w:fldChar w:fldCharType="end"/>
      </w:r>
      <w:r w:rsidRPr="00236DBE">
        <w:rPr>
          <w:rFonts w:cs="Times New Roman"/>
          <w:szCs w:val="24"/>
          <w:lang w:val="es-ES"/>
        </w:rPr>
        <w:t>.</w:t>
      </w:r>
    </w:p>
    <w:p w14:paraId="503123D6" w14:textId="5BDA1140" w:rsidR="008E64BE" w:rsidRDefault="009972F0" w:rsidP="001722C1">
      <w:r w:rsidRPr="00D93D74">
        <w:t>We first applied StrainPhlAn</w:t>
      </w:r>
      <w:r w:rsidR="001722C1">
        <w:t xml:space="preserve">, which </w:t>
      </w:r>
      <w:r w:rsidR="001722C1" w:rsidRPr="00D93D74">
        <w:t xml:space="preserve">revealed that the temporal shifts were unrelated to antibiotic consumption, but rather to underestimated diversity, as minority strains fall below detection limit, despite </w:t>
      </w:r>
      <w:r w:rsidR="001722C1" w:rsidRPr="001722C1">
        <w:rPr>
          <w:i/>
          <w:iCs/>
        </w:rPr>
        <w:t>C. saudiense</w:t>
      </w:r>
      <w:r w:rsidR="001722C1" w:rsidRPr="00D93D74">
        <w:t xml:space="preserve"> comprising around 1% relative abundance per sample</w:t>
      </w:r>
      <w:r w:rsidR="001722C1">
        <w:t xml:space="preserve"> </w:t>
      </w:r>
      <w:r w:rsidRPr="00D93D74">
        <w:fldChar w:fldCharType="begin"/>
      </w:r>
      <w:r w:rsidR="001C2A55">
        <w:instrText xml:space="preserve"> ADDIN ZOTERO_ITEM CSL_CITATION {"citationID":"6RLmUCrX","properties":{"formattedCitation":"(Blanco-M\\uc0\\u237{}guez et al., 2023b)","plainCitation":"(Blanco-Míguez et al., 2023b)","noteIndex":0},"citationItems":[{"id":2024,"uris":["http://zotero.org/users/8873894/items/NJE9Z5AS"],"itemData":{"id":2024,"type":"article-journal","abstract":"Metagenomic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D93D74">
        <w:fldChar w:fldCharType="separate"/>
      </w:r>
      <w:r w:rsidRPr="00D93D74">
        <w:rPr>
          <w:rFonts w:cs="Times New Roman"/>
        </w:rPr>
        <w:t>(Blanco-Míguez et al., 2023b)</w:t>
      </w:r>
      <w:r w:rsidRPr="00D93D74">
        <w:fldChar w:fldCharType="end"/>
      </w:r>
      <w:r w:rsidRPr="00D93D74">
        <w:t xml:space="preserve">. </w:t>
      </w:r>
      <w:r w:rsidR="008E64BE">
        <w:t xml:space="preserve">Low detection limit was also a problem when using StrainScan, which could only determine three out of the eight strains it determined from our isolate genomes </w:t>
      </w:r>
      <w:r w:rsidR="008E64BE">
        <w:fldChar w:fldCharType="begin"/>
      </w:r>
      <w:r w:rsidR="001C2A55">
        <w:instrText xml:space="preserve"> ADDIN ZOTERO_ITEM CSL_CITATION {"citationID":"JJxJVJIW","properties":{"formattedCitation":"(Liao et al., 2023)","plainCitation":"(Liao et al., 2023)","noteIndex":0},"citationItems":[{"id":3395,"uris":["http://zotero.org/users/8873894/items/LNZCK56N"],"itemData":{"id":3395,"type":"article-journal","abstract":"BACKGROUND: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008E64BE">
        <w:fldChar w:fldCharType="separate"/>
      </w:r>
      <w:r w:rsidR="008E64BE" w:rsidRPr="008E64BE">
        <w:rPr>
          <w:rFonts w:cs="Times New Roman"/>
        </w:rPr>
        <w:t>(Liao et al., 2023)</w:t>
      </w:r>
      <w:r w:rsidR="008E64BE">
        <w:fldChar w:fldCharType="end"/>
      </w:r>
      <w:r w:rsidR="008E64BE">
        <w:t xml:space="preserve">. </w:t>
      </w:r>
    </w:p>
    <w:p w14:paraId="1AB9B047" w14:textId="1340B467" w:rsidR="001722C1" w:rsidRDefault="001722C1" w:rsidP="001722C1">
      <w:pPr>
        <w:rPr>
          <w:rFonts w:cs="Times New Roman"/>
          <w:szCs w:val="24"/>
        </w:rPr>
      </w:pPr>
      <w:r w:rsidRPr="00A90451">
        <w:rPr>
          <w:rFonts w:cs="Times New Roman"/>
          <w:szCs w:val="24"/>
        </w:rPr>
        <w:t>To overcome limitations of established tools, we developed a strain-specific</w:t>
      </w:r>
      <w:r>
        <w:rPr>
          <w:rFonts w:cs="Times New Roman"/>
          <w:szCs w:val="24"/>
        </w:rPr>
        <w:t>,</w:t>
      </w:r>
      <w:r w:rsidRPr="00A90451">
        <w:rPr>
          <w:rFonts w:cs="Times New Roman"/>
          <w:szCs w:val="24"/>
        </w:rPr>
        <w:t xml:space="preserve"> gene-based mapping approach.</w:t>
      </w:r>
      <w:r w:rsidR="008E64BE">
        <w:rPr>
          <w:rFonts w:cs="Times New Roman"/>
          <w:szCs w:val="24"/>
        </w:rPr>
        <w:t xml:space="preserve"> </w:t>
      </w:r>
      <w:r>
        <w:rPr>
          <w:rFonts w:cs="Times New Roman"/>
          <w:szCs w:val="24"/>
        </w:rPr>
        <w:t>Unique marker genes were identified f</w:t>
      </w:r>
      <w:r w:rsidRPr="00A90451">
        <w:rPr>
          <w:rFonts w:cs="Times New Roman"/>
          <w:szCs w:val="24"/>
        </w:rPr>
        <w:t>or each culture</w:t>
      </w:r>
      <w:r>
        <w:rPr>
          <w:rFonts w:cs="Times New Roman"/>
          <w:szCs w:val="24"/>
        </w:rPr>
        <w:t xml:space="preserve">d strain </w:t>
      </w:r>
      <w:r w:rsidRPr="00A90451">
        <w:rPr>
          <w:rFonts w:cs="Times New Roman"/>
          <w:szCs w:val="24"/>
        </w:rPr>
        <w:t xml:space="preserve">and </w:t>
      </w:r>
      <w:r>
        <w:rPr>
          <w:rFonts w:cs="Times New Roman"/>
          <w:szCs w:val="24"/>
        </w:rPr>
        <w:t xml:space="preserve">used to </w:t>
      </w:r>
      <w:r w:rsidRPr="00A90451">
        <w:rPr>
          <w:rFonts w:cs="Times New Roman"/>
          <w:szCs w:val="24"/>
        </w:rPr>
        <w:t xml:space="preserve">map metagenomic </w:t>
      </w:r>
      <w:r>
        <w:rPr>
          <w:rFonts w:cs="Times New Roman"/>
          <w:szCs w:val="24"/>
        </w:rPr>
        <w:t xml:space="preserve">reads at </w:t>
      </w:r>
      <w:r w:rsidRPr="00A90451">
        <w:rPr>
          <w:rFonts w:cs="Times New Roman"/>
          <w:szCs w:val="24"/>
        </w:rPr>
        <w:t xml:space="preserve">high specificity (100% identity). </w:t>
      </w:r>
      <w:r>
        <w:rPr>
          <w:rFonts w:cs="Times New Roman"/>
          <w:szCs w:val="24"/>
        </w:rPr>
        <w:t xml:space="preserve">While conceptually similar to existing tools, such as StrainPhlAn, this approach leverages isolate-derived, strain-specific markers, enabling precise longitudinal tracking of known strains and improved detection of subdominant populations. </w:t>
      </w:r>
      <w:r w:rsidR="008E64BE">
        <w:rPr>
          <w:rFonts w:cs="Times New Roman"/>
          <w:szCs w:val="24"/>
        </w:rPr>
        <w:t xml:space="preserve">With our approach we could detect a fall in detection during antibiotic treatment (dodam informacijo o amoksicilinski občutljivosti/ali ne. Čakam vodjo na rezistencah, ker je na bolniški, da lahko the 7 sevov testiram z e-testi, ki jih imajo). </w:t>
      </w:r>
      <w:r w:rsidRPr="00A90451">
        <w:rPr>
          <w:rFonts w:cs="Times New Roman"/>
          <w:szCs w:val="24"/>
        </w:rPr>
        <w:t xml:space="preserve">The added value of the new approach is that the marker set is derived directly from the isolated </w:t>
      </w:r>
      <w:r w:rsidRPr="00A90451">
        <w:rPr>
          <w:rFonts w:cs="Times New Roman"/>
          <w:i/>
          <w:iCs/>
          <w:szCs w:val="24"/>
        </w:rPr>
        <w:t>C. saudiense</w:t>
      </w:r>
      <w:r w:rsidRPr="00A90451">
        <w:rPr>
          <w:rFonts w:cs="Times New Roman"/>
          <w:szCs w:val="24"/>
        </w:rPr>
        <w:t xml:space="preserve"> strains in this study, allowing explicit tracking of these genomes across time, and enabling the detection of minority strains that </w:t>
      </w:r>
      <w:r w:rsidRPr="00A90451">
        <w:rPr>
          <w:rFonts w:cs="Times New Roman"/>
          <w:szCs w:val="24"/>
        </w:rPr>
        <w:lastRenderedPageBreak/>
        <w:t xml:space="preserve">may be missed when only the dominant strain is reconstructed. </w:t>
      </w:r>
      <w:r w:rsidRPr="00E316E4">
        <w:rPr>
          <w:rFonts w:cs="Times New Roman"/>
          <w:szCs w:val="24"/>
        </w:rPr>
        <w:t>However, this strategy is inherently constrained to strains represented in the isolate collection, potentially overlooking uncultured or highly divergent lineages.</w:t>
      </w:r>
    </w:p>
    <w:p w14:paraId="43BF17DA" w14:textId="0C7F1AB4" w:rsidR="00C155D9" w:rsidRDefault="008E64BE" w:rsidP="009972F0">
      <w:pPr>
        <w:rPr>
          <w:rFonts w:cs="Times New Roman"/>
          <w:szCs w:val="24"/>
        </w:rPr>
      </w:pPr>
      <w:r w:rsidRPr="00E316E4">
        <w:rPr>
          <w:rFonts w:cs="Times New Roman"/>
          <w:szCs w:val="24"/>
        </w:rPr>
        <w:t xml:space="preserve">Using this approach, we demonstrate that antibiotic treatment reduced </w:t>
      </w:r>
      <w:r w:rsidRPr="00E316E4">
        <w:rPr>
          <w:rFonts w:cs="Times New Roman"/>
          <w:i/>
          <w:iCs/>
          <w:szCs w:val="24"/>
        </w:rPr>
        <w:t>C. saudiense</w:t>
      </w:r>
      <w:r w:rsidRPr="00E316E4">
        <w:rPr>
          <w:rFonts w:cs="Times New Roman"/>
          <w:szCs w:val="24"/>
        </w:rPr>
        <w:t xml:space="preserve"> below metagenomic detection thresholds </w:t>
      </w:r>
      <w:r>
        <w:rPr>
          <w:rFonts w:cs="Times New Roman"/>
          <w:szCs w:val="24"/>
        </w:rPr>
        <w:t>but likely</w:t>
      </w:r>
      <w:r w:rsidRPr="00E316E4">
        <w:rPr>
          <w:rFonts w:cs="Times New Roman"/>
          <w:szCs w:val="24"/>
        </w:rPr>
        <w:t xml:space="preserve"> sparing spores, facilitating subsequent recolonization.</w:t>
      </w:r>
      <w:r>
        <w:rPr>
          <w:rFonts w:cs="Times New Roman"/>
          <w:szCs w:val="24"/>
        </w:rPr>
        <w:t xml:space="preserve"> </w:t>
      </w:r>
      <w:bookmarkStart w:id="1207" w:name="_Hlk227842109"/>
      <w:r w:rsidRPr="00E316E4">
        <w:rPr>
          <w:rFonts w:cs="Times New Roman"/>
          <w:szCs w:val="24"/>
        </w:rPr>
        <w:t>These findings support a model in which spore formation contributes to the resilience and long-term persistence of gut commensals under antibiotic stress</w:t>
      </w:r>
      <w:r>
        <w:rPr>
          <w:rFonts w:cs="Times New Roman"/>
          <w:szCs w:val="24"/>
        </w:rPr>
        <w:t xml:space="preserve"> such as ‘seed bank’ hypothesis</w:t>
      </w:r>
      <w:r w:rsidRPr="00E316E4">
        <w:rPr>
          <w:rFonts w:cs="Times New Roman"/>
          <w:szCs w:val="24"/>
        </w:rPr>
        <w:t>.</w:t>
      </w:r>
      <w:bookmarkEnd w:id="1206"/>
    </w:p>
    <w:bookmarkEnd w:id="1207"/>
    <w:p w14:paraId="650DE4F3" w14:textId="77777777" w:rsidR="0039162A" w:rsidRDefault="0039162A" w:rsidP="0039162A"/>
    <w:p w14:paraId="415BD5CC" w14:textId="21DEA910" w:rsidR="005E77FD" w:rsidRDefault="009972F0">
      <w:pPr>
        <w:pStyle w:val="Naslov1"/>
        <w:numPr>
          <w:ilvl w:val="0"/>
          <w:numId w:val="5"/>
        </w:numPr>
      </w:pPr>
      <w:r w:rsidRPr="00D93D74">
        <w:br w:type="page"/>
      </w:r>
      <w:bookmarkStart w:id="1208" w:name="_Toc216099762"/>
      <w:bookmarkStart w:id="1209" w:name="_Toc220932892"/>
      <w:bookmarkStart w:id="1210" w:name="_Toc228252061"/>
      <w:r w:rsidR="005E77FD" w:rsidRPr="00D93D74">
        <w:lastRenderedPageBreak/>
        <w:t>CONCLUSION</w:t>
      </w:r>
      <w:bookmarkEnd w:id="1191"/>
      <w:r w:rsidR="00221812" w:rsidRPr="00D93D74">
        <w:t>S</w:t>
      </w:r>
      <w:bookmarkEnd w:id="1208"/>
      <w:bookmarkEnd w:id="1209"/>
      <w:bookmarkEnd w:id="1210"/>
    </w:p>
    <w:p w14:paraId="080FE667" w14:textId="1A5E193A" w:rsidR="00967FF4" w:rsidRDefault="00967FF4">
      <w:pPr>
        <w:pStyle w:val="Odstavekseznama"/>
        <w:numPr>
          <w:ilvl w:val="0"/>
          <w:numId w:val="7"/>
        </w:numPr>
      </w:pPr>
      <w:r>
        <w:t xml:space="preserve">The human gut microbiota in healthy male individuals is highly stable over time, with strong within individual consistency and clear between individual differences. </w:t>
      </w:r>
    </w:p>
    <w:p w14:paraId="1396CD75" w14:textId="651A7AD7" w:rsidR="00967FF4" w:rsidRDefault="00967FF4">
      <w:pPr>
        <w:pStyle w:val="Odstavekseznama"/>
        <w:numPr>
          <w:ilvl w:val="0"/>
          <w:numId w:val="7"/>
        </w:numPr>
      </w:pPr>
      <w:r>
        <w:t xml:space="preserve">The gut sporobiota can be studies through ethanol treated samples but is improved with the combination of gene-based determination of sporulation ability. Sporulation ability does not always translate into ethanol resistance indicating gene presence alone is also not enough. Combination of both methods provides us with sporobiota determination we can trust. </w:t>
      </w:r>
    </w:p>
    <w:p w14:paraId="6F5FA9B2" w14:textId="424B5D5A" w:rsidR="00967FF4" w:rsidRDefault="00967FF4">
      <w:pPr>
        <w:pStyle w:val="Odstavekseznama"/>
        <w:numPr>
          <w:ilvl w:val="0"/>
          <w:numId w:val="7"/>
        </w:numPr>
      </w:pPr>
      <w:r>
        <w:t xml:space="preserve">Ethanol-resistant taxa are more likely observed across distinct individuals and show less community variability than ethanol non-resistant taxa. </w:t>
      </w:r>
    </w:p>
    <w:p w14:paraId="0BE1A932" w14:textId="0EC48BAF" w:rsidR="0084267D" w:rsidRDefault="00967FF4">
      <w:pPr>
        <w:pStyle w:val="Odstavekseznama"/>
        <w:numPr>
          <w:ilvl w:val="0"/>
          <w:numId w:val="7"/>
        </w:numPr>
      </w:pPr>
      <w:r>
        <w:t>Ethanol-resistant</w:t>
      </w:r>
      <w:r w:rsidR="0084267D">
        <w:t xml:space="preserve"> </w:t>
      </w:r>
      <w:r>
        <w:t>spore-forming species are the most persistent member</w:t>
      </w:r>
      <w:r w:rsidR="0084267D">
        <w:t>s</w:t>
      </w:r>
      <w:r>
        <w:t xml:space="preserve"> of the gut community while also detected in multiple individuals</w:t>
      </w:r>
      <w:r w:rsidR="0084267D">
        <w:t>, showing higher prevalence than non-spore-forming bacteria</w:t>
      </w:r>
      <w:r>
        <w:t xml:space="preserve">. </w:t>
      </w:r>
    </w:p>
    <w:p w14:paraId="1E450433" w14:textId="6FC4D75F" w:rsidR="00967FF4" w:rsidRDefault="0084267D">
      <w:pPr>
        <w:pStyle w:val="Odstavekseznama"/>
        <w:numPr>
          <w:ilvl w:val="0"/>
          <w:numId w:val="7"/>
        </w:numPr>
      </w:pPr>
      <w:r>
        <w:t xml:space="preserve">Sporulation dynamics are host-specific and time-dependant, suggesting regulation by shared, host-derived environmental or physiological cues, rather than taxon-specific mechanisms. </w:t>
      </w:r>
    </w:p>
    <w:p w14:paraId="3867E1E8" w14:textId="77777777" w:rsidR="0084267D" w:rsidRDefault="0084267D" w:rsidP="0084267D"/>
    <w:p w14:paraId="65F554FA" w14:textId="77777777" w:rsidR="0084267D" w:rsidRDefault="0084267D">
      <w:pPr>
        <w:pStyle w:val="Odstavekseznama"/>
        <w:numPr>
          <w:ilvl w:val="0"/>
          <w:numId w:val="7"/>
        </w:numPr>
      </w:pPr>
      <w:r w:rsidRPr="0084267D">
        <w:t>The human gut resistome is diverse and relatively stable, with approximately half of ARGs persisting over six months.</w:t>
      </w:r>
    </w:p>
    <w:p w14:paraId="339DC3B1" w14:textId="77777777" w:rsidR="0084267D" w:rsidRDefault="0084267D">
      <w:pPr>
        <w:pStyle w:val="Odstavekseznama"/>
        <w:numPr>
          <w:ilvl w:val="0"/>
          <w:numId w:val="7"/>
        </w:numPr>
      </w:pPr>
      <w:r>
        <w:t>Antibiotic exposure increases ARG abundance but not diversity, supporting the idea that antibiotics amplify existing resistance rather than introducing new ARGs.</w:t>
      </w:r>
    </w:p>
    <w:p w14:paraId="122946C3" w14:textId="2A37A410" w:rsidR="00967FF4" w:rsidRDefault="0084267D">
      <w:pPr>
        <w:pStyle w:val="Odstavekseznama"/>
        <w:numPr>
          <w:ilvl w:val="0"/>
          <w:numId w:val="7"/>
        </w:numPr>
      </w:pPr>
      <w:r>
        <w:t>The resistome in this cohort is dominated by tetracycline resistance genes, consistent with other European populations, while clinically critical resistance genes were largely absent.</w:t>
      </w:r>
    </w:p>
    <w:p w14:paraId="6CBDD328" w14:textId="3B89236F" w:rsidR="0084267D" w:rsidRPr="0084267D" w:rsidRDefault="0084267D">
      <w:pPr>
        <w:pStyle w:val="Odstavekseznama"/>
        <w:numPr>
          <w:ilvl w:val="0"/>
          <w:numId w:val="7"/>
        </w:numPr>
      </w:pPr>
      <w:r w:rsidRPr="0084267D">
        <w:t>No association was observed between bacterial diversity and ARG diversity, contradicting the initial hypothesis.</w:t>
      </w:r>
      <w:r>
        <w:t xml:space="preserve"> Instead, class-specific relationships </w:t>
      </w:r>
      <w:r w:rsidR="00011261">
        <w:t>exist</w:t>
      </w:r>
      <w:r>
        <w:t xml:space="preserve">, where changes in bacterial diversity influence only certain ARG classes (MLS, macrolide and trimethoprim) rather than overall resistome. </w:t>
      </w:r>
    </w:p>
    <w:p w14:paraId="2DBB1DCE" w14:textId="77777777" w:rsidR="0084267D" w:rsidRPr="00D93D74" w:rsidRDefault="0084267D" w:rsidP="0084267D"/>
    <w:p w14:paraId="0EEED163" w14:textId="77777777" w:rsidR="0084267D" w:rsidRDefault="0084267D">
      <w:pPr>
        <w:pStyle w:val="Odstavekseznama"/>
        <w:numPr>
          <w:ilvl w:val="0"/>
          <w:numId w:val="8"/>
        </w:numPr>
      </w:pPr>
      <w:r w:rsidRPr="0084267D">
        <w:t>Integrating culture-based whole-genome sequencing with metagenomics enabled strain-level tracking of spore-forming bacteria, revealing substantial within-host diversity (seven distinct strains of Clostridium saudiense) that exceeds typical gut strain richness.</w:t>
      </w:r>
    </w:p>
    <w:p w14:paraId="5CB1D355" w14:textId="1937093C" w:rsidR="0034031C" w:rsidRPr="00D93D74" w:rsidRDefault="0084267D">
      <w:pPr>
        <w:pStyle w:val="Odstavekseznama"/>
        <w:numPr>
          <w:ilvl w:val="0"/>
          <w:numId w:val="8"/>
        </w:numPr>
      </w:pPr>
      <w:r w:rsidRPr="0084267D">
        <w:t xml:space="preserve">Antibiotic treatment likely reduced vegetative cells below detection while preserving spores, supporting a </w:t>
      </w:r>
      <w:r>
        <w:t>‘</w:t>
      </w:r>
      <w:r w:rsidRPr="0084267D">
        <w:t>seed bank</w:t>
      </w:r>
      <w:r>
        <w:t>’</w:t>
      </w:r>
      <w:r w:rsidRPr="0084267D">
        <w:t xml:space="preserve"> model in which spore formation enables post-antibiotic recolonization and long-term persistence of gut commensals.</w:t>
      </w:r>
    </w:p>
    <w:p w14:paraId="27169DF5" w14:textId="7E3FB1C9" w:rsidR="0084267D" w:rsidRDefault="0084267D">
      <w:pPr>
        <w:spacing w:line="259" w:lineRule="auto"/>
        <w:jc w:val="left"/>
      </w:pPr>
      <w:r>
        <w:br w:type="page"/>
      </w:r>
    </w:p>
    <w:p w14:paraId="6E080C48" w14:textId="3679FBEE" w:rsidR="00221812" w:rsidRDefault="00221812">
      <w:pPr>
        <w:pStyle w:val="Naslov1"/>
        <w:numPr>
          <w:ilvl w:val="0"/>
          <w:numId w:val="5"/>
        </w:numPr>
      </w:pPr>
      <w:bookmarkStart w:id="1211" w:name="_Toc216099763"/>
      <w:bookmarkStart w:id="1212" w:name="_Toc220932893"/>
      <w:bookmarkStart w:id="1213" w:name="_Toc228252062"/>
      <w:r w:rsidRPr="00D93D74">
        <w:lastRenderedPageBreak/>
        <w:t>SUMMARY</w:t>
      </w:r>
      <w:bookmarkEnd w:id="1211"/>
      <w:bookmarkEnd w:id="1212"/>
      <w:bookmarkEnd w:id="1213"/>
    </w:p>
    <w:p w14:paraId="59D760CE" w14:textId="7BAD88DF" w:rsidR="00236DBE" w:rsidRDefault="0039162A">
      <w:pPr>
        <w:pStyle w:val="Naslov2"/>
        <w:numPr>
          <w:ilvl w:val="1"/>
          <w:numId w:val="5"/>
        </w:numPr>
      </w:pPr>
      <w:bookmarkStart w:id="1214" w:name="_Toc228252063"/>
      <w:r>
        <w:t>SUMMARY</w:t>
      </w:r>
      <w:bookmarkStart w:id="1215" w:name="_Toc216099764"/>
      <w:bookmarkStart w:id="1216" w:name="_Toc220932894"/>
      <w:bookmarkEnd w:id="1214"/>
    </w:p>
    <w:p w14:paraId="30FC5E42" w14:textId="01DF3AB3" w:rsidR="00A771AE" w:rsidRDefault="00236DBE" w:rsidP="00236DBE">
      <w:r>
        <w:t xml:space="preserve">The human gut is </w:t>
      </w:r>
      <w:r w:rsidR="00262A46">
        <w:t xml:space="preserve">the </w:t>
      </w:r>
      <w:r>
        <w:t xml:space="preserve">most densely populated microbial habitat of the human body. Colonization begins at birth and </w:t>
      </w:r>
      <w:r w:rsidR="00262A46">
        <w:t>depends</w:t>
      </w:r>
      <w:r>
        <w:t xml:space="preserve"> on </w:t>
      </w:r>
      <w:r w:rsidR="00262A46">
        <w:t>microbes’</w:t>
      </w:r>
      <w:r>
        <w:t xml:space="preserve"> </w:t>
      </w:r>
      <w:r w:rsidR="00262A46">
        <w:t>ability</w:t>
      </w:r>
      <w:r>
        <w:t xml:space="preserve"> to spread between human hosts </w:t>
      </w:r>
      <w:r w:rsidR="00262A46">
        <w:t>and</w:t>
      </w:r>
      <w:r>
        <w:t xml:space="preserve"> to establish and grow within </w:t>
      </w:r>
      <w:r w:rsidR="00262A46">
        <w:t>each</w:t>
      </w:r>
      <w:r>
        <w:t xml:space="preserve"> individual. </w:t>
      </w:r>
      <w:r w:rsidR="00262A46">
        <w:t>Approximately half of</w:t>
      </w:r>
      <w:r>
        <w:t xml:space="preserve"> gut bacteria</w:t>
      </w:r>
      <w:r w:rsidR="00262A46">
        <w:t xml:space="preserve">l species carry the </w:t>
      </w:r>
      <w:r>
        <w:t>g</w:t>
      </w:r>
      <w:r w:rsidR="00262A46">
        <w:t xml:space="preserve">enes </w:t>
      </w:r>
      <w:r>
        <w:t xml:space="preserve">for sporulation, enabling them survival of unfavourable growth conditions. </w:t>
      </w:r>
      <w:r w:rsidRPr="00D93D74">
        <w:t xml:space="preserve">Sporulation is </w:t>
      </w:r>
      <w:r w:rsidR="00262A46">
        <w:t>among</w:t>
      </w:r>
      <w:r w:rsidRPr="00D93D74">
        <w:t xml:space="preserve"> the most researched </w:t>
      </w:r>
      <w:r w:rsidR="00262A46">
        <w:t xml:space="preserve">survival </w:t>
      </w:r>
      <w:r w:rsidRPr="00D93D74">
        <w:t>strategies for increasing time outside the human gut</w:t>
      </w:r>
      <w:r w:rsidR="00634C2A">
        <w:t>, as</w:t>
      </w:r>
      <w:r w:rsidRPr="00D93D74">
        <w:t xml:space="preserve"> spore-forming bacteria are present in the most abundant phylum in human gut </w:t>
      </w:r>
      <w:r w:rsidRPr="00D93D74">
        <w:rPr>
          <w:i/>
          <w:iCs/>
        </w:rPr>
        <w:t>Bacillota</w:t>
      </w:r>
      <w:r w:rsidR="00A771AE">
        <w:rPr>
          <w:i/>
          <w:iCs/>
        </w:rPr>
        <w:t xml:space="preserve"> </w:t>
      </w:r>
      <w:r w:rsidR="00A771AE">
        <w:t>(sporobiota)</w:t>
      </w:r>
      <w:r>
        <w:t xml:space="preserve">. </w:t>
      </w:r>
      <w:r w:rsidRPr="00D93D74">
        <w:t>Other mechanisms hypothesized to increase transmission between human hosts include aerotolera</w:t>
      </w:r>
      <w:r w:rsidR="00634C2A">
        <w:t>nce</w:t>
      </w:r>
      <w:r w:rsidRPr="00D93D74">
        <w:t>, and viable, but not-culturable state, where an increased survival ability is achieved through decreased metabolic activity and strengthened cell walls</w:t>
      </w:r>
      <w:r>
        <w:t xml:space="preserve">. </w:t>
      </w:r>
      <w:r w:rsidR="00A771AE" w:rsidRPr="00D93D74">
        <w:t xml:space="preserve">To </w:t>
      </w:r>
      <w:r w:rsidR="00634C2A">
        <w:t>study</w:t>
      </w:r>
      <w:r w:rsidR="00A771AE" w:rsidRPr="00D93D74">
        <w:t xml:space="preserve"> transmission of spore-forming bacteria in a culture-independent manner, </w:t>
      </w:r>
      <w:r w:rsidR="00634C2A">
        <w:t>previous work</w:t>
      </w:r>
      <w:r w:rsidR="00A771AE" w:rsidRPr="00D93D74">
        <w:t xml:space="preserve"> used either lysozyme treatment or ethanol shock to remove vegetative cells from stool samples. In a cohort of healthy human adults</w:t>
      </w:r>
      <w:r w:rsidR="00634C2A">
        <w:t xml:space="preserve">, </w:t>
      </w:r>
      <w:r w:rsidR="00A771AE" w:rsidRPr="00D93D74">
        <w:t xml:space="preserve">lysozyme resistant OTUs are more frequently shared between individuals than other taxa. While a comparison of infant-mother pairs showed that the majority of OTUs determined as </w:t>
      </w:r>
      <w:r w:rsidR="00634C2A">
        <w:t>ethanol-resistant</w:t>
      </w:r>
      <w:r w:rsidR="00A771AE" w:rsidRPr="00D93D74">
        <w:t xml:space="preserve"> are acquired from environment rather than mother-to-child transmission. A meta-analysis of human gut </w:t>
      </w:r>
      <w:r w:rsidR="00634C2A">
        <w:t>metagenomes</w:t>
      </w:r>
      <w:r w:rsidR="00A771AE" w:rsidRPr="00D93D74">
        <w:t xml:space="preserve"> revealed that the sporulation ability increases </w:t>
      </w:r>
      <w:r w:rsidR="00A771AE">
        <w:t>a species</w:t>
      </w:r>
      <w:r w:rsidR="00A771AE" w:rsidRPr="00D93D74">
        <w:t xml:space="preserve"> prevalence </w:t>
      </w:r>
      <w:r w:rsidR="00634C2A">
        <w:t>across the</w:t>
      </w:r>
      <w:r w:rsidR="00A771AE" w:rsidRPr="00D93D74">
        <w:t xml:space="preserve"> population but </w:t>
      </w:r>
      <w:r w:rsidR="00634C2A">
        <w:t>reduces</w:t>
      </w:r>
      <w:r w:rsidR="00A771AE" w:rsidRPr="00D93D74">
        <w:t xml:space="preserve"> </w:t>
      </w:r>
      <w:r w:rsidR="00A771AE">
        <w:t>its</w:t>
      </w:r>
      <w:r w:rsidR="00A771AE" w:rsidRPr="00D93D74">
        <w:t xml:space="preserve"> relative abundance </w:t>
      </w:r>
      <w:r w:rsidR="00634C2A">
        <w:t>within a given host</w:t>
      </w:r>
      <w:r w:rsidR="00A771AE" w:rsidRPr="00D93D74">
        <w:t xml:space="preserve">. </w:t>
      </w:r>
    </w:p>
    <w:p w14:paraId="7ADD5090" w14:textId="7EE7ABB7" w:rsidR="001368E2" w:rsidRDefault="00634C2A" w:rsidP="00236DBE">
      <w:r>
        <w:t>The aim of this</w:t>
      </w:r>
      <w:r w:rsidR="00A771AE">
        <w:t xml:space="preserve"> thesis was to explore the stability of human gut sporobiota and microbiota </w:t>
      </w:r>
      <w:r>
        <w:t>within and between un</w:t>
      </w:r>
      <w:r w:rsidR="00A771AE">
        <w:t xml:space="preserve">related individuals across six months. We </w:t>
      </w:r>
      <w:r w:rsidR="000A1A74">
        <w:t>recruited</w:t>
      </w:r>
      <w:r w:rsidR="00A771AE">
        <w:t xml:space="preserve"> nine healthy male individuals who provided stool samples </w:t>
      </w:r>
      <w:r>
        <w:t xml:space="preserve">and </w:t>
      </w:r>
      <w:r w:rsidR="00A771AE">
        <w:t xml:space="preserve">detailed questionnaires about their lifestyle and health status every 14 days </w:t>
      </w:r>
      <w:r w:rsidR="000A1A74">
        <w:t>for half a year</w:t>
      </w:r>
      <w:r w:rsidR="00A771AE">
        <w:t>.</w:t>
      </w:r>
      <w:r w:rsidR="000A1A74">
        <w:t xml:space="preserve"> From each s</w:t>
      </w:r>
      <w:r w:rsidR="00A771AE">
        <w:t>tool sample</w:t>
      </w:r>
      <w:r w:rsidR="000A1A74">
        <w:t>,</w:t>
      </w:r>
      <w:r w:rsidR="00A771AE">
        <w:t xml:space="preserve"> DNA was isolated using two protocols: untreated and ethanol-EMA treated. </w:t>
      </w:r>
      <w:r w:rsidR="000A1A74">
        <w:t>Treatment with</w:t>
      </w:r>
      <w:r w:rsidR="00A771AE">
        <w:t xml:space="preserve"> 70% ethanol</w:t>
      </w:r>
      <w:r w:rsidR="000A1A74">
        <w:t xml:space="preserve"> d</w:t>
      </w:r>
      <w:r w:rsidR="00A771AE">
        <w:t>amaged vegetative cells</w:t>
      </w:r>
      <w:r w:rsidR="000A1A74">
        <w:t xml:space="preserve">, and </w:t>
      </w:r>
      <w:r w:rsidR="00A771AE">
        <w:t>ethidium monoazide bromide (EMA)</w:t>
      </w:r>
      <w:r w:rsidR="000A1A74">
        <w:t xml:space="preserve"> </w:t>
      </w:r>
      <w:r w:rsidR="001368E2">
        <w:t xml:space="preserve">removed free DNA and DNA </w:t>
      </w:r>
      <w:r w:rsidR="000A1A74">
        <w:t>in</w:t>
      </w:r>
      <w:r w:rsidR="001368E2">
        <w:t xml:space="preserve"> damaged cells, leaving spores and other ethanol-resistant bacteria. All samples were </w:t>
      </w:r>
      <w:r w:rsidR="000A1A74">
        <w:t>analysed</w:t>
      </w:r>
      <w:r w:rsidR="001368E2">
        <w:t xml:space="preserve"> using 16S rRNA </w:t>
      </w:r>
      <w:r w:rsidR="000A1A74">
        <w:t xml:space="preserve">gene </w:t>
      </w:r>
      <w:r w:rsidR="001368E2">
        <w:t>amplicon and shotgun metagenomic sequencing</w:t>
      </w:r>
      <w:r w:rsidR="000A1A74">
        <w:t>, yielding OUT-</w:t>
      </w:r>
      <w:r w:rsidR="001368E2">
        <w:t xml:space="preserve"> and species</w:t>
      </w:r>
      <w:r w:rsidR="000A1A74">
        <w:t>-</w:t>
      </w:r>
      <w:r w:rsidR="001368E2">
        <w:t xml:space="preserve">level relative abundances. </w:t>
      </w:r>
      <w:r w:rsidR="000A1A74">
        <w:t>We further quantified 16S rRNA gene</w:t>
      </w:r>
      <w:r w:rsidR="001368E2">
        <w:t xml:space="preserve"> copy number </w:t>
      </w:r>
      <w:r w:rsidR="000A1A74">
        <w:t>using</w:t>
      </w:r>
      <w:r w:rsidR="001368E2">
        <w:t xml:space="preserve"> droplet digital PCR</w:t>
      </w:r>
      <w:r w:rsidR="000A1A74">
        <w:t xml:space="preserve"> </w:t>
      </w:r>
      <w:r w:rsidR="001368E2">
        <w:t xml:space="preserve">using the same primers as for amplicon sequencing, </w:t>
      </w:r>
      <w:r w:rsidR="000A1A74">
        <w:t>allowing us to calculate</w:t>
      </w:r>
      <w:r w:rsidR="001368E2">
        <w:t xml:space="preserve"> normalized abundances of each taxon. </w:t>
      </w:r>
      <w:r w:rsidR="000A1A74">
        <w:t xml:space="preserve">BY applying presence and </w:t>
      </w:r>
      <w:r w:rsidR="001368E2">
        <w:t xml:space="preserve">abundance criteria </w:t>
      </w:r>
      <w:r w:rsidR="000A1A74">
        <w:t>to</w:t>
      </w:r>
      <w:r w:rsidR="001368E2">
        <w:t xml:space="preserve"> taxa </w:t>
      </w:r>
      <w:r w:rsidR="000A1A74">
        <w:t>detected</w:t>
      </w:r>
      <w:r w:rsidR="001368E2">
        <w:t xml:space="preserve"> in both untreated and ethanol treated </w:t>
      </w:r>
      <w:r w:rsidR="000A1A74">
        <w:t xml:space="preserve">aliquots, we identified members of the </w:t>
      </w:r>
      <w:r w:rsidR="001368E2">
        <w:t>ethanol-resistant community</w:t>
      </w:r>
      <w:r w:rsidR="000A1A74">
        <w:t xml:space="preserve">. Using </w:t>
      </w:r>
      <w:r w:rsidR="001368E2">
        <w:t>metagenomic data</w:t>
      </w:r>
      <w:r w:rsidR="000A1A74">
        <w:t>,</w:t>
      </w:r>
      <w:r w:rsidR="001368E2">
        <w:t xml:space="preserve"> we also determine</w:t>
      </w:r>
      <w:r w:rsidR="000A1A74">
        <w:t>d which species carried enough sporulation-associated genes to be considered capable of sporulation. In this way, we could distinguish ethanol-resistant taxa, gene-defined spore-formers, and a subset of spore-forming species that were actively present in a spore form at the time of sampling</w:t>
      </w:r>
      <w:r w:rsidR="001368E2">
        <w:t xml:space="preserve">. </w:t>
      </w:r>
    </w:p>
    <w:p w14:paraId="36675C85" w14:textId="2DA2C817" w:rsidR="00003AFB" w:rsidRPr="000A1A74" w:rsidRDefault="00003AFB" w:rsidP="00003AFB">
      <w:r>
        <w:t>Community richness and evenness</w:t>
      </w:r>
      <w:r w:rsidR="000A1A74">
        <w:t>, calculated at the</w:t>
      </w:r>
      <w:r>
        <w:t xml:space="preserve"> OTU-level </w:t>
      </w:r>
      <w:r w:rsidR="000A1A74">
        <w:t xml:space="preserve">from </w:t>
      </w:r>
      <w:r>
        <w:t xml:space="preserve">16S amplicon </w:t>
      </w:r>
      <w:r w:rsidR="000A1A74">
        <w:t xml:space="preserve">data </w:t>
      </w:r>
      <w:r>
        <w:t>and</w:t>
      </w:r>
      <w:r w:rsidR="000A1A74">
        <w:t xml:space="preserve"> at the</w:t>
      </w:r>
      <w:r>
        <w:t xml:space="preserve"> species-level </w:t>
      </w:r>
      <w:r w:rsidR="000A1A74">
        <w:t xml:space="preserve">from </w:t>
      </w:r>
      <w:r>
        <w:t>metagenom</w:t>
      </w:r>
      <w:r w:rsidR="000A1A74">
        <w:t>es, showed</w:t>
      </w:r>
      <w:r>
        <w:t xml:space="preserve"> highly synchronised and stable temporal patterns </w:t>
      </w:r>
      <w:r w:rsidR="000A1A74">
        <w:t xml:space="preserve">within individuals. These patterns were consistent across both sequencing approaches and were accompanied by clear spatial separation of samples in the NMDS ordinations based on Bray-Curtis dissimilarity. Among all recorded metadata only </w:t>
      </w:r>
      <w:r>
        <w:t xml:space="preserve">food supplements and </w:t>
      </w:r>
      <w:r w:rsidR="000A1A74">
        <w:t xml:space="preserve">basic </w:t>
      </w:r>
      <w:r>
        <w:t xml:space="preserve">physical </w:t>
      </w:r>
      <w:r w:rsidR="000A1A74">
        <w:lastRenderedPageBreak/>
        <w:t>characteristics</w:t>
      </w:r>
      <w:r w:rsidR="008C3AE2">
        <w:t xml:space="preserve"> showed detectable associations with community structure, and even these could reflect between-individual differences rather than true drivers, given the small cohort size. </w:t>
      </w:r>
      <w:r>
        <w:t>This</w:t>
      </w:r>
      <w:r w:rsidR="008C3AE2">
        <w:t xml:space="preserve"> concordance</w:t>
      </w:r>
      <w:r>
        <w:t xml:space="preserve"> between </w:t>
      </w:r>
      <w:r w:rsidR="008C3AE2">
        <w:t>methods justified using both 16S amplicon and metagenomic data in subsequent discussion of results. Overall gut</w:t>
      </w:r>
      <w:r>
        <w:rPr>
          <w:rFonts w:cs="Times New Roman"/>
        </w:rPr>
        <w:t xml:space="preserve"> microbiota composition </w:t>
      </w:r>
      <w:r w:rsidR="008C3AE2">
        <w:rPr>
          <w:rFonts w:cs="Times New Roman"/>
        </w:rPr>
        <w:t>matched</w:t>
      </w:r>
      <w:r>
        <w:rPr>
          <w:rFonts w:cs="Times New Roman"/>
        </w:rPr>
        <w:t xml:space="preserve"> previous </w:t>
      </w:r>
      <w:r w:rsidR="008C3AE2">
        <w:rPr>
          <w:rFonts w:cs="Times New Roman"/>
        </w:rPr>
        <w:t>reports from</w:t>
      </w:r>
      <w:r>
        <w:rPr>
          <w:rFonts w:cs="Times New Roman"/>
        </w:rPr>
        <w:t xml:space="preserve"> European and Slovenian populations. </w:t>
      </w:r>
      <w:r w:rsidR="008C3AE2">
        <w:rPr>
          <w:rFonts w:cs="Times New Roman"/>
        </w:rPr>
        <w:t xml:space="preserve">Bacterial representatives dominated, particularly </w:t>
      </w:r>
      <w:r w:rsidRPr="00D93D74">
        <w:rPr>
          <w:rFonts w:cs="Times New Roman"/>
        </w:rPr>
        <w:t xml:space="preserve">phyla </w:t>
      </w:r>
      <w:r w:rsidRPr="00D93D74">
        <w:rPr>
          <w:rFonts w:cs="Times New Roman"/>
          <w:i/>
          <w:iCs/>
        </w:rPr>
        <w:t>Bacillota</w:t>
      </w:r>
      <w:r w:rsidRPr="00D93D74">
        <w:rPr>
          <w:rFonts w:cs="Times New Roman"/>
        </w:rPr>
        <w:t xml:space="preserve"> and </w:t>
      </w:r>
      <w:r w:rsidRPr="00D93D74">
        <w:rPr>
          <w:rFonts w:cs="Times New Roman"/>
          <w:i/>
          <w:iCs/>
        </w:rPr>
        <w:t>Bacteroidota</w:t>
      </w:r>
      <w:r w:rsidRPr="00D93D74">
        <w:rPr>
          <w:rFonts w:cs="Times New Roman"/>
        </w:rPr>
        <w:t xml:space="preserve">, while </w:t>
      </w:r>
      <w:r w:rsidRPr="00D93D74">
        <w:rPr>
          <w:rFonts w:cs="Times New Roman"/>
          <w:i/>
          <w:iCs/>
        </w:rPr>
        <w:t>Pseudomonadota</w:t>
      </w:r>
      <w:r w:rsidRPr="00D93D74">
        <w:rPr>
          <w:rFonts w:cs="Times New Roman"/>
        </w:rPr>
        <w:t xml:space="preserve">, </w:t>
      </w:r>
      <w:r w:rsidRPr="00D93D74">
        <w:rPr>
          <w:rFonts w:cs="Times New Roman"/>
          <w:i/>
          <w:iCs/>
        </w:rPr>
        <w:t>Actinomycetota</w:t>
      </w:r>
      <w:r w:rsidRPr="00D93D74">
        <w:rPr>
          <w:rFonts w:cs="Times New Roman"/>
        </w:rPr>
        <w:t xml:space="preserve"> and</w:t>
      </w:r>
      <w:r>
        <w:rPr>
          <w:rFonts w:cs="Times New Roman"/>
        </w:rPr>
        <w:t>,</w:t>
      </w:r>
      <w:r w:rsidRPr="00D93D74">
        <w:rPr>
          <w:rFonts w:cs="Times New Roman"/>
        </w:rPr>
        <w:t xml:space="preserve"> </w:t>
      </w:r>
      <w:r w:rsidRPr="00D93D74">
        <w:rPr>
          <w:rFonts w:cs="Times New Roman"/>
          <w:i/>
          <w:iCs/>
        </w:rPr>
        <w:t>Verrucomicrobiota</w:t>
      </w:r>
      <w:r w:rsidRPr="00D93D74">
        <w:rPr>
          <w:rFonts w:cs="Times New Roman"/>
        </w:rPr>
        <w:t xml:space="preserve"> </w:t>
      </w:r>
      <w:r w:rsidR="008C3AE2">
        <w:rPr>
          <w:rFonts w:cs="Times New Roman"/>
        </w:rPr>
        <w:t xml:space="preserve">occurred at lower </w:t>
      </w:r>
      <w:r w:rsidRPr="00D93D74">
        <w:rPr>
          <w:rFonts w:cs="Times New Roman"/>
        </w:rPr>
        <w:t xml:space="preserve">relative abundance </w:t>
      </w:r>
      <w:r w:rsidR="008C3AE2">
        <w:rPr>
          <w:rFonts w:cs="Times New Roman"/>
        </w:rPr>
        <w:t>in both datasets</w:t>
      </w:r>
      <w:r>
        <w:rPr>
          <w:rFonts w:cs="Times New Roman"/>
        </w:rPr>
        <w:t xml:space="preserve">. </w:t>
      </w:r>
    </w:p>
    <w:p w14:paraId="3D3571E1" w14:textId="6A875F04" w:rsidR="00003AFB" w:rsidRDefault="00003AFB" w:rsidP="00003AFB">
      <w:pPr>
        <w:rPr>
          <w:rFonts w:cs="Times New Roman"/>
          <w:szCs w:val="24"/>
        </w:rPr>
      </w:pPr>
      <w:r w:rsidRPr="00055836">
        <w:rPr>
          <w:rFonts w:cs="Times New Roman"/>
          <w:szCs w:val="24"/>
        </w:rPr>
        <w:t xml:space="preserve">Ethanol and EMA treatment depleted known non-spore-forming taxa, </w:t>
      </w:r>
      <w:r w:rsidR="004C6DAB">
        <w:rPr>
          <w:rFonts w:cs="Times New Roman"/>
          <w:szCs w:val="24"/>
        </w:rPr>
        <w:t xml:space="preserve">but a fraction </w:t>
      </w:r>
      <w:r w:rsidRPr="00055836">
        <w:rPr>
          <w:rFonts w:cs="Times New Roman"/>
          <w:szCs w:val="24"/>
        </w:rPr>
        <w:t>of non</w:t>
      </w:r>
      <w:r w:rsidRPr="00055836">
        <w:rPr>
          <w:rFonts w:cs="Times New Roman"/>
          <w:szCs w:val="24"/>
        </w:rPr>
        <w:noBreakHyphen/>
        <w:t>spore</w:t>
      </w:r>
      <w:r w:rsidRPr="00055836">
        <w:rPr>
          <w:rFonts w:cs="Times New Roman"/>
          <w:szCs w:val="24"/>
        </w:rPr>
        <w:noBreakHyphen/>
        <w:t>forming</w:t>
      </w:r>
      <w:r w:rsidR="004C6DAB">
        <w:rPr>
          <w:rFonts w:cs="Times New Roman"/>
          <w:szCs w:val="24"/>
        </w:rPr>
        <w:t xml:space="preserve"> </w:t>
      </w:r>
      <w:r w:rsidRPr="00055836">
        <w:rPr>
          <w:rFonts w:cs="Times New Roman"/>
          <w:szCs w:val="24"/>
        </w:rPr>
        <w:t>remained detectable after</w:t>
      </w:r>
      <w:r w:rsidR="004C6DAB">
        <w:rPr>
          <w:rFonts w:cs="Times New Roman"/>
          <w:szCs w:val="24"/>
        </w:rPr>
        <w:t>wards</w:t>
      </w:r>
      <w:r w:rsidRPr="00055836">
        <w:rPr>
          <w:rFonts w:cs="Times New Roman"/>
          <w:szCs w:val="24"/>
        </w:rPr>
        <w:t xml:space="preserve">. </w:t>
      </w:r>
      <w:r>
        <w:rPr>
          <w:rFonts w:cs="Times New Roman"/>
          <w:szCs w:val="24"/>
        </w:rPr>
        <w:t>E</w:t>
      </w:r>
      <w:r w:rsidRPr="00055836">
        <w:rPr>
          <w:rFonts w:cs="Times New Roman"/>
          <w:szCs w:val="24"/>
        </w:rPr>
        <w:t xml:space="preserve">thanol treatment likely enriched for endospores </w:t>
      </w:r>
      <w:r>
        <w:rPr>
          <w:rFonts w:cs="Times New Roman"/>
          <w:szCs w:val="24"/>
        </w:rPr>
        <w:t>and</w:t>
      </w:r>
      <w:r w:rsidRPr="00055836">
        <w:rPr>
          <w:rFonts w:cs="Times New Roman"/>
          <w:szCs w:val="24"/>
        </w:rPr>
        <w:t xml:space="preserve"> other dormant</w:t>
      </w:r>
      <w:r>
        <w:rPr>
          <w:rFonts w:cs="Times New Roman"/>
          <w:szCs w:val="24"/>
        </w:rPr>
        <w:t xml:space="preserve"> or </w:t>
      </w:r>
      <w:r w:rsidRPr="00055836">
        <w:rPr>
          <w:rFonts w:cs="Times New Roman"/>
          <w:szCs w:val="24"/>
        </w:rPr>
        <w:t xml:space="preserve">stress‑tolerant cell </w:t>
      </w:r>
      <w:r w:rsidR="004C6DAB">
        <w:rPr>
          <w:rFonts w:cs="Times New Roman"/>
          <w:szCs w:val="24"/>
        </w:rPr>
        <w:t>forms rather than only for spores</w:t>
      </w:r>
      <w:r w:rsidRPr="00055836">
        <w:rPr>
          <w:rFonts w:cs="Times New Roman"/>
          <w:szCs w:val="24"/>
        </w:rPr>
        <w:t xml:space="preserve">. Because this operational definition of sporobiota is imperfect, </w:t>
      </w:r>
      <w:r w:rsidR="004C6DAB">
        <w:rPr>
          <w:rFonts w:cs="Times New Roman"/>
          <w:szCs w:val="24"/>
        </w:rPr>
        <w:t>we complemented it with</w:t>
      </w:r>
      <w:r w:rsidRPr="00055836">
        <w:rPr>
          <w:rFonts w:cs="Times New Roman"/>
          <w:szCs w:val="24"/>
        </w:rPr>
        <w:t xml:space="preserve"> a gene-based approach</w:t>
      </w:r>
      <w:r w:rsidR="004C6DAB">
        <w:t xml:space="preserve">. </w:t>
      </w:r>
      <w:r w:rsidR="004C6DAB" w:rsidRPr="004C6DAB">
        <w:rPr>
          <w:rFonts w:cs="Times New Roman"/>
          <w:szCs w:val="24"/>
        </w:rPr>
        <w:t xml:space="preserve">Combining ethanol–EMA </w:t>
      </w:r>
      <w:r w:rsidR="004C6DAB">
        <w:rPr>
          <w:rFonts w:cs="Times New Roman"/>
          <w:szCs w:val="24"/>
        </w:rPr>
        <w:t>treatment</w:t>
      </w:r>
      <w:r w:rsidR="004C6DAB" w:rsidRPr="004C6DAB">
        <w:rPr>
          <w:rFonts w:cs="Times New Roman"/>
          <w:szCs w:val="24"/>
        </w:rPr>
        <w:t xml:space="preserve"> with </w:t>
      </w:r>
      <w:r w:rsidR="004C6DAB">
        <w:rPr>
          <w:rFonts w:cs="Times New Roman"/>
          <w:szCs w:val="24"/>
        </w:rPr>
        <w:t>gene</w:t>
      </w:r>
      <w:r w:rsidR="004C6DAB" w:rsidRPr="004C6DAB">
        <w:rPr>
          <w:rFonts w:cs="Times New Roman"/>
          <w:szCs w:val="24"/>
        </w:rPr>
        <w:t>‑based detection of sporulation genes</w:t>
      </w:r>
      <w:r w:rsidR="0067193B" w:rsidRPr="00055836">
        <w:rPr>
          <w:rFonts w:cs="Times New Roman"/>
          <w:szCs w:val="24"/>
        </w:rPr>
        <w:t xml:space="preserve"> revealed a substantial group of </w:t>
      </w:r>
      <w:r w:rsidR="0067193B" w:rsidRPr="00055836">
        <w:rPr>
          <w:rFonts w:cs="Times New Roman"/>
          <w:i/>
          <w:iCs/>
          <w:szCs w:val="24"/>
        </w:rPr>
        <w:t>Bacillota</w:t>
      </w:r>
      <w:r w:rsidR="0067193B" w:rsidRPr="00055836">
        <w:rPr>
          <w:rFonts w:cs="Times New Roman"/>
          <w:szCs w:val="24"/>
        </w:rPr>
        <w:t xml:space="preserve"> </w:t>
      </w:r>
      <w:r w:rsidR="004C6DAB">
        <w:rPr>
          <w:rFonts w:cs="Times New Roman"/>
          <w:szCs w:val="24"/>
        </w:rPr>
        <w:t>species that carried sporulation-associated genes yet were not</w:t>
      </w:r>
      <w:r w:rsidR="0067193B" w:rsidRPr="00055836">
        <w:rPr>
          <w:rFonts w:cs="Times New Roman"/>
          <w:szCs w:val="24"/>
        </w:rPr>
        <w:t xml:space="preserve"> ethanol</w:t>
      </w:r>
      <w:r w:rsidR="004C6DAB">
        <w:rPr>
          <w:rFonts w:cs="Times New Roman"/>
          <w:szCs w:val="24"/>
        </w:rPr>
        <w:t>-</w:t>
      </w:r>
      <w:r w:rsidR="0067193B" w:rsidRPr="00055836">
        <w:rPr>
          <w:rFonts w:cs="Times New Roman"/>
          <w:szCs w:val="24"/>
        </w:rPr>
        <w:t>resistan</w:t>
      </w:r>
      <w:r w:rsidR="004C6DAB">
        <w:rPr>
          <w:rFonts w:cs="Times New Roman"/>
          <w:szCs w:val="24"/>
        </w:rPr>
        <w:t xml:space="preserve">t under our conditions. This indicated </w:t>
      </w:r>
      <w:r w:rsidR="0067193B" w:rsidRPr="00055836">
        <w:rPr>
          <w:rFonts w:cs="Times New Roman"/>
          <w:szCs w:val="24"/>
        </w:rPr>
        <w:t xml:space="preserve">that </w:t>
      </w:r>
      <w:r w:rsidR="004C6DAB">
        <w:rPr>
          <w:rFonts w:cs="Times New Roman"/>
          <w:szCs w:val="24"/>
        </w:rPr>
        <w:t>sporulation ability</w:t>
      </w:r>
      <w:r w:rsidR="0067193B" w:rsidRPr="00055836">
        <w:rPr>
          <w:rFonts w:cs="Times New Roman"/>
          <w:szCs w:val="24"/>
        </w:rPr>
        <w:t xml:space="preserve"> alone does not guarantee spore formation under all conditions.</w:t>
      </w:r>
      <w:r w:rsidR="004C6DAB">
        <w:rPr>
          <w:rFonts w:ascii="Georgia" w:hAnsi="Georgia"/>
        </w:rPr>
        <w:t xml:space="preserve"> </w:t>
      </w:r>
      <w:r w:rsidR="0067193B" w:rsidRPr="00055836">
        <w:rPr>
          <w:szCs w:val="24"/>
        </w:rPr>
        <w:t xml:space="preserve">Ethanol-resistant taxa outside </w:t>
      </w:r>
      <w:r w:rsidR="0067193B" w:rsidRPr="00055836">
        <w:rPr>
          <w:i/>
          <w:iCs/>
          <w:szCs w:val="24"/>
        </w:rPr>
        <w:t>Bacillota</w:t>
      </w:r>
      <w:r w:rsidR="0067193B" w:rsidRPr="00055836">
        <w:rPr>
          <w:szCs w:val="24"/>
        </w:rPr>
        <w:t xml:space="preserve"> were rare in our study and the mechanisms underlying their resistance remain poorly characteri</w:t>
      </w:r>
      <w:r w:rsidR="0067193B">
        <w:rPr>
          <w:szCs w:val="24"/>
        </w:rPr>
        <w:t>s</w:t>
      </w:r>
      <w:r w:rsidR="0067193B" w:rsidRPr="00055836">
        <w:rPr>
          <w:szCs w:val="24"/>
        </w:rPr>
        <w:t xml:space="preserve">ed. Although exospore formation </w:t>
      </w:r>
      <w:r w:rsidR="004C6DAB">
        <w:rPr>
          <w:szCs w:val="24"/>
        </w:rPr>
        <w:t>is known</w:t>
      </w:r>
      <w:r w:rsidR="0067193B" w:rsidRPr="00055836">
        <w:rPr>
          <w:szCs w:val="24"/>
        </w:rPr>
        <w:t xml:space="preserve"> in </w:t>
      </w:r>
      <w:r w:rsidR="0067193B" w:rsidRPr="00055836">
        <w:rPr>
          <w:i/>
          <w:iCs/>
          <w:szCs w:val="24"/>
        </w:rPr>
        <w:t>Actinomycetaceae</w:t>
      </w:r>
      <w:r w:rsidR="0067193B" w:rsidRPr="00055836">
        <w:rPr>
          <w:szCs w:val="24"/>
        </w:rPr>
        <w:t xml:space="preserve"> and </w:t>
      </w:r>
      <w:r w:rsidR="0067193B" w:rsidRPr="00055836">
        <w:rPr>
          <w:i/>
          <w:iCs/>
          <w:szCs w:val="24"/>
        </w:rPr>
        <w:t>Streptomycetaceae</w:t>
      </w:r>
      <w:r w:rsidR="0067193B" w:rsidRPr="00055836">
        <w:rPr>
          <w:szCs w:val="24"/>
        </w:rPr>
        <w:t>, these families contributed minimally to the ethanol</w:t>
      </w:r>
      <w:r w:rsidR="0067193B" w:rsidRPr="00055836">
        <w:rPr>
          <w:szCs w:val="24"/>
        </w:rPr>
        <w:noBreakHyphen/>
        <w:t xml:space="preserve">resistant community in our cohort, with five </w:t>
      </w:r>
      <w:r w:rsidR="0067193B" w:rsidRPr="00055836">
        <w:rPr>
          <w:i/>
          <w:iCs/>
          <w:szCs w:val="24"/>
        </w:rPr>
        <w:t>Actinomycetaceae</w:t>
      </w:r>
      <w:r w:rsidR="0067193B" w:rsidRPr="00055836">
        <w:rPr>
          <w:szCs w:val="24"/>
        </w:rPr>
        <w:t xml:space="preserve"> species detected and no </w:t>
      </w:r>
      <w:r w:rsidR="0067193B" w:rsidRPr="00055836">
        <w:rPr>
          <w:i/>
          <w:iCs/>
          <w:szCs w:val="24"/>
        </w:rPr>
        <w:t>Streptomycetaceae</w:t>
      </w:r>
      <w:r w:rsidR="0067193B" w:rsidRPr="00055836">
        <w:rPr>
          <w:szCs w:val="24"/>
        </w:rPr>
        <w:t xml:space="preserve"> recovered from ethanol-treated samples.</w:t>
      </w:r>
      <w:r w:rsidR="0067193B" w:rsidRPr="00055836" w:rsidDel="00E7180D">
        <w:rPr>
          <w:szCs w:val="24"/>
        </w:rPr>
        <w:t xml:space="preserve"> </w:t>
      </w:r>
      <w:r w:rsidR="0067193B" w:rsidRPr="00055836">
        <w:rPr>
          <w:szCs w:val="24"/>
        </w:rPr>
        <w:t xml:space="preserve">This is consistent with previous studies in which these groups were reported in ethanol- or lysozyme-treated communities. Members of </w:t>
      </w:r>
      <w:r w:rsidR="0067193B" w:rsidRPr="00055836">
        <w:rPr>
          <w:i/>
          <w:iCs/>
          <w:szCs w:val="24"/>
        </w:rPr>
        <w:t xml:space="preserve">Pseudomonadota </w:t>
      </w:r>
      <w:r w:rsidR="0067193B" w:rsidRPr="00055836">
        <w:rPr>
          <w:szCs w:val="24"/>
        </w:rPr>
        <w:t>(nine species detected in the ethanol-resistant community)</w:t>
      </w:r>
      <w:r w:rsidR="004C6DAB">
        <w:rPr>
          <w:szCs w:val="24"/>
        </w:rPr>
        <w:t xml:space="preserve"> have </w:t>
      </w:r>
      <w:r w:rsidR="0067193B" w:rsidRPr="00055836">
        <w:rPr>
          <w:szCs w:val="24"/>
        </w:rPr>
        <w:t xml:space="preserve">previously </w:t>
      </w:r>
      <w:r w:rsidR="004C6DAB">
        <w:rPr>
          <w:szCs w:val="24"/>
        </w:rPr>
        <w:t>been found</w:t>
      </w:r>
      <w:r w:rsidR="0067193B" w:rsidRPr="00055836">
        <w:rPr>
          <w:szCs w:val="24"/>
        </w:rPr>
        <w:t xml:space="preserve"> in the ethanol-resistant community and </w:t>
      </w:r>
      <w:r w:rsidR="004C6DAB">
        <w:rPr>
          <w:szCs w:val="24"/>
        </w:rPr>
        <w:t>are known</w:t>
      </w:r>
      <w:r w:rsidR="0067193B" w:rsidRPr="00055836">
        <w:rPr>
          <w:szCs w:val="24"/>
        </w:rPr>
        <w:t xml:space="preserve"> to adopt dormant life strategies</w:t>
      </w:r>
      <w:r w:rsidR="004C6DAB">
        <w:rPr>
          <w:szCs w:val="24"/>
        </w:rPr>
        <w:t xml:space="preserve"> such as</w:t>
      </w:r>
      <w:r w:rsidR="0067193B" w:rsidRPr="00055836">
        <w:rPr>
          <w:szCs w:val="24"/>
        </w:rPr>
        <w:t xml:space="preserve"> non-spore persistence and the viable but non-culturable state. Together, these observations indicate that ethanol resistance may serve as a proxy for a broader spectrum of dormant or stress</w:t>
      </w:r>
      <w:r w:rsidR="0067193B" w:rsidRPr="00055836">
        <w:rPr>
          <w:szCs w:val="24"/>
        </w:rPr>
        <w:noBreakHyphen/>
        <w:t>tolerant cell states, including but not limited to endospores</w:t>
      </w:r>
    </w:p>
    <w:p w14:paraId="6FAA229F" w14:textId="3AE6A336" w:rsidR="0067193B" w:rsidRDefault="004C6DAB" w:rsidP="0067193B">
      <w:r>
        <w:t>Within</w:t>
      </w:r>
      <w:r w:rsidR="0067193B" w:rsidRPr="003B7D22">
        <w:t xml:space="preserve"> our cohort, ethanol</w:t>
      </w:r>
      <w:r w:rsidR="0067193B" w:rsidRPr="003B7D22">
        <w:noBreakHyphen/>
        <w:t xml:space="preserve">resistant spore-forming species were both more prevalent </w:t>
      </w:r>
      <w:r>
        <w:t>across</w:t>
      </w:r>
      <w:r w:rsidR="0067193B" w:rsidRPr="003B7D22">
        <w:t xml:space="preserve"> individuals and more persistent within individuals over six months</w:t>
      </w:r>
      <w:r>
        <w:t>. This supports</w:t>
      </w:r>
      <w:r w:rsidR="0067193B">
        <w:t xml:space="preserve"> </w:t>
      </w:r>
      <w:r w:rsidR="0067193B" w:rsidRPr="003B7D22">
        <w:t xml:space="preserve">comparative genomic predictions </w:t>
      </w:r>
      <w:r>
        <w:t xml:space="preserve">linking </w:t>
      </w:r>
      <w:r w:rsidR="0067193B" w:rsidRPr="003B7D22">
        <w:t xml:space="preserve">sporulation ability </w:t>
      </w:r>
      <w:r>
        <w:t>to</w:t>
      </w:r>
      <w:r w:rsidR="0067193B" w:rsidRPr="003B7D22">
        <w:t xml:space="preserve"> higher population</w:t>
      </w:r>
      <w:r w:rsidR="0067193B" w:rsidRPr="003B7D22">
        <w:noBreakHyphen/>
        <w:t>level prevalenc</w:t>
      </w:r>
      <w:r w:rsidR="0067193B">
        <w:t>e</w:t>
      </w:r>
      <w:r w:rsidR="0067193B" w:rsidRPr="003B7D22">
        <w:t xml:space="preserve"> and </w:t>
      </w:r>
      <w:r>
        <w:t>matches</w:t>
      </w:r>
      <w:r w:rsidR="0067193B" w:rsidRPr="003B7D22">
        <w:t xml:space="preserve"> experimental findings from lysozyme treated communities</w:t>
      </w:r>
      <w:r w:rsidR="0067193B">
        <w:t xml:space="preserve">. </w:t>
      </w:r>
      <w:r w:rsidR="0067193B" w:rsidRPr="003B7D22">
        <w:t>Within this context, our longitudinal findings show that ethanol</w:t>
      </w:r>
      <w:r w:rsidR="0067193B" w:rsidRPr="003B7D22">
        <w:noBreakHyphen/>
        <w:t>resistant and particularly spore</w:t>
      </w:r>
      <w:r w:rsidR="0067193B" w:rsidRPr="003B7D22">
        <w:noBreakHyphen/>
        <w:t xml:space="preserve">forming </w:t>
      </w:r>
      <w:r w:rsidR="0067193B" w:rsidRPr="003B7D22">
        <w:rPr>
          <w:i/>
          <w:iCs/>
        </w:rPr>
        <w:t>Bacillota</w:t>
      </w:r>
      <w:r w:rsidR="0067193B" w:rsidRPr="003B7D22">
        <w:t xml:space="preserve"> behave as a gut “seed bank”, persisting over months</w:t>
      </w:r>
      <w:r>
        <w:t xml:space="preserve"> even as other taxa fluctuate</w:t>
      </w:r>
      <w:r w:rsidR="0067193B" w:rsidRPr="003B7D22">
        <w:t xml:space="preserve">. In contrast non-spore-forming </w:t>
      </w:r>
      <w:r>
        <w:t>bacteria</w:t>
      </w:r>
      <w:r w:rsidR="0067193B" w:rsidRPr="003B7D22">
        <w:t xml:space="preserve"> </w:t>
      </w:r>
      <w:r>
        <w:t>showed greater</w:t>
      </w:r>
      <w:r w:rsidR="0067193B" w:rsidRPr="003B7D22">
        <w:t xml:space="preserve"> within-individual turnover and were less likely to be shared within our cohort. </w:t>
      </w:r>
      <w:r>
        <w:t>E</w:t>
      </w:r>
      <w:r w:rsidR="0067193B" w:rsidRPr="003B7D22">
        <w:t xml:space="preserve">thanol-resistant taxa outside </w:t>
      </w:r>
      <w:r w:rsidR="0067193B" w:rsidRPr="003B7D22">
        <w:rPr>
          <w:i/>
          <w:iCs/>
        </w:rPr>
        <w:t>Bacillota</w:t>
      </w:r>
      <w:r w:rsidR="0067193B" w:rsidRPr="003B7D22">
        <w:t xml:space="preserve"> </w:t>
      </w:r>
      <w:r>
        <w:t>tended to be more widely shared between individuals</w:t>
      </w:r>
      <w:r w:rsidR="0067193B" w:rsidRPr="003B7D22">
        <w:t xml:space="preserve">, </w:t>
      </w:r>
      <w:r>
        <w:t>yet they contributed little to</w:t>
      </w:r>
      <w:r w:rsidR="0067193B" w:rsidRPr="003B7D22">
        <w:t xml:space="preserve"> long-term persistence within the host. This </w:t>
      </w:r>
      <w:r>
        <w:t xml:space="preserve">pattern </w:t>
      </w:r>
      <w:r w:rsidR="0067193B" w:rsidRPr="003B7D22">
        <w:t>suggests that alternative dormancy or stress</w:t>
      </w:r>
      <w:r w:rsidR="0067193B" w:rsidRPr="003B7D22">
        <w:noBreakHyphen/>
        <w:t>response mechanisms in these lineages preferentially support transmission within the population rather than long</w:t>
      </w:r>
      <w:r w:rsidR="0067193B" w:rsidRPr="003B7D22">
        <w:noBreakHyphen/>
        <w:t>term coloni</w:t>
      </w:r>
      <w:r w:rsidR="0067193B">
        <w:t>s</w:t>
      </w:r>
      <w:r w:rsidR="0067193B" w:rsidRPr="003B7D22">
        <w:t>ation.</w:t>
      </w:r>
    </w:p>
    <w:p w14:paraId="32945B1E" w14:textId="5CF9FB2F" w:rsidR="0067193B" w:rsidRPr="003B7D22" w:rsidRDefault="004C6DAB" w:rsidP="0067193B">
      <w:r>
        <w:t>We calculated s</w:t>
      </w:r>
      <w:r w:rsidR="0067193B">
        <w:t xml:space="preserve">porulation frequency for </w:t>
      </w:r>
      <w:r w:rsidR="0067193B" w:rsidRPr="00055836">
        <w:t xml:space="preserve">the highly abundant and persistent ethanol-resistant </w:t>
      </w:r>
      <w:r w:rsidR="0067193B" w:rsidRPr="00055836">
        <w:rPr>
          <w:i/>
          <w:iCs/>
        </w:rPr>
        <w:t>Bacillota</w:t>
      </w:r>
      <w:r w:rsidR="0067193B" w:rsidRPr="00055836">
        <w:t xml:space="preserve"> </w:t>
      </w:r>
      <w:r>
        <w:t xml:space="preserve">OTUs as the ration of </w:t>
      </w:r>
      <w:r w:rsidR="0067193B">
        <w:t xml:space="preserve">normalized abundance in ethanol treated samples </w:t>
      </w:r>
      <w:r w:rsidR="0033022E">
        <w:t xml:space="preserve">to that in </w:t>
      </w:r>
      <w:r w:rsidR="0067193B">
        <w:lastRenderedPageBreak/>
        <w:t>untreated samples</w:t>
      </w:r>
      <w:r w:rsidR="0033022E">
        <w:t>, e</w:t>
      </w:r>
      <w:r w:rsidR="0067193B">
        <w:t xml:space="preserve">ffectively </w:t>
      </w:r>
      <w:r w:rsidR="0033022E">
        <w:t xml:space="preserve">estimating the fraction of spores among all cells of that OTU. </w:t>
      </w:r>
      <w:r w:rsidR="0067193B" w:rsidRPr="00055836">
        <w:t>One of the key findings is that gut spore-formers</w:t>
      </w:r>
      <w:r w:rsidR="0033022E">
        <w:t xml:space="preserve"> appear to</w:t>
      </w:r>
      <w:r w:rsidR="0067193B" w:rsidRPr="00055836">
        <w:t xml:space="preserve"> respond to </w:t>
      </w:r>
      <w:r w:rsidR="0067193B">
        <w:t xml:space="preserve">the </w:t>
      </w:r>
      <w:r w:rsidR="0033022E">
        <w:t>shared</w:t>
      </w:r>
      <w:r w:rsidR="0067193B" w:rsidRPr="00055836">
        <w:t xml:space="preserve"> environmental signals</w:t>
      </w:r>
      <w:r w:rsidR="0033022E">
        <w:t xml:space="preserve"> within a host</w:t>
      </w:r>
      <w:r w:rsidR="0067193B" w:rsidRPr="00055836">
        <w:t>, resulting in synchroni</w:t>
      </w:r>
      <w:r w:rsidR="0067193B">
        <w:t>s</w:t>
      </w:r>
      <w:r w:rsidR="0067193B" w:rsidRPr="00055836">
        <w:t>ed sporulation across diverse genera</w:t>
      </w:r>
      <w:r w:rsidR="0033022E">
        <w:t>.</w:t>
      </w:r>
      <w:r w:rsidR="0067193B" w:rsidRPr="00055836">
        <w:t xml:space="preserve"> These </w:t>
      </w:r>
      <w:r w:rsidR="0033022E">
        <w:t xml:space="preserve">temporal </w:t>
      </w:r>
      <w:r w:rsidR="0067193B" w:rsidRPr="00055836">
        <w:t xml:space="preserve">fluctuations were not conserved across hosts, suggesting that sporulation </w:t>
      </w:r>
      <w:r w:rsidR="0033022E">
        <w:t>dynamics are</w:t>
      </w:r>
      <w:r w:rsidR="0067193B" w:rsidRPr="00055836">
        <w:t xml:space="preserve"> governed primarily by host specific environmental and physiological conditions rather than by </w:t>
      </w:r>
      <w:r w:rsidR="0033022E">
        <w:t xml:space="preserve">fixed, </w:t>
      </w:r>
      <w:r w:rsidR="0067193B" w:rsidRPr="00055836">
        <w:t>taxon specific mechanisms.</w:t>
      </w:r>
    </w:p>
    <w:p w14:paraId="736CFE41" w14:textId="6B680565" w:rsidR="0067193B" w:rsidRDefault="001368E2" w:rsidP="0067193B">
      <w:pPr>
        <w:rPr>
          <w:rFonts w:cs="Times New Roman"/>
        </w:rPr>
      </w:pPr>
      <w:r>
        <w:t xml:space="preserve">Metagenomic data also enabled characterisation of antimicrobial resistance genes and their </w:t>
      </w:r>
      <w:r w:rsidR="0033022E">
        <w:t>relationship with</w:t>
      </w:r>
      <w:r>
        <w:t xml:space="preserve"> bacterial diversity. </w:t>
      </w:r>
      <w:r w:rsidR="0033022E">
        <w:t xml:space="preserve">Each individual harboured between </w:t>
      </w:r>
      <w:r w:rsidR="0067193B">
        <w:rPr>
          <w:rFonts w:cs="Times New Roman"/>
        </w:rPr>
        <w:t xml:space="preserve">81 and 101 unique antimicrobial resistance genes (ARGs), of which on average </w:t>
      </w:r>
      <w:r w:rsidR="0033022E">
        <w:rPr>
          <w:rFonts w:cs="Times New Roman"/>
        </w:rPr>
        <w:t>about half</w:t>
      </w:r>
      <w:r w:rsidR="0067193B">
        <w:rPr>
          <w:rFonts w:cs="Times New Roman"/>
        </w:rPr>
        <w:t xml:space="preserve"> were consistently present </w:t>
      </w:r>
      <w:r w:rsidR="0033022E">
        <w:rPr>
          <w:rFonts w:cs="Times New Roman"/>
        </w:rPr>
        <w:t>across</w:t>
      </w:r>
      <w:r w:rsidR="0067193B">
        <w:rPr>
          <w:rFonts w:cs="Times New Roman"/>
        </w:rPr>
        <w:t xml:space="preserve"> six months, indicating diverse </w:t>
      </w:r>
      <w:r w:rsidR="0033022E">
        <w:rPr>
          <w:rFonts w:cs="Times New Roman"/>
        </w:rPr>
        <w:t>but</w:t>
      </w:r>
      <w:r w:rsidR="0067193B">
        <w:rPr>
          <w:rFonts w:cs="Times New Roman"/>
        </w:rPr>
        <w:t xml:space="preserve"> temporally stable multi-class resistome</w:t>
      </w:r>
      <w:r w:rsidR="0033022E">
        <w:rPr>
          <w:rFonts w:cs="Times New Roman"/>
        </w:rPr>
        <w:t xml:space="preserve"> in healthy adults</w:t>
      </w:r>
      <w:r w:rsidR="0067193B">
        <w:rPr>
          <w:rFonts w:cs="Times New Roman"/>
        </w:rPr>
        <w:t xml:space="preserve">. </w:t>
      </w:r>
      <w:r w:rsidR="0033022E">
        <w:rPr>
          <w:rFonts w:cs="Times New Roman"/>
        </w:rPr>
        <w:t xml:space="preserve">The high abundance and persistence of tetracycline resistance genes are consistent with reports from European populations, but do not correspond to the most used antibiotics in Slovenia. </w:t>
      </w:r>
      <w:r w:rsidR="0033022E" w:rsidRPr="0033022E">
        <w:rPr>
          <w:rFonts w:cs="Times New Roman"/>
        </w:rPr>
        <w:t xml:space="preserve">Clinical surveillance in Slovenia has documented important carbapenem and beta‑lactam resistance genes in hospital settings, rivers and wastewaters, but these determinants were absent from the gut of our healthy participants, except for </w:t>
      </w:r>
      <w:r w:rsidR="0033022E">
        <w:rPr>
          <w:rFonts w:cs="Times New Roman"/>
          <w:i/>
          <w:iCs/>
        </w:rPr>
        <w:t>bla</w:t>
      </w:r>
      <w:r w:rsidR="0033022E" w:rsidRPr="0033022E">
        <w:rPr>
          <w:rFonts w:cs="Times New Roman"/>
          <w:vertAlign w:val="subscript"/>
        </w:rPr>
        <w:t xml:space="preserve">CTX-M1 </w:t>
      </w:r>
      <w:r w:rsidR="0033022E" w:rsidRPr="0033022E">
        <w:rPr>
          <w:rFonts w:cs="Times New Roman"/>
        </w:rPr>
        <w:t>detected at very low abundance in a single individual.</w:t>
      </w:r>
      <w:r w:rsidR="0033022E">
        <w:rPr>
          <w:rFonts w:cs="Times New Roman"/>
        </w:rPr>
        <w:t xml:space="preserve"> W</w:t>
      </w:r>
      <w:r w:rsidR="0067193B">
        <w:rPr>
          <w:rFonts w:cs="Times New Roman"/>
        </w:rPr>
        <w:t xml:space="preserve">e </w:t>
      </w:r>
      <w:r w:rsidR="0067193B" w:rsidRPr="006F3169">
        <w:rPr>
          <w:rFonts w:cs="Times New Roman"/>
        </w:rPr>
        <w:t>hypothesised that lower bacterial diversity would correlate with increased ARG diversity</w:t>
      </w:r>
      <w:r w:rsidR="0033022E">
        <w:rPr>
          <w:rFonts w:cs="Times New Roman"/>
        </w:rPr>
        <w:t xml:space="preserve">, the </w:t>
      </w:r>
      <w:r w:rsidR="0067193B" w:rsidRPr="00FA10E7">
        <w:rPr>
          <w:rFonts w:cs="Times New Roman"/>
        </w:rPr>
        <w:t>data did not support this</w:t>
      </w:r>
      <w:r w:rsidR="0033022E">
        <w:rPr>
          <w:rFonts w:cs="Times New Roman"/>
        </w:rPr>
        <w:t>. No</w:t>
      </w:r>
      <w:r w:rsidR="0067193B" w:rsidRPr="00FA10E7">
        <w:rPr>
          <w:rFonts w:cs="Times New Roman"/>
        </w:rPr>
        <w:t xml:space="preserve"> significant association was observed between bacterial diversity and ARG diversity over time. </w:t>
      </w:r>
      <w:r w:rsidR="0033022E" w:rsidRPr="0033022E">
        <w:rPr>
          <w:rFonts w:cs="Times New Roman"/>
        </w:rPr>
        <w:t>Instead, any relationships appeared to be class‑specific and subtle, rather than a simple inverse link between diversity and resistance.</w:t>
      </w:r>
    </w:p>
    <w:p w14:paraId="13EE98E0" w14:textId="77777777" w:rsidR="00FB5EFC" w:rsidRDefault="00885DDA" w:rsidP="00236DBE">
      <w:pPr>
        <w:rPr>
          <w:rFonts w:cs="Times New Roman"/>
          <w:szCs w:val="24"/>
        </w:rPr>
      </w:pPr>
      <w:r w:rsidRPr="00885DDA">
        <w:t xml:space="preserve">In addition to culture‑independent profiling, we cultivated selected spore‑forming bacteria from three ethanol‑treated samples of a single participant (H) who received antibiotics during the study. This individual was particularly informative for examining persistence of spore‑formers across antibiotic exposure. </w:t>
      </w:r>
      <w:r w:rsidR="00763C7C">
        <w:t xml:space="preserve">Using short </w:t>
      </w:r>
      <w:r>
        <w:t>incubation</w:t>
      </w:r>
      <w:r w:rsidR="00763C7C">
        <w:t xml:space="preserve"> time and a rich </w:t>
      </w:r>
      <w:r w:rsidR="006E64BD">
        <w:t>medium</w:t>
      </w:r>
      <w:r>
        <w:t xml:space="preserve">, </w:t>
      </w:r>
      <w:r w:rsidR="006E64BD">
        <w:t>we selected for fast</w:t>
      </w:r>
      <w:r>
        <w:t>-</w:t>
      </w:r>
      <w:r w:rsidR="006E64BD">
        <w:t>germinating</w:t>
      </w:r>
      <w:r>
        <w:t>, fast-</w:t>
      </w:r>
      <w:r w:rsidR="00297072">
        <w:t xml:space="preserve">growing species </w:t>
      </w:r>
      <w:r w:rsidR="00297072" w:rsidRPr="00297072">
        <w:rPr>
          <w:i/>
          <w:iCs/>
        </w:rPr>
        <w:t>Clostridum saudiense</w:t>
      </w:r>
      <w:r w:rsidR="00297072">
        <w:t xml:space="preserve">. </w:t>
      </w:r>
      <w:r>
        <w:t>S</w:t>
      </w:r>
      <w:r w:rsidR="00297072">
        <w:t>hort-read whole-genome sequencing o</w:t>
      </w:r>
      <w:r>
        <w:t>f</w:t>
      </w:r>
      <w:r w:rsidR="00297072">
        <w:t xml:space="preserve"> all 42 isolates </w:t>
      </w:r>
      <w:r>
        <w:t>and additional l</w:t>
      </w:r>
      <w:r w:rsidR="00297072">
        <w:t>ong-read sequencing o</w:t>
      </w:r>
      <w:r>
        <w:t>f</w:t>
      </w:r>
      <w:r w:rsidR="00297072">
        <w:t xml:space="preserve"> selected five </w:t>
      </w:r>
      <w:r>
        <w:t>representatives</w:t>
      </w:r>
      <w:r w:rsidR="00297072">
        <w:t>,</w:t>
      </w:r>
      <w:r>
        <w:t xml:space="preserve"> yielded</w:t>
      </w:r>
      <w:r w:rsidR="00297072">
        <w:t xml:space="preserve"> 42 draft genomes</w:t>
      </w:r>
      <w:r>
        <w:t xml:space="preserve"> and substantially </w:t>
      </w:r>
      <w:r w:rsidR="00297072">
        <w:t>expand</w:t>
      </w:r>
      <w:r>
        <w:t>ed</w:t>
      </w:r>
      <w:r w:rsidR="00297072">
        <w:t xml:space="preserve"> the known genetic diversity of this species</w:t>
      </w:r>
      <w:r w:rsidR="00FB5EFC">
        <w:t xml:space="preserve">. Previously, </w:t>
      </w:r>
      <w:r w:rsidR="00FB5EFC">
        <w:rPr>
          <w:i/>
          <w:iCs/>
        </w:rPr>
        <w:t>C. saudiense</w:t>
      </w:r>
      <w:r w:rsidR="00FB5EFC">
        <w:t xml:space="preserve"> was represented by</w:t>
      </w:r>
      <w:r w:rsidR="00297072" w:rsidRPr="00A90451">
        <w:rPr>
          <w:rFonts w:cs="Times New Roman"/>
          <w:szCs w:val="24"/>
        </w:rPr>
        <w:t xml:space="preserve"> 3</w:t>
      </w:r>
      <w:r w:rsidR="00297072">
        <w:rPr>
          <w:rFonts w:cs="Times New Roman"/>
          <w:szCs w:val="24"/>
        </w:rPr>
        <w:t>1</w:t>
      </w:r>
      <w:r w:rsidR="00297072" w:rsidRPr="00A90451">
        <w:rPr>
          <w:rFonts w:cs="Times New Roman"/>
          <w:szCs w:val="24"/>
        </w:rPr>
        <w:t xml:space="preserve"> isolate draft genomes and </w:t>
      </w:r>
      <w:r w:rsidR="00297072">
        <w:rPr>
          <w:rFonts w:cs="Times New Roman"/>
          <w:szCs w:val="24"/>
        </w:rPr>
        <w:t>7</w:t>
      </w:r>
      <w:r w:rsidR="00297072" w:rsidRPr="00A90451">
        <w:rPr>
          <w:rFonts w:cs="Times New Roman"/>
          <w:szCs w:val="24"/>
        </w:rPr>
        <w:t xml:space="preserve"> metagenome-assembled genomes (MAGs)</w:t>
      </w:r>
      <w:r w:rsidR="00297072">
        <w:rPr>
          <w:rFonts w:cs="Times New Roman"/>
          <w:szCs w:val="24"/>
        </w:rPr>
        <w:t xml:space="preserve">. </w:t>
      </w:r>
      <w:r w:rsidR="00FB5EFC" w:rsidRPr="00FB5EFC">
        <w:rPr>
          <w:rFonts w:cs="Times New Roman"/>
          <w:szCs w:val="24"/>
        </w:rPr>
        <w:t xml:space="preserve">The earlier isolates derived mostly from adult human stool, with a few from infants and one from cattle, and the MAGs came from human gut metagenomes. </w:t>
      </w:r>
    </w:p>
    <w:p w14:paraId="514A6640" w14:textId="200B2878" w:rsidR="00262A46" w:rsidRDefault="00FB5EFC" w:rsidP="00236DBE">
      <w:pPr>
        <w:rPr>
          <w:rFonts w:cs="Times New Roman"/>
          <w:szCs w:val="24"/>
        </w:rPr>
      </w:pPr>
      <w:r w:rsidRPr="00FB5EFC">
        <w:rPr>
          <w:rFonts w:cs="Times New Roman"/>
          <w:szCs w:val="24"/>
        </w:rPr>
        <w:t>Core‑genome SNP and pangenome analyses identified seven distinct strains in our isolate set</w:t>
      </w:r>
      <w:r>
        <w:rPr>
          <w:rFonts w:cs="Times New Roman"/>
          <w:szCs w:val="24"/>
        </w:rPr>
        <w:t>, expanding the strain richness previously determined in other culturomics studies from human gut, where only 1 – 4 strains per species were estimated or detected</w:t>
      </w:r>
      <w:r w:rsidRPr="00FB5EFC">
        <w:rPr>
          <w:rFonts w:cs="Times New Roman"/>
          <w:szCs w:val="24"/>
        </w:rPr>
        <w:t xml:space="preserve">. Through cultivation, these strains were detected at one (five strains), two (one strain) or all three (one strain) of the time points sampled from participant H. </w:t>
      </w:r>
      <w:r>
        <w:rPr>
          <w:rFonts w:cs="Times New Roman"/>
          <w:szCs w:val="24"/>
        </w:rPr>
        <w:t>Because c</w:t>
      </w:r>
      <w:r w:rsidR="00297072" w:rsidRPr="00A90451">
        <w:rPr>
          <w:rFonts w:cs="Times New Roman"/>
          <w:szCs w:val="24"/>
        </w:rPr>
        <w:t>ultivat</w:t>
      </w:r>
      <w:r w:rsidR="00297072">
        <w:rPr>
          <w:rFonts w:cs="Times New Roman"/>
          <w:szCs w:val="24"/>
        </w:rPr>
        <w:t xml:space="preserve">ion </w:t>
      </w:r>
      <w:r>
        <w:rPr>
          <w:rFonts w:cs="Times New Roman"/>
          <w:szCs w:val="24"/>
        </w:rPr>
        <w:t xml:space="preserve">inherently favours certain phenotypes and conditions, we extended strain tracking by integrating these genomes with longitudinal metagenomic data over six months. </w:t>
      </w:r>
      <w:r w:rsidRPr="00FB5EFC">
        <w:rPr>
          <w:rFonts w:cs="Times New Roman"/>
          <w:szCs w:val="24"/>
        </w:rPr>
        <w:t>Ethanol treatment plus cultivation allowed recovery of germinated spores, while metagenomics captured DNA from both vegetative and spore‑associated cells when their abundance and coverage were sufficient.</w:t>
      </w:r>
      <w:r>
        <w:rPr>
          <w:rFonts w:cs="Times New Roman"/>
          <w:szCs w:val="24"/>
        </w:rPr>
        <w:t xml:space="preserve"> </w:t>
      </w:r>
      <w:r w:rsidR="00297072">
        <w:rPr>
          <w:rFonts w:cs="Times New Roman"/>
          <w:szCs w:val="24"/>
        </w:rPr>
        <w:t xml:space="preserve">With </w:t>
      </w:r>
      <w:r>
        <w:rPr>
          <w:rFonts w:cs="Times New Roman"/>
          <w:szCs w:val="24"/>
        </w:rPr>
        <w:t>this combined</w:t>
      </w:r>
      <w:r w:rsidR="00297072">
        <w:rPr>
          <w:rFonts w:cs="Times New Roman"/>
          <w:szCs w:val="24"/>
        </w:rPr>
        <w:t xml:space="preserve"> approach we </w:t>
      </w:r>
      <w:r>
        <w:rPr>
          <w:rFonts w:cs="Times New Roman"/>
          <w:szCs w:val="24"/>
        </w:rPr>
        <w:t xml:space="preserve">observed a drop in metagenomic detectability of </w:t>
      </w:r>
      <w:r>
        <w:rPr>
          <w:rFonts w:cs="Times New Roman"/>
          <w:i/>
          <w:iCs/>
          <w:szCs w:val="24"/>
        </w:rPr>
        <w:t>C. saudiense</w:t>
      </w:r>
      <w:r>
        <w:rPr>
          <w:rFonts w:cs="Times New Roman"/>
          <w:szCs w:val="24"/>
        </w:rPr>
        <w:t xml:space="preserve"> during antibiotic treatment, but </w:t>
      </w:r>
      <w:r>
        <w:rPr>
          <w:rFonts w:cs="Times New Roman"/>
          <w:szCs w:val="24"/>
        </w:rPr>
        <w:lastRenderedPageBreak/>
        <w:t xml:space="preserve">continuous presence of all seven strains across the entire sampling period. </w:t>
      </w:r>
      <w:r w:rsidRPr="00FB5EFC">
        <w:rPr>
          <w:rFonts w:cs="Times New Roman"/>
          <w:szCs w:val="24"/>
        </w:rPr>
        <w:t>Amoxicillin susceptibility of these strains was confirmed both in vitro and in silico.</w:t>
      </w:r>
      <w:r>
        <w:rPr>
          <w:rFonts w:cs="Times New Roman"/>
          <w:szCs w:val="24"/>
        </w:rPr>
        <w:t xml:space="preserve"> A key advantage of our strain-tracking strategy is that marker genes are derived directly from the isolated </w:t>
      </w:r>
      <w:r>
        <w:rPr>
          <w:rFonts w:cs="Times New Roman"/>
          <w:i/>
          <w:iCs/>
          <w:szCs w:val="24"/>
        </w:rPr>
        <w:t xml:space="preserve">C. saudiense </w:t>
      </w:r>
      <w:r>
        <w:rPr>
          <w:rFonts w:cs="Times New Roman"/>
          <w:szCs w:val="24"/>
        </w:rPr>
        <w:t xml:space="preserve">genomes, </w:t>
      </w:r>
      <w:r w:rsidR="00297072" w:rsidRPr="00A90451">
        <w:rPr>
          <w:rFonts w:cs="Times New Roman"/>
          <w:szCs w:val="24"/>
        </w:rPr>
        <w:t xml:space="preserve">allowing explicit </w:t>
      </w:r>
      <w:r>
        <w:rPr>
          <w:rFonts w:cs="Times New Roman"/>
          <w:szCs w:val="24"/>
        </w:rPr>
        <w:t xml:space="preserve">longitudinal </w:t>
      </w:r>
      <w:r w:rsidR="00297072" w:rsidRPr="00A90451">
        <w:rPr>
          <w:rFonts w:cs="Times New Roman"/>
          <w:szCs w:val="24"/>
        </w:rPr>
        <w:t xml:space="preserve">tracking of these </w:t>
      </w:r>
      <w:r>
        <w:rPr>
          <w:rFonts w:cs="Times New Roman"/>
          <w:szCs w:val="24"/>
        </w:rPr>
        <w:t xml:space="preserve">specific lineages and improved detection of minority strains that might be missed if only dominant strain were reconstructed. </w:t>
      </w:r>
      <w:r w:rsidR="00297072" w:rsidRPr="00A90451">
        <w:rPr>
          <w:rFonts w:cs="Times New Roman"/>
          <w:szCs w:val="24"/>
        </w:rPr>
        <w:t xml:space="preserve"> </w:t>
      </w:r>
      <w:r w:rsidR="00297072" w:rsidRPr="00E316E4">
        <w:rPr>
          <w:rFonts w:cs="Times New Roman"/>
          <w:szCs w:val="24"/>
        </w:rPr>
        <w:t>However, this strategy is inherently constrained to strains represented in the isolate collection, potentially overlooking uncultured or highly divergent lineages.</w:t>
      </w:r>
      <w:r w:rsidR="00297072">
        <w:rPr>
          <w:rFonts w:cs="Times New Roman"/>
          <w:szCs w:val="24"/>
        </w:rPr>
        <w:t xml:space="preserve"> </w:t>
      </w:r>
      <w:r>
        <w:rPr>
          <w:rFonts w:cs="Times New Roman"/>
          <w:szCs w:val="24"/>
        </w:rPr>
        <w:t xml:space="preserve">Nonetheless, the data support the view that antibiotic treatment pushed </w:t>
      </w:r>
      <w:r>
        <w:rPr>
          <w:rFonts w:cs="Times New Roman"/>
          <w:i/>
          <w:iCs/>
          <w:szCs w:val="24"/>
        </w:rPr>
        <w:t xml:space="preserve">C. </w:t>
      </w:r>
      <w:r w:rsidRPr="00FB5EFC">
        <w:rPr>
          <w:rFonts w:cs="Times New Roman"/>
          <w:i/>
          <w:iCs/>
          <w:szCs w:val="24"/>
        </w:rPr>
        <w:t>saudiense</w:t>
      </w:r>
      <w:r>
        <w:rPr>
          <w:rFonts w:cs="Times New Roman"/>
          <w:szCs w:val="24"/>
        </w:rPr>
        <w:t xml:space="preserve"> below detection in metagenomic data without eradicating spores, enabling later recolonisation. </w:t>
      </w:r>
    </w:p>
    <w:p w14:paraId="5CBA09DA" w14:textId="63090777" w:rsidR="00E7311B" w:rsidRPr="00FB5EFC" w:rsidRDefault="00FB5EFC" w:rsidP="00FB5EFC">
      <w:pPr>
        <w:spacing w:line="259" w:lineRule="auto"/>
        <w:rPr>
          <w:rFonts w:cs="Times New Roman"/>
          <w:szCs w:val="24"/>
        </w:rPr>
      </w:pPr>
      <w:r w:rsidRPr="00FB5EFC">
        <w:rPr>
          <w:rFonts w:cs="Times New Roman"/>
          <w:szCs w:val="24"/>
        </w:rPr>
        <w:t>Taken together, our community‑ and strain‑level findings, using both culture‑independent and culture‑dependent methods, support a model in which spore formation underpins resilience and long‑term persistence of gut commensals under antibiotic stress and during stable periods. These results are consistent with the ‘seed bank’ hypothesis, in which spore‑forming taxa maintain a persistent, dormant reservoir that stabilises the microbiota over time and likely enhances their chances of transmission between individuals.</w:t>
      </w:r>
    </w:p>
    <w:p w14:paraId="1F832DB4" w14:textId="77777777" w:rsidR="00E7311B" w:rsidRDefault="00E7311B" w:rsidP="00E7311B"/>
    <w:p w14:paraId="2F6443BC" w14:textId="77777777" w:rsidR="00B73D0F" w:rsidRPr="00E7311B" w:rsidRDefault="00B73D0F" w:rsidP="00E7311B"/>
    <w:p w14:paraId="335DB57C" w14:textId="7DB34E94" w:rsidR="00221812" w:rsidRPr="0039162A" w:rsidRDefault="0039162A">
      <w:pPr>
        <w:pStyle w:val="Naslov2"/>
        <w:numPr>
          <w:ilvl w:val="1"/>
          <w:numId w:val="5"/>
        </w:numPr>
        <w:rPr>
          <w:lang w:val="sl-SI"/>
        </w:rPr>
      </w:pPr>
      <w:bookmarkStart w:id="1217" w:name="_Toc228252064"/>
      <w:r w:rsidRPr="0039162A">
        <w:rPr>
          <w:lang w:val="sl-SI"/>
        </w:rPr>
        <w:t>POVZETEK</w:t>
      </w:r>
      <w:bookmarkEnd w:id="1215"/>
      <w:bookmarkEnd w:id="1216"/>
      <w:bookmarkEnd w:id="1217"/>
      <w:r w:rsidR="00221812" w:rsidRPr="0039162A">
        <w:rPr>
          <w:lang w:val="sl-SI"/>
        </w:rPr>
        <w:t xml:space="preserve"> </w:t>
      </w:r>
    </w:p>
    <w:p w14:paraId="0D2DF5E2" w14:textId="77777777" w:rsidR="00D03059" w:rsidRDefault="00B73D0F" w:rsidP="00B73D0F">
      <w:pPr>
        <w:rPr>
          <w:lang w:val="sl-SI"/>
        </w:rPr>
      </w:pPr>
      <w:r w:rsidRPr="00B73D0F">
        <w:rPr>
          <w:lang w:val="sl-SI"/>
        </w:rPr>
        <w:t xml:space="preserve">Človeško črevo je najbolj gosto poseljen mikrobni habitat </w:t>
      </w:r>
      <w:r w:rsidR="00A77BF6">
        <w:rPr>
          <w:lang w:val="sl-SI"/>
        </w:rPr>
        <w:t>človeškega</w:t>
      </w:r>
      <w:r w:rsidRPr="00B73D0F">
        <w:rPr>
          <w:lang w:val="sl-SI"/>
        </w:rPr>
        <w:t xml:space="preserve"> teles</w:t>
      </w:r>
      <w:r w:rsidR="00A77BF6">
        <w:rPr>
          <w:lang w:val="sl-SI"/>
        </w:rPr>
        <w:t>a</w:t>
      </w:r>
      <w:r w:rsidRPr="00B73D0F">
        <w:rPr>
          <w:lang w:val="sl-SI"/>
        </w:rPr>
        <w:t xml:space="preserve">. </w:t>
      </w:r>
      <w:r w:rsidR="00A77BF6">
        <w:rPr>
          <w:lang w:val="sl-SI"/>
        </w:rPr>
        <w:t>Mikrobna k</w:t>
      </w:r>
      <w:r w:rsidRPr="00B73D0F">
        <w:rPr>
          <w:lang w:val="sl-SI"/>
        </w:rPr>
        <w:t>olonizacija se začne ob rojstvu</w:t>
      </w:r>
      <w:r w:rsidR="00A77BF6">
        <w:rPr>
          <w:lang w:val="sl-SI"/>
        </w:rPr>
        <w:t xml:space="preserve"> novorojenčka</w:t>
      </w:r>
      <w:r w:rsidRPr="00B73D0F">
        <w:rPr>
          <w:lang w:val="sl-SI"/>
        </w:rPr>
        <w:t xml:space="preserve"> in je odvisna </w:t>
      </w:r>
      <w:r w:rsidR="00A77BF6">
        <w:rPr>
          <w:lang w:val="sl-SI"/>
        </w:rPr>
        <w:t>tako od uspešnega prenosa med gostitelji, kot tudi uspešne porabe okolijskih danosti za razmnoževanje. Približno polovica bakterijskih vrst, ki naseljujejo človeško črevo premore gene, ki so povezani s sposobnostjo sporulacij</w:t>
      </w:r>
      <w:r w:rsidR="00D03059">
        <w:rPr>
          <w:lang w:val="sl-SI"/>
        </w:rPr>
        <w:t>e</w:t>
      </w:r>
      <w:r w:rsidR="00A77BF6">
        <w:rPr>
          <w:lang w:val="sl-SI"/>
        </w:rPr>
        <w:t>.</w:t>
      </w:r>
      <w:r w:rsidR="00D03059">
        <w:rPr>
          <w:lang w:val="sl-SI"/>
        </w:rPr>
        <w:t xml:space="preserve"> Sporogene bakterije v človeškem črevesju so prisotne v najbolj številčnem deblu </w:t>
      </w:r>
      <w:r w:rsidR="00D03059">
        <w:rPr>
          <w:i/>
          <w:iCs/>
          <w:lang w:val="sl-SI"/>
        </w:rPr>
        <w:t>Bacillota</w:t>
      </w:r>
      <w:r w:rsidR="00D03059">
        <w:rPr>
          <w:lang w:val="sl-SI"/>
        </w:rPr>
        <w:t>.</w:t>
      </w:r>
      <w:r w:rsidR="00A77BF6">
        <w:rPr>
          <w:lang w:val="sl-SI"/>
        </w:rPr>
        <w:t xml:space="preserve"> Sporulacija bakterijam omogoča preživetje neugodnih okolijskih razmer, kar v človeškem črevesju pomeni prisotnost kisika, bolezni in njihovo zdravljenje z različnimi zdravili, ki vplivajo na rast in razmnoževanje in antibiotične terapije. </w:t>
      </w:r>
      <w:r w:rsidR="00D03059">
        <w:rPr>
          <w:lang w:val="sl-SI"/>
        </w:rPr>
        <w:t xml:space="preserve">Definicija vseh sporogenih bakterij v preiskovanem okolju se imenuje sporobiota. Poleg sporulacije imajo bakterije tudi druge strategije preživetja vmesnih aerobnih rezervoarjev, le ti so na primer aero-toleranca in tako imenovani </w:t>
      </w:r>
      <w:r w:rsidR="00D03059" w:rsidRPr="00D03059">
        <w:t>'viable but non-culturable'</w:t>
      </w:r>
      <w:r w:rsidR="00D03059">
        <w:rPr>
          <w:lang w:val="sl-SI"/>
        </w:rPr>
        <w:t xml:space="preserve"> (VBNC) stanje</w:t>
      </w:r>
      <w:r w:rsidRPr="00B73D0F">
        <w:rPr>
          <w:lang w:val="sl-SI"/>
        </w:rPr>
        <w:t xml:space="preserve">, pri katerem bakterije preživijo z zmanjšano presnovno aktivnostjo in okrepljeno celično steno. </w:t>
      </w:r>
    </w:p>
    <w:p w14:paraId="5E7377B8" w14:textId="611D0FDD" w:rsidR="00D03059" w:rsidRDefault="00D03059" w:rsidP="00B73D0F">
      <w:pPr>
        <w:rPr>
          <w:lang w:val="sl-SI"/>
        </w:rPr>
      </w:pPr>
      <w:r>
        <w:rPr>
          <w:lang w:val="sl-SI"/>
        </w:rPr>
        <w:t xml:space="preserve">Proučevanje sporogenih bakterij je oteženo zaradi izolacije posameznih sevov v kulturi, kot tudi izolacije njihove DNA, zaradi izjemne odpornosti spore na običajne protokole izoalcije DNA. </w:t>
      </w:r>
      <w:r w:rsidR="00FC6C56">
        <w:rPr>
          <w:lang w:val="sl-SI"/>
        </w:rPr>
        <w:t xml:space="preserve">Izolacija sporogenih bakterij je bila izboljšana z dodatkom žolčnih kislin v gojišča in predhodnim etanolnim ali toplotnim šokom, kar je uničilo vegetativne celice in tako omogočilo germinacijo in rast sporam v vzorcih. Dalje so študije, ki so se želele izogniti gojitvenim metodam za preučevanje prenosa sporogenih bakterij med ljudmi odločile za uporabo </w:t>
      </w:r>
      <w:r>
        <w:rPr>
          <w:lang w:val="sl-SI"/>
        </w:rPr>
        <w:t>lizocim</w:t>
      </w:r>
      <w:r w:rsidR="00FC6C56">
        <w:rPr>
          <w:lang w:val="sl-SI"/>
        </w:rPr>
        <w:t>a</w:t>
      </w:r>
      <w:r>
        <w:rPr>
          <w:lang w:val="sl-SI"/>
        </w:rPr>
        <w:t xml:space="preserve"> ali etanolni šok, s katerima so poškodovali vegetativne celice iz vzorcev blata in dalje </w:t>
      </w:r>
      <w:r w:rsidR="00FC6C56">
        <w:rPr>
          <w:lang w:val="sl-SI"/>
        </w:rPr>
        <w:t>z</w:t>
      </w:r>
      <w:r>
        <w:rPr>
          <w:lang w:val="sl-SI"/>
        </w:rPr>
        <w:t xml:space="preserve"> DNAazami ali etidijevim</w:t>
      </w:r>
      <w:r w:rsidR="00FC6C56">
        <w:rPr>
          <w:lang w:val="sl-SI"/>
        </w:rPr>
        <w:t xml:space="preserve"> monoazid</w:t>
      </w:r>
      <w:r>
        <w:rPr>
          <w:lang w:val="sl-SI"/>
        </w:rPr>
        <w:t xml:space="preserve"> bromidom</w:t>
      </w:r>
      <w:r w:rsidR="00FC6C56">
        <w:rPr>
          <w:lang w:val="sl-SI"/>
        </w:rPr>
        <w:t xml:space="preserve"> (EMA)</w:t>
      </w:r>
      <w:r>
        <w:rPr>
          <w:lang w:val="sl-SI"/>
        </w:rPr>
        <w:t xml:space="preserve"> odstranili prosto DNA in DNA v poškodovanih celicah. </w:t>
      </w:r>
      <w:r w:rsidR="00FC6C56">
        <w:rPr>
          <w:lang w:val="sl-SI"/>
        </w:rPr>
        <w:t xml:space="preserve">Iz preostalega vzorca </w:t>
      </w:r>
      <w:r w:rsidR="00FC6C56">
        <w:rPr>
          <w:lang w:val="sl-SI"/>
        </w:rPr>
        <w:lastRenderedPageBreak/>
        <w:t xml:space="preserve">so lahko izolirali DNA s protokoli prilagojenimi za poškodovanje spore, kar je največkrat vključevalo mehansko poškodbo spore. </w:t>
      </w:r>
    </w:p>
    <w:p w14:paraId="37F57034" w14:textId="6A1F0F6C" w:rsidR="00FC6C56" w:rsidRDefault="00FC6C56" w:rsidP="00B73D0F">
      <w:pPr>
        <w:rPr>
          <w:lang w:val="sl-SI"/>
        </w:rPr>
      </w:pPr>
      <w:r>
        <w:rPr>
          <w:lang w:val="sl-SI"/>
        </w:rPr>
        <w:t xml:space="preserve">V kohorti zdravih odraslih oseb so pokazali, da OTU-ji prisotni v lizocim-odpornemu delu človeškeč črevesne mikrobiote kažejo manjšo variabilnost med ljudmi, kot OTU-ji, ki niso bili zaznani v lizocim-odporni frakciji. Medtem ko je študija prenosa sporogenih bakterij med mamami ter njihovimi novorojenci pokazala, da je večina OTU-jev prisotnih v etanol-odporni frakciji črevesne mikrobiote dojenčkov pridobljena iz okolja, in ne preko vertikalnega prenosa med mamo in otrokom. Analiza metagenomov pridobljenih iz človeškega blata pa je pokazala, da so genomi, ki premorejo gene za sporulacijo širše prisotni v populaciji, med tem ko je njihova relativna zastopanost pri posamezniku manjša. </w:t>
      </w:r>
    </w:p>
    <w:p w14:paraId="2B3BB9B2" w14:textId="77777777" w:rsidR="004E32B1" w:rsidRDefault="00FC6C56" w:rsidP="00B73D0F">
      <w:pPr>
        <w:rPr>
          <w:lang w:val="sl-SI"/>
        </w:rPr>
      </w:pPr>
      <w:r>
        <w:rPr>
          <w:lang w:val="sl-SI"/>
        </w:rPr>
        <w:t>Namen sledeče</w:t>
      </w:r>
      <w:r w:rsidR="00B73D0F" w:rsidRPr="00B73D0F">
        <w:rPr>
          <w:lang w:val="sl-SI"/>
        </w:rPr>
        <w:t xml:space="preserve"> doktorske naloge je bil raziskati stabilnost črevesne sporobiote in mikrobiote </w:t>
      </w:r>
      <w:r>
        <w:rPr>
          <w:lang w:val="sl-SI"/>
        </w:rPr>
        <w:t xml:space="preserve">med nesorodnimi posamezniki </w:t>
      </w:r>
      <w:r w:rsidR="00B73D0F" w:rsidRPr="00B73D0F">
        <w:rPr>
          <w:lang w:val="sl-SI"/>
        </w:rPr>
        <w:t xml:space="preserve">in </w:t>
      </w:r>
      <w:r>
        <w:rPr>
          <w:lang w:val="sl-SI"/>
        </w:rPr>
        <w:t>znotraj</w:t>
      </w:r>
      <w:r w:rsidR="00B73D0F" w:rsidRPr="00B73D0F">
        <w:rPr>
          <w:lang w:val="sl-SI"/>
        </w:rPr>
        <w:t xml:space="preserve"> posameznik</w:t>
      </w:r>
      <w:r>
        <w:rPr>
          <w:lang w:val="sl-SI"/>
        </w:rPr>
        <w:t>a</w:t>
      </w:r>
      <w:r w:rsidR="00B73D0F" w:rsidRPr="00B73D0F">
        <w:rPr>
          <w:lang w:val="sl-SI"/>
        </w:rPr>
        <w:t xml:space="preserve"> v šestmesečnem obdobju. V raziskavo smo vključili devet zdravih moških, ki so </w:t>
      </w:r>
      <w:r>
        <w:rPr>
          <w:lang w:val="sl-SI"/>
        </w:rPr>
        <w:t>vsakih</w:t>
      </w:r>
      <w:r w:rsidR="00B73D0F" w:rsidRPr="00B73D0F">
        <w:rPr>
          <w:lang w:val="sl-SI"/>
        </w:rPr>
        <w:t xml:space="preserve"> 14 dni </w:t>
      </w:r>
      <w:r>
        <w:rPr>
          <w:lang w:val="sl-SI"/>
        </w:rPr>
        <w:t>v obdobju</w:t>
      </w:r>
      <w:r w:rsidR="00B73D0F" w:rsidRPr="00B73D0F">
        <w:rPr>
          <w:lang w:val="sl-SI"/>
        </w:rPr>
        <w:t xml:space="preserve"> pol leta oddajali vzorce blata in izpolnjevali podrobne vprašalnike o </w:t>
      </w:r>
      <w:r>
        <w:rPr>
          <w:lang w:val="sl-SI"/>
        </w:rPr>
        <w:t xml:space="preserve">svojem življenju </w:t>
      </w:r>
      <w:r w:rsidR="00B73D0F" w:rsidRPr="00B73D0F">
        <w:rPr>
          <w:lang w:val="sl-SI"/>
        </w:rPr>
        <w:t xml:space="preserve">in zdravstvenem stanju. Iz vsakega vzorca blata smo izolirali DNA z dvema protokoloma: brez obdelave in po obdelavi z etanolom in </w:t>
      </w:r>
      <w:r>
        <w:rPr>
          <w:lang w:val="sl-SI"/>
        </w:rPr>
        <w:t xml:space="preserve"> </w:t>
      </w:r>
      <w:r w:rsidR="00B73D0F" w:rsidRPr="00B73D0F">
        <w:rPr>
          <w:lang w:val="sl-SI"/>
        </w:rPr>
        <w:t>EMA. Obdelava z 70% etanolom je poškodovala vegetativne celice, EMA pa je s kovalentnim vezanjem na DNA po svetlobni aktivaciji omogočil</w:t>
      </w:r>
      <w:r w:rsidR="004E32B1">
        <w:rPr>
          <w:lang w:val="sl-SI"/>
        </w:rPr>
        <w:t>a</w:t>
      </w:r>
      <w:r w:rsidR="00B73D0F" w:rsidRPr="00B73D0F">
        <w:rPr>
          <w:lang w:val="sl-SI"/>
        </w:rPr>
        <w:t xml:space="preserve"> odstranitev proste DNA in DNA v poškodovanih celicah, tako da so v vzorcu ostale predvsem spore in druge etanol‑rezistentne bakterije. Vse vzorce smo analizirali z 16S rRNA ampli</w:t>
      </w:r>
      <w:r w:rsidR="004E32B1">
        <w:rPr>
          <w:lang w:val="sl-SI"/>
        </w:rPr>
        <w:t>k</w:t>
      </w:r>
      <w:r w:rsidR="00B73D0F" w:rsidRPr="00B73D0F">
        <w:rPr>
          <w:lang w:val="sl-SI"/>
        </w:rPr>
        <w:t xml:space="preserve">onskim sekvenciranjem in </w:t>
      </w:r>
      <w:r w:rsidR="004E32B1">
        <w:rPr>
          <w:lang w:val="sl-SI"/>
        </w:rPr>
        <w:t>celokupnim</w:t>
      </w:r>
      <w:r w:rsidR="00B73D0F" w:rsidRPr="00B73D0F">
        <w:rPr>
          <w:lang w:val="sl-SI"/>
        </w:rPr>
        <w:t xml:space="preserve"> metagenomskim sekvenciranjem, kar nam je omogočilo določitev relativnih </w:t>
      </w:r>
      <w:r w:rsidR="004E32B1">
        <w:rPr>
          <w:lang w:val="sl-SI"/>
        </w:rPr>
        <w:t>zastopanosti</w:t>
      </w:r>
      <w:r w:rsidR="00B73D0F" w:rsidRPr="00B73D0F">
        <w:rPr>
          <w:lang w:val="sl-SI"/>
        </w:rPr>
        <w:t xml:space="preserve"> na ravni OTU</w:t>
      </w:r>
      <w:r w:rsidR="004E32B1">
        <w:rPr>
          <w:lang w:val="sl-SI"/>
        </w:rPr>
        <w:t>-jev</w:t>
      </w:r>
      <w:r w:rsidR="00B73D0F" w:rsidRPr="00B73D0F">
        <w:rPr>
          <w:lang w:val="sl-SI"/>
        </w:rPr>
        <w:t xml:space="preserve"> in </w:t>
      </w:r>
      <w:r w:rsidR="004E32B1">
        <w:rPr>
          <w:lang w:val="sl-SI"/>
        </w:rPr>
        <w:t>posameznih bakterijskih vrst</w:t>
      </w:r>
      <w:r w:rsidR="00B73D0F" w:rsidRPr="00B73D0F">
        <w:rPr>
          <w:lang w:val="sl-SI"/>
        </w:rPr>
        <w:t xml:space="preserve">. Število kopij 16S rRNA gena smo kvantificirali z digitalnim PCR v kapljicah (ddPCR), pri čemer smo uporabili enak nabor </w:t>
      </w:r>
      <w:r w:rsidR="004E32B1">
        <w:rPr>
          <w:lang w:val="sl-SI"/>
        </w:rPr>
        <w:t>začetnih nukleotidov</w:t>
      </w:r>
      <w:r w:rsidR="00B73D0F" w:rsidRPr="00B73D0F">
        <w:rPr>
          <w:lang w:val="sl-SI"/>
        </w:rPr>
        <w:t xml:space="preserve"> kot pri ampli</w:t>
      </w:r>
      <w:r w:rsidR="004E32B1">
        <w:rPr>
          <w:lang w:val="sl-SI"/>
        </w:rPr>
        <w:t>k</w:t>
      </w:r>
      <w:r w:rsidR="00B73D0F" w:rsidRPr="00B73D0F">
        <w:rPr>
          <w:lang w:val="sl-SI"/>
        </w:rPr>
        <w:t xml:space="preserve">onskem sekvenciranju, in tako izračunali normalizirane </w:t>
      </w:r>
      <w:r w:rsidR="004E32B1">
        <w:rPr>
          <w:lang w:val="sl-SI"/>
        </w:rPr>
        <w:t>zastopanosti</w:t>
      </w:r>
      <w:r w:rsidR="00B73D0F" w:rsidRPr="00B73D0F">
        <w:rPr>
          <w:lang w:val="sl-SI"/>
        </w:rPr>
        <w:t xml:space="preserve"> posameznih </w:t>
      </w:r>
      <w:r w:rsidR="004E32B1">
        <w:rPr>
          <w:lang w:val="sl-SI"/>
        </w:rPr>
        <w:t>OTU-jev</w:t>
      </w:r>
      <w:r w:rsidR="00B73D0F" w:rsidRPr="00B73D0F">
        <w:rPr>
          <w:lang w:val="sl-SI"/>
        </w:rPr>
        <w:t xml:space="preserve">. </w:t>
      </w:r>
    </w:p>
    <w:p w14:paraId="55D25962" w14:textId="1C0E45E6" w:rsidR="004E32B1" w:rsidRDefault="004E32B1" w:rsidP="00B73D0F">
      <w:pPr>
        <w:rPr>
          <w:lang w:val="sl-SI"/>
        </w:rPr>
      </w:pPr>
      <w:r>
        <w:rPr>
          <w:lang w:val="sl-SI"/>
        </w:rPr>
        <w:t xml:space="preserve">Vsak OTU in vrsto, ki smo ga zaznali v parnih neobdelanih in etanol-tretianih vzorcih smo prerazporedili v etanol-odporno ali neodporno združbo na podlagi kriterijev prisotnosti in relativne zastopanosti. Takson je moral biti kot omenjeno 1) prisoten v obeh parnih vzorcih in 2) prisoten v etanol-tretiranem vzorcu v višji relativni zastopanosti v vsaj 5% vseh vzorcev, kjer je bil zaznan. Dalje smo na podlagi metagenomskih podatkov določili sporulacijsko sposobnost vsaki zaznani vrsti za katero smo lahko pridobili referenčni genom. Ker program MetaPhlAn nima usklajene taksonmije z NCBI podatkovno bazo, smo morali 500 genomov od skupno 996 zaznanih izpustiti iz nadaljnje analize. Ti genomi so predstavljali ~20% relativne zastopanosti v vseh vzorcih. Sporulacijsko sposobnost smo določili na podlagi prisotnosti vsaj 33 genov od skupno 66, ki so povezani s zmožnostjo sporulacije posamezne vrste. Na ta način smo uspeli razlikovati med etanol odporno združbo črevesne mikrobiote in sporobioto – torej bakterijskimi vrstami, ki so imele dovoljšnje število genov povezanih s sporulacijo in smo jih hkrati zaznali v etanol odporni združbi črevesne mikrobiote. To nam je omogočilo raziskovanje bakterijske združbe, ki ne samo da ima sposobnost sporulacije vendar je v danem trenutku bila v obliki spore. </w:t>
      </w:r>
    </w:p>
    <w:p w14:paraId="0ED80A85" w14:textId="1D17D3DA" w:rsidR="00B73D0F" w:rsidRPr="00B73D0F" w:rsidRDefault="00B73D0F" w:rsidP="00B73D0F">
      <w:pPr>
        <w:rPr>
          <w:lang w:val="sl-SI"/>
        </w:rPr>
      </w:pPr>
      <w:r w:rsidRPr="00B73D0F">
        <w:rPr>
          <w:lang w:val="sl-SI"/>
        </w:rPr>
        <w:t xml:space="preserve">Bogastvo in enakomernost </w:t>
      </w:r>
      <w:r w:rsidR="004E32B1">
        <w:rPr>
          <w:lang w:val="sl-SI"/>
        </w:rPr>
        <w:t>bakterijske združbe</w:t>
      </w:r>
      <w:r w:rsidRPr="00B73D0F">
        <w:rPr>
          <w:lang w:val="sl-SI"/>
        </w:rPr>
        <w:t>, izračunani na ravni OTU iz 16S ampli</w:t>
      </w:r>
      <w:r w:rsidR="004E32B1">
        <w:rPr>
          <w:lang w:val="sl-SI"/>
        </w:rPr>
        <w:t>k</w:t>
      </w:r>
      <w:r w:rsidRPr="00B73D0F">
        <w:rPr>
          <w:lang w:val="sl-SI"/>
        </w:rPr>
        <w:t xml:space="preserve">onskih podatkov ter na ravni vrst iz metagenomskih podatkov, sta pokazali izrazito </w:t>
      </w:r>
      <w:r w:rsidR="004E32B1">
        <w:rPr>
          <w:lang w:val="sl-SI"/>
        </w:rPr>
        <w:t>usklajene</w:t>
      </w:r>
      <w:r w:rsidRPr="00B73D0F">
        <w:rPr>
          <w:lang w:val="sl-SI"/>
        </w:rPr>
        <w:t xml:space="preserve"> in stabilne </w:t>
      </w:r>
      <w:r w:rsidRPr="00B73D0F">
        <w:rPr>
          <w:lang w:val="sl-SI"/>
        </w:rPr>
        <w:lastRenderedPageBreak/>
        <w:t xml:space="preserve">časovne vzorce znotraj posameznikov. Ti vzorci so bili skladni med obema pristopoma sekvenciranja in so se odražali tudi v jasni ločitvi vzorcev v NMDS‑ordinaciji na podlagi Bray–Curtisove razdalje. Med vsemi zbranimi metapodatki sta bila s strukturo skupnosti najtesneje povezana le vnos prehranskih dopolnil in osnovne </w:t>
      </w:r>
      <w:r w:rsidR="00011B48">
        <w:rPr>
          <w:lang w:val="sl-SI"/>
        </w:rPr>
        <w:t>fizične lastnosti</w:t>
      </w:r>
      <w:r w:rsidRPr="00B73D0F">
        <w:rPr>
          <w:lang w:val="sl-SI"/>
        </w:rPr>
        <w:t xml:space="preserve"> posameznikov</w:t>
      </w:r>
      <w:r w:rsidR="00011B48">
        <w:rPr>
          <w:lang w:val="sl-SI"/>
        </w:rPr>
        <w:t>, kot so</w:t>
      </w:r>
      <w:r w:rsidRPr="00B73D0F">
        <w:rPr>
          <w:lang w:val="sl-SI"/>
        </w:rPr>
        <w:t xml:space="preserve"> telesna masa, višina, pri čemer so lahko te povezave zaradi majhnega vzorca </w:t>
      </w:r>
      <w:r w:rsidR="00011B48">
        <w:rPr>
          <w:lang w:val="sl-SI"/>
        </w:rPr>
        <w:t>posameznikov v naši študiji</w:t>
      </w:r>
      <w:r w:rsidRPr="00B73D0F">
        <w:rPr>
          <w:lang w:val="sl-SI"/>
        </w:rPr>
        <w:t xml:space="preserve"> </w:t>
      </w:r>
      <w:r w:rsidR="00011B48">
        <w:rPr>
          <w:lang w:val="sl-SI"/>
        </w:rPr>
        <w:t>tudi</w:t>
      </w:r>
      <w:r w:rsidRPr="00B73D0F">
        <w:rPr>
          <w:lang w:val="sl-SI"/>
        </w:rPr>
        <w:t xml:space="preserve"> odraz razlik</w:t>
      </w:r>
      <w:r w:rsidR="00011B48">
        <w:rPr>
          <w:lang w:val="sl-SI"/>
        </w:rPr>
        <w:t xml:space="preserve"> med posamezniki in</w:t>
      </w:r>
      <w:r w:rsidRPr="00B73D0F">
        <w:rPr>
          <w:lang w:val="sl-SI"/>
        </w:rPr>
        <w:t xml:space="preserve"> ne neposrednih vzročnih dejavnikov. Skladnost</w:t>
      </w:r>
      <w:r w:rsidR="00011B48">
        <w:rPr>
          <w:lang w:val="sl-SI"/>
        </w:rPr>
        <w:t xml:space="preserve"> v rezultatih alfa in beta diverzitete</w:t>
      </w:r>
      <w:r w:rsidRPr="00B73D0F">
        <w:rPr>
          <w:lang w:val="sl-SI"/>
        </w:rPr>
        <w:t xml:space="preserve"> med</w:t>
      </w:r>
      <w:r w:rsidR="00011B48">
        <w:rPr>
          <w:lang w:val="sl-SI"/>
        </w:rPr>
        <w:t xml:space="preserve"> </w:t>
      </w:r>
      <w:r w:rsidRPr="00B73D0F">
        <w:rPr>
          <w:lang w:val="sl-SI"/>
        </w:rPr>
        <w:t>metodama</w:t>
      </w:r>
      <w:r w:rsidR="00011B48">
        <w:rPr>
          <w:lang w:val="sl-SI"/>
        </w:rPr>
        <w:t xml:space="preserve"> sekvenciranja</w:t>
      </w:r>
      <w:r w:rsidRPr="00B73D0F">
        <w:rPr>
          <w:lang w:val="sl-SI"/>
        </w:rPr>
        <w:t xml:space="preserve"> je </w:t>
      </w:r>
      <w:r w:rsidR="00011B48">
        <w:rPr>
          <w:lang w:val="sl-SI"/>
        </w:rPr>
        <w:t>v nadalnjih analizah utemeljila skupno interpretacijo rezultatov</w:t>
      </w:r>
      <w:r w:rsidRPr="00B73D0F">
        <w:rPr>
          <w:lang w:val="sl-SI"/>
        </w:rPr>
        <w:t xml:space="preserve"> </w:t>
      </w:r>
      <w:r w:rsidR="00011B48">
        <w:rPr>
          <w:lang w:val="sl-SI"/>
        </w:rPr>
        <w:t>tako</w:t>
      </w:r>
      <w:r w:rsidRPr="00B73D0F">
        <w:rPr>
          <w:lang w:val="sl-SI"/>
        </w:rPr>
        <w:t xml:space="preserve"> 16S ampli</w:t>
      </w:r>
      <w:r w:rsidR="00011B48">
        <w:rPr>
          <w:lang w:val="sl-SI"/>
        </w:rPr>
        <w:t>k</w:t>
      </w:r>
      <w:r w:rsidRPr="00B73D0F">
        <w:rPr>
          <w:lang w:val="sl-SI"/>
        </w:rPr>
        <w:t>onskih</w:t>
      </w:r>
      <w:r w:rsidR="00011B48">
        <w:rPr>
          <w:lang w:val="sl-SI"/>
        </w:rPr>
        <w:t xml:space="preserve">, kot tudi </w:t>
      </w:r>
      <w:r w:rsidRPr="00B73D0F">
        <w:rPr>
          <w:lang w:val="sl-SI"/>
        </w:rPr>
        <w:t>metagenomskih podatkov. Celotna sestava črevesne mikrobiote je bila primerljiva s prejšnjimi raziskavami evropskih in slovenskih populacij</w:t>
      </w:r>
      <w:r w:rsidR="00011B48">
        <w:rPr>
          <w:lang w:val="sl-SI"/>
        </w:rPr>
        <w:t xml:space="preserve">. V črevesni mikrobioti posameznikov naše kohorte so </w:t>
      </w:r>
      <w:r w:rsidRPr="00B73D0F">
        <w:rPr>
          <w:lang w:val="sl-SI"/>
        </w:rPr>
        <w:t xml:space="preserve">prevladovale bakterije, zlasti debli </w:t>
      </w:r>
      <w:r w:rsidRPr="00011B48">
        <w:rPr>
          <w:i/>
          <w:iCs/>
          <w:lang w:val="sl-SI"/>
        </w:rPr>
        <w:t>Bacillota</w:t>
      </w:r>
      <w:r w:rsidRPr="00B73D0F">
        <w:rPr>
          <w:lang w:val="sl-SI"/>
        </w:rPr>
        <w:t xml:space="preserve"> in </w:t>
      </w:r>
      <w:r w:rsidRPr="00011B48">
        <w:rPr>
          <w:i/>
          <w:iCs/>
          <w:lang w:val="sl-SI"/>
        </w:rPr>
        <w:t>Bacteroidota</w:t>
      </w:r>
      <w:r w:rsidRPr="00B73D0F">
        <w:rPr>
          <w:lang w:val="sl-SI"/>
        </w:rPr>
        <w:t xml:space="preserve">, medtem ko so bili predstavniki debel </w:t>
      </w:r>
      <w:r w:rsidRPr="00011B48">
        <w:rPr>
          <w:i/>
          <w:iCs/>
          <w:lang w:val="sl-SI"/>
        </w:rPr>
        <w:t>Pseudomonadota</w:t>
      </w:r>
      <w:r w:rsidRPr="00B73D0F">
        <w:rPr>
          <w:lang w:val="sl-SI"/>
        </w:rPr>
        <w:t xml:space="preserve">, </w:t>
      </w:r>
      <w:r w:rsidRPr="00011B48">
        <w:rPr>
          <w:i/>
          <w:iCs/>
          <w:lang w:val="sl-SI"/>
        </w:rPr>
        <w:t>Actinomycetota</w:t>
      </w:r>
      <w:r w:rsidRPr="00B73D0F">
        <w:rPr>
          <w:lang w:val="sl-SI"/>
        </w:rPr>
        <w:t xml:space="preserve"> in </w:t>
      </w:r>
      <w:r w:rsidRPr="00011B48">
        <w:rPr>
          <w:i/>
          <w:iCs/>
          <w:lang w:val="sl-SI"/>
        </w:rPr>
        <w:t>Verrucomicrobiota</w:t>
      </w:r>
      <w:r w:rsidRPr="00B73D0F">
        <w:rPr>
          <w:lang w:val="sl-SI"/>
        </w:rPr>
        <w:t xml:space="preserve"> prisotni v nižjih relativnih abundancah.</w:t>
      </w:r>
    </w:p>
    <w:p w14:paraId="6C942168" w14:textId="6ECD78A3" w:rsidR="00B73D0F" w:rsidRPr="00B73D0F" w:rsidRDefault="00E86D05" w:rsidP="00B73D0F">
      <w:pPr>
        <w:rPr>
          <w:lang w:val="sl-SI"/>
        </w:rPr>
      </w:pPr>
      <w:r>
        <w:rPr>
          <w:lang w:val="sl-SI"/>
        </w:rPr>
        <w:t xml:space="preserve">Tretiranje vzorcev blata z etanolnim šokom in EMA je obogatilo znane sporogene bakterije iz debla </w:t>
      </w:r>
      <w:r>
        <w:rPr>
          <w:i/>
          <w:iCs/>
          <w:lang w:val="sl-SI"/>
        </w:rPr>
        <w:t>Bacillota</w:t>
      </w:r>
      <w:r>
        <w:rPr>
          <w:lang w:val="sl-SI"/>
        </w:rPr>
        <w:t xml:space="preserve">, vendar smo zaznali tudi druge ne-sporogene bakterije, zato sklepamo da je etanolni šok sicer obogatil spore, vendar smo ohranili tudi druge neaktivne ali na stres odporne oblike celic. Ker je takšna definicija sporobiote nepopolna, smo jo dopolnili s določitvijo prisotnosti genov povezanih s sporulacijo v vsaki posamezni vrsti, kot opisano zgoraj. S kombinacijo teh dveh pristopov smo zaznali tudi del bakterijskih vrst iz debla </w:t>
      </w:r>
      <w:r>
        <w:rPr>
          <w:i/>
          <w:iCs/>
          <w:lang w:val="sl-SI"/>
        </w:rPr>
        <w:t>Bacillota</w:t>
      </w:r>
      <w:r>
        <w:rPr>
          <w:lang w:val="sl-SI"/>
        </w:rPr>
        <w:t xml:space="preserve">, ki imajo genetsko osnovo za sporulacijo, vendar niso bile prisotne v etanol odporni združbi. </w:t>
      </w:r>
      <w:r w:rsidR="00B73D0F" w:rsidRPr="00B73D0F">
        <w:rPr>
          <w:lang w:val="sl-SI"/>
        </w:rPr>
        <w:t xml:space="preserve">To kaže, da sama prisotnost genov </w:t>
      </w:r>
      <w:r>
        <w:rPr>
          <w:lang w:val="sl-SI"/>
        </w:rPr>
        <w:t xml:space="preserve">poveznih s sporulacijo </w:t>
      </w:r>
      <w:r w:rsidR="00B73D0F" w:rsidRPr="00B73D0F">
        <w:rPr>
          <w:lang w:val="sl-SI"/>
        </w:rPr>
        <w:t xml:space="preserve">še ne zagotavlja tvorbe spor v danem okolju ali času. </w:t>
      </w:r>
      <w:r>
        <w:rPr>
          <w:lang w:val="sl-SI"/>
        </w:rPr>
        <w:t>T</w:t>
      </w:r>
      <w:r w:rsidR="00B73D0F" w:rsidRPr="00B73D0F">
        <w:rPr>
          <w:lang w:val="sl-SI"/>
        </w:rPr>
        <w:t>aksoni</w:t>
      </w:r>
      <w:r>
        <w:rPr>
          <w:lang w:val="sl-SI"/>
        </w:rPr>
        <w:t xml:space="preserve"> v etanol odporni združbi, ki pripadajo drugim deblom</w:t>
      </w:r>
      <w:r w:rsidR="00B73D0F" w:rsidRPr="00B73D0F">
        <w:rPr>
          <w:lang w:val="sl-SI"/>
        </w:rPr>
        <w:t xml:space="preserve"> so bili v naši študiji redki</w:t>
      </w:r>
      <w:r>
        <w:rPr>
          <w:lang w:val="sl-SI"/>
        </w:rPr>
        <w:t>. Ko smo raziskovali potencialne mehanizme odpornosti so le ti</w:t>
      </w:r>
      <w:r w:rsidR="00B73D0F" w:rsidRPr="00B73D0F">
        <w:rPr>
          <w:lang w:val="sl-SI"/>
        </w:rPr>
        <w:t xml:space="preserve"> slabo pojasnjeni. Čeprav je tvorba eksospor opisana pri družinah </w:t>
      </w:r>
      <w:r w:rsidR="00B73D0F" w:rsidRPr="00E86D05">
        <w:rPr>
          <w:i/>
          <w:iCs/>
          <w:lang w:val="sl-SI"/>
        </w:rPr>
        <w:t>Actinomycetaceae</w:t>
      </w:r>
      <w:r w:rsidR="00B73D0F" w:rsidRPr="00B73D0F">
        <w:rPr>
          <w:lang w:val="sl-SI"/>
        </w:rPr>
        <w:t xml:space="preserve"> in </w:t>
      </w:r>
      <w:r w:rsidR="00B73D0F" w:rsidRPr="00E86D05">
        <w:rPr>
          <w:i/>
          <w:iCs/>
          <w:lang w:val="sl-SI"/>
        </w:rPr>
        <w:t>Streptomycetaceae</w:t>
      </w:r>
      <w:r w:rsidR="00B73D0F" w:rsidRPr="00B73D0F">
        <w:rPr>
          <w:lang w:val="sl-SI"/>
        </w:rPr>
        <w:t>, sta ti družini v naši etanol</w:t>
      </w:r>
      <w:r>
        <w:rPr>
          <w:lang w:val="sl-SI"/>
        </w:rPr>
        <w:t xml:space="preserve"> odporni združbi</w:t>
      </w:r>
      <w:r w:rsidR="00B73D0F" w:rsidRPr="00B73D0F">
        <w:rPr>
          <w:lang w:val="sl-SI"/>
        </w:rPr>
        <w:t xml:space="preserve"> </w:t>
      </w:r>
      <w:r>
        <w:rPr>
          <w:lang w:val="sl-SI"/>
        </w:rPr>
        <w:t>predstavljali majhen delež. Z</w:t>
      </w:r>
      <w:r w:rsidR="00B73D0F" w:rsidRPr="00B73D0F">
        <w:rPr>
          <w:lang w:val="sl-SI"/>
        </w:rPr>
        <w:t xml:space="preserve">aznali smo pet vrst </w:t>
      </w:r>
      <w:r w:rsidR="00B73D0F" w:rsidRPr="00E86D05">
        <w:rPr>
          <w:i/>
          <w:iCs/>
          <w:lang w:val="sl-SI"/>
        </w:rPr>
        <w:t>Actinomycetaceae</w:t>
      </w:r>
      <w:r w:rsidR="00B73D0F" w:rsidRPr="00B73D0F">
        <w:rPr>
          <w:lang w:val="sl-SI"/>
        </w:rPr>
        <w:t xml:space="preserve">, predstavnikov </w:t>
      </w:r>
      <w:r w:rsidR="00B73D0F" w:rsidRPr="00E86D05">
        <w:rPr>
          <w:i/>
          <w:iCs/>
          <w:lang w:val="sl-SI"/>
        </w:rPr>
        <w:t>Streptomycetaceae</w:t>
      </w:r>
      <w:r w:rsidR="00B73D0F" w:rsidRPr="00B73D0F">
        <w:rPr>
          <w:lang w:val="sl-SI"/>
        </w:rPr>
        <w:t xml:space="preserve"> pa v etanolno </w:t>
      </w:r>
      <w:r>
        <w:rPr>
          <w:lang w:val="sl-SI"/>
        </w:rPr>
        <w:t>odporni združbi nismo zaznali</w:t>
      </w:r>
      <w:r w:rsidR="00B73D0F" w:rsidRPr="00B73D0F">
        <w:rPr>
          <w:lang w:val="sl-SI"/>
        </w:rPr>
        <w:t xml:space="preserve">. To </w:t>
      </w:r>
      <w:r>
        <w:rPr>
          <w:lang w:val="sl-SI"/>
        </w:rPr>
        <w:t>se sklada</w:t>
      </w:r>
      <w:r w:rsidR="00B73D0F" w:rsidRPr="00B73D0F">
        <w:rPr>
          <w:lang w:val="sl-SI"/>
        </w:rPr>
        <w:t xml:space="preserve"> s prejšnjimi študijami, v katerih so te skupine </w:t>
      </w:r>
      <w:r>
        <w:rPr>
          <w:lang w:val="sl-SI"/>
        </w:rPr>
        <w:t>bakterij redko prisotne v lizocim ali etanol odpornih združbah</w:t>
      </w:r>
      <w:r w:rsidR="00B73D0F" w:rsidRPr="00B73D0F">
        <w:rPr>
          <w:lang w:val="sl-SI"/>
        </w:rPr>
        <w:t xml:space="preserve">. Člani debla </w:t>
      </w:r>
      <w:r w:rsidR="00B73D0F" w:rsidRPr="00E86D05">
        <w:rPr>
          <w:i/>
          <w:iCs/>
          <w:lang w:val="sl-SI"/>
        </w:rPr>
        <w:t>Pseudomonadota</w:t>
      </w:r>
      <w:r w:rsidR="00B73D0F" w:rsidRPr="00B73D0F">
        <w:rPr>
          <w:lang w:val="sl-SI"/>
        </w:rPr>
        <w:t>, med katerimi smo v etanol</w:t>
      </w:r>
      <w:r>
        <w:rPr>
          <w:lang w:val="sl-SI"/>
        </w:rPr>
        <w:t xml:space="preserve"> odporni združbi</w:t>
      </w:r>
      <w:r w:rsidR="00B73D0F" w:rsidRPr="00B73D0F">
        <w:rPr>
          <w:lang w:val="sl-SI"/>
        </w:rPr>
        <w:t xml:space="preserve"> zaznali devet vrst, so bili v etanolno obdelanih skupnostih opisani že prej in so znani po različnih oblikah </w:t>
      </w:r>
      <w:r>
        <w:rPr>
          <w:lang w:val="sl-SI"/>
        </w:rPr>
        <w:t>dormance</w:t>
      </w:r>
      <w:r w:rsidR="00B73D0F" w:rsidRPr="00B73D0F">
        <w:rPr>
          <w:lang w:val="sl-SI"/>
        </w:rPr>
        <w:t xml:space="preserve">, npr. po vztrajnostnih celicah </w:t>
      </w:r>
      <w:r>
        <w:rPr>
          <w:lang w:val="sl-SI"/>
        </w:rPr>
        <w:t>(ang. '</w:t>
      </w:r>
      <w:r w:rsidR="00B73D0F" w:rsidRPr="00B73D0F">
        <w:rPr>
          <w:lang w:val="sl-SI"/>
        </w:rPr>
        <w:t>persister cells</w:t>
      </w:r>
      <w:r>
        <w:rPr>
          <w:lang w:val="sl-SI"/>
        </w:rPr>
        <w:t xml:space="preserve">') </w:t>
      </w:r>
      <w:r w:rsidR="00B73D0F" w:rsidRPr="00B73D0F">
        <w:rPr>
          <w:lang w:val="sl-SI"/>
        </w:rPr>
        <w:t>in VBNC</w:t>
      </w:r>
      <w:r>
        <w:rPr>
          <w:lang w:val="sl-SI"/>
        </w:rPr>
        <w:t xml:space="preserve"> </w:t>
      </w:r>
      <w:r w:rsidR="00B73D0F" w:rsidRPr="00B73D0F">
        <w:rPr>
          <w:lang w:val="sl-SI"/>
        </w:rPr>
        <w:t xml:space="preserve">stanju. </w:t>
      </w:r>
      <w:r>
        <w:rPr>
          <w:lang w:val="sl-SI"/>
        </w:rPr>
        <w:t xml:space="preserve">Ti rezultati nakazujejo, </w:t>
      </w:r>
      <w:r w:rsidR="00B73D0F" w:rsidRPr="00B73D0F">
        <w:rPr>
          <w:lang w:val="sl-SI"/>
        </w:rPr>
        <w:t xml:space="preserve">da </w:t>
      </w:r>
      <w:r>
        <w:rPr>
          <w:lang w:val="sl-SI"/>
        </w:rPr>
        <w:t>odpornost proti etanolu</w:t>
      </w:r>
      <w:r w:rsidR="00B73D0F" w:rsidRPr="00B73D0F">
        <w:rPr>
          <w:lang w:val="sl-SI"/>
        </w:rPr>
        <w:t xml:space="preserve"> deluje kot približek širšemu spektru </w:t>
      </w:r>
      <w:r>
        <w:rPr>
          <w:lang w:val="sl-SI"/>
        </w:rPr>
        <w:t>dormantnih</w:t>
      </w:r>
      <w:r w:rsidR="00B73D0F" w:rsidRPr="00B73D0F">
        <w:rPr>
          <w:lang w:val="sl-SI"/>
        </w:rPr>
        <w:t xml:space="preserve"> in stresno odpornih </w:t>
      </w:r>
      <w:r>
        <w:rPr>
          <w:lang w:val="sl-SI"/>
        </w:rPr>
        <w:t xml:space="preserve">celičnih </w:t>
      </w:r>
      <w:r w:rsidR="00B73D0F" w:rsidRPr="00B73D0F">
        <w:rPr>
          <w:lang w:val="sl-SI"/>
        </w:rPr>
        <w:t xml:space="preserve">stanj, med katerimi </w:t>
      </w:r>
      <w:r>
        <w:rPr>
          <w:lang w:val="sl-SI"/>
        </w:rPr>
        <w:t>spore</w:t>
      </w:r>
      <w:r w:rsidR="00B73D0F" w:rsidRPr="00B73D0F">
        <w:rPr>
          <w:lang w:val="sl-SI"/>
        </w:rPr>
        <w:t xml:space="preserve"> predstavljajo le en del.</w:t>
      </w:r>
    </w:p>
    <w:p w14:paraId="51D9D2FD" w14:textId="77777777" w:rsidR="00F1193E" w:rsidRDefault="00B73D0F" w:rsidP="00B73D0F">
      <w:pPr>
        <w:rPr>
          <w:lang w:val="sl-SI"/>
        </w:rPr>
      </w:pPr>
      <w:r w:rsidRPr="00B73D0F">
        <w:rPr>
          <w:lang w:val="sl-SI"/>
        </w:rPr>
        <w:t xml:space="preserve">V naši kohorti so bile </w:t>
      </w:r>
      <w:r w:rsidR="00F1193E">
        <w:rPr>
          <w:lang w:val="sl-SI"/>
        </w:rPr>
        <w:t xml:space="preserve">sporogene bakterije, ki so bile zaznane tudi v etanol odporni združbi pogostejše zaznane med več posamezniki in hkrati bile prisotne v več časovnih točkah znotraj črevesja enega posameznika, kot bakterije, brez sporulacijske sposobnosti ali, ki niso bile zaznane v etanol odporni združbi. S tem smo podprli primerjalne analize genomov, ki bakterije s sporulacijsko sposobnost povezujejo z višjo prevalenco v populaciji, hkrati pa ti rezultati tudi dobro sovpadajo z eksperimentalnimi ugotovitvami lizocim odpornih združb. </w:t>
      </w:r>
      <w:r w:rsidRPr="00B73D0F">
        <w:rPr>
          <w:lang w:val="sl-SI"/>
        </w:rPr>
        <w:t xml:space="preserve">V tem okviru naši longitudinalni podatki kažejo, da se etanol‑rezistentne, zlasti pa </w:t>
      </w:r>
      <w:r w:rsidR="00F1193E">
        <w:rPr>
          <w:lang w:val="sl-SI"/>
        </w:rPr>
        <w:t>sporogene bakterije debla</w:t>
      </w:r>
      <w:r w:rsidRPr="00B73D0F">
        <w:rPr>
          <w:lang w:val="sl-SI"/>
        </w:rPr>
        <w:t xml:space="preserve"> </w:t>
      </w:r>
      <w:r w:rsidRPr="00F1193E">
        <w:rPr>
          <w:i/>
          <w:iCs/>
          <w:lang w:val="sl-SI"/>
        </w:rPr>
        <w:t>Bacillota</w:t>
      </w:r>
      <w:r w:rsidRPr="00B73D0F">
        <w:rPr>
          <w:lang w:val="sl-SI"/>
        </w:rPr>
        <w:t xml:space="preserve"> v črevesju obnašajo kot </w:t>
      </w:r>
      <w:r w:rsidR="00F1193E">
        <w:rPr>
          <w:lang w:val="sl-SI"/>
        </w:rPr>
        <w:t>'semenska banka' ('seed bank')</w:t>
      </w:r>
      <w:r w:rsidRPr="00B73D0F">
        <w:rPr>
          <w:lang w:val="sl-SI"/>
        </w:rPr>
        <w:t xml:space="preserve">, ki v obliki spor ali drugih odpornih oblik vztraja v </w:t>
      </w:r>
      <w:r w:rsidR="00F1193E">
        <w:rPr>
          <w:lang w:val="sl-SI"/>
        </w:rPr>
        <w:t>okolju</w:t>
      </w:r>
      <w:r w:rsidRPr="00B73D0F">
        <w:rPr>
          <w:lang w:val="sl-SI"/>
        </w:rPr>
        <w:t xml:space="preserve"> več mesecev, medtem ko se ostali taksoni bolj spreminjajo. </w:t>
      </w:r>
    </w:p>
    <w:p w14:paraId="69C0345F" w14:textId="6FFF2D15" w:rsidR="00B73D0F" w:rsidRPr="00B73D0F" w:rsidRDefault="00F1193E" w:rsidP="00B73D0F">
      <w:pPr>
        <w:rPr>
          <w:lang w:val="sl-SI"/>
        </w:rPr>
      </w:pPr>
      <w:r>
        <w:rPr>
          <w:lang w:val="sl-SI"/>
        </w:rPr>
        <w:lastRenderedPageBreak/>
        <w:t xml:space="preserve">Bakterije brez sporulacijske sposobnosti so bile znotraj posameznika bolj variabilne, so si jih posazmeniki v naši kohorti redkeje delili. Vendar pa so bili taksoni v etanol odporni združbi izven debla </w:t>
      </w:r>
      <w:r>
        <w:rPr>
          <w:i/>
          <w:iCs/>
          <w:lang w:val="sl-SI"/>
        </w:rPr>
        <w:t>Bacillota</w:t>
      </w:r>
      <w:r>
        <w:rPr>
          <w:lang w:val="sl-SI"/>
        </w:rPr>
        <w:t xml:space="preserve"> prav tako pogosteje zastopani pri več posameznikih, a so le </w:t>
      </w:r>
      <w:r w:rsidR="00B73D0F" w:rsidRPr="00B73D0F">
        <w:rPr>
          <w:lang w:val="sl-SI"/>
        </w:rPr>
        <w:t xml:space="preserve">malo prispevali k dolgotrajni prisotnosti </w:t>
      </w:r>
      <w:r>
        <w:rPr>
          <w:lang w:val="sl-SI"/>
        </w:rPr>
        <w:t xml:space="preserve">znotraj posameznega </w:t>
      </w:r>
      <w:r w:rsidR="00B73D0F" w:rsidRPr="00B73D0F">
        <w:rPr>
          <w:lang w:val="sl-SI"/>
        </w:rPr>
        <w:t>gostitelj</w:t>
      </w:r>
      <w:r>
        <w:rPr>
          <w:lang w:val="sl-SI"/>
        </w:rPr>
        <w:t>a</w:t>
      </w:r>
      <w:r w:rsidR="00B73D0F" w:rsidRPr="00B73D0F">
        <w:rPr>
          <w:lang w:val="sl-SI"/>
        </w:rPr>
        <w:t xml:space="preserve">. Tak vzorec nakazuje, da alternativni mehanizmi </w:t>
      </w:r>
      <w:r>
        <w:rPr>
          <w:lang w:val="sl-SI"/>
        </w:rPr>
        <w:t>dormance</w:t>
      </w:r>
      <w:r w:rsidR="00B73D0F" w:rsidRPr="00B73D0F">
        <w:rPr>
          <w:lang w:val="sl-SI"/>
        </w:rPr>
        <w:t xml:space="preserve"> ali odziva na stres v teh </w:t>
      </w:r>
      <w:r>
        <w:rPr>
          <w:lang w:val="sl-SI"/>
        </w:rPr>
        <w:t>vrstah</w:t>
      </w:r>
      <w:r w:rsidR="00B73D0F" w:rsidRPr="00B73D0F">
        <w:rPr>
          <w:lang w:val="sl-SI"/>
        </w:rPr>
        <w:t xml:space="preserve"> bolj podpirajo prenos na ravni populacije kot pa stabilno dolgotrajno kolonizacijo pri posamezniku.</w:t>
      </w:r>
    </w:p>
    <w:p w14:paraId="344E3730" w14:textId="262A9C4E" w:rsidR="00B73D0F" w:rsidRPr="00B73D0F" w:rsidRDefault="00B73D0F" w:rsidP="00B73D0F">
      <w:pPr>
        <w:rPr>
          <w:lang w:val="sl-SI"/>
        </w:rPr>
      </w:pPr>
      <w:r w:rsidRPr="00B73D0F">
        <w:rPr>
          <w:lang w:val="sl-SI"/>
        </w:rPr>
        <w:t xml:space="preserve">Frekvenco sporulacije smo izračunali za najbolj številčne in </w:t>
      </w:r>
      <w:r w:rsidR="00F1193E">
        <w:rPr>
          <w:lang w:val="sl-SI"/>
        </w:rPr>
        <w:t xml:space="preserve">dolgotrajno prisotne OTU-je v etanol odporni združbi </w:t>
      </w:r>
      <w:r w:rsidRPr="00B73D0F">
        <w:rPr>
          <w:lang w:val="sl-SI"/>
        </w:rPr>
        <w:t xml:space="preserve">iz debla </w:t>
      </w:r>
      <w:r w:rsidRPr="00F1193E">
        <w:rPr>
          <w:i/>
          <w:iCs/>
          <w:lang w:val="sl-SI"/>
        </w:rPr>
        <w:t>Bacillota</w:t>
      </w:r>
      <w:r w:rsidR="00F1193E">
        <w:rPr>
          <w:lang w:val="sl-SI"/>
        </w:rPr>
        <w:t xml:space="preserve">, </w:t>
      </w:r>
      <w:r w:rsidRPr="00B73D0F">
        <w:rPr>
          <w:lang w:val="sl-SI"/>
        </w:rPr>
        <w:t xml:space="preserve">kot razmerje med normalizirano </w:t>
      </w:r>
      <w:r w:rsidR="00F1193E">
        <w:rPr>
          <w:lang w:val="sl-SI"/>
        </w:rPr>
        <w:t>zastopanostjo</w:t>
      </w:r>
      <w:r w:rsidRPr="00B73D0F">
        <w:rPr>
          <w:lang w:val="sl-SI"/>
        </w:rPr>
        <w:t xml:space="preserve"> v etanolno obdelanem vzorcu in normalizirano abundanco v neobdelanem vzorcu. To razmerje predstavlja oceno deleža </w:t>
      </w:r>
      <w:r w:rsidR="00F1193E">
        <w:rPr>
          <w:lang w:val="sl-SI"/>
        </w:rPr>
        <w:t>spor</w:t>
      </w:r>
      <w:r w:rsidRPr="00B73D0F">
        <w:rPr>
          <w:lang w:val="sl-SI"/>
        </w:rPr>
        <w:t xml:space="preserve"> med vsemi </w:t>
      </w:r>
      <w:r w:rsidR="00F1193E">
        <w:rPr>
          <w:lang w:val="sl-SI"/>
        </w:rPr>
        <w:t>celicami in sporami</w:t>
      </w:r>
      <w:r w:rsidRPr="00B73D0F">
        <w:rPr>
          <w:lang w:val="sl-SI"/>
        </w:rPr>
        <w:t xml:space="preserve"> danega OTU</w:t>
      </w:r>
      <w:r w:rsidR="00F1193E">
        <w:rPr>
          <w:lang w:val="sl-SI"/>
        </w:rPr>
        <w:t>-ja</w:t>
      </w:r>
      <w:r w:rsidRPr="00B73D0F">
        <w:rPr>
          <w:lang w:val="sl-SI"/>
        </w:rPr>
        <w:t xml:space="preserve">. Ena ključnih ugotovitev je, da se </w:t>
      </w:r>
      <w:r w:rsidR="00F1193E">
        <w:rPr>
          <w:lang w:val="sl-SI"/>
        </w:rPr>
        <w:t>sporogene</w:t>
      </w:r>
      <w:r w:rsidRPr="00B73D0F">
        <w:rPr>
          <w:lang w:val="sl-SI"/>
        </w:rPr>
        <w:t xml:space="preserve"> bakterije v črevesju očitno odzivajo na skupne </w:t>
      </w:r>
      <w:r w:rsidR="00F1193E" w:rsidRPr="00B73D0F">
        <w:rPr>
          <w:lang w:val="sl-SI"/>
        </w:rPr>
        <w:t>okolijske</w:t>
      </w:r>
      <w:r w:rsidRPr="00B73D0F">
        <w:rPr>
          <w:lang w:val="sl-SI"/>
        </w:rPr>
        <w:t xml:space="preserve"> signale znotraj istega gostitelja</w:t>
      </w:r>
      <w:r w:rsidR="00F1193E">
        <w:rPr>
          <w:lang w:val="sl-SI"/>
        </w:rPr>
        <w:t>. S</w:t>
      </w:r>
      <w:r w:rsidRPr="00B73D0F">
        <w:rPr>
          <w:lang w:val="sl-SI"/>
        </w:rPr>
        <w:t xml:space="preserve">premembe </w:t>
      </w:r>
      <w:r w:rsidR="00F1193E">
        <w:rPr>
          <w:lang w:val="sl-SI"/>
        </w:rPr>
        <w:t xml:space="preserve">v </w:t>
      </w:r>
      <w:r w:rsidRPr="00B73D0F">
        <w:rPr>
          <w:lang w:val="sl-SI"/>
        </w:rPr>
        <w:t>frekvenc</w:t>
      </w:r>
      <w:r w:rsidR="00F1193E">
        <w:rPr>
          <w:lang w:val="sl-SI"/>
        </w:rPr>
        <w:t>i</w:t>
      </w:r>
      <w:r w:rsidRPr="00B73D0F">
        <w:rPr>
          <w:lang w:val="sl-SI"/>
        </w:rPr>
        <w:t xml:space="preserve"> sporulacije so bile časovno </w:t>
      </w:r>
      <w:r w:rsidR="00F1193E">
        <w:rPr>
          <w:lang w:val="sl-SI"/>
        </w:rPr>
        <w:t>usklajene</w:t>
      </w:r>
      <w:r w:rsidRPr="00B73D0F">
        <w:rPr>
          <w:lang w:val="sl-SI"/>
        </w:rPr>
        <w:t xml:space="preserve"> med raznolikimi rodovi </w:t>
      </w:r>
      <w:r w:rsidR="00F1193E">
        <w:rPr>
          <w:lang w:val="sl-SI"/>
        </w:rPr>
        <w:t>znotraj posameznika</w:t>
      </w:r>
      <w:r w:rsidRPr="00B73D0F">
        <w:rPr>
          <w:lang w:val="sl-SI"/>
        </w:rPr>
        <w:t xml:space="preserve">. </w:t>
      </w:r>
      <w:r w:rsidR="00F1193E">
        <w:rPr>
          <w:lang w:val="sl-SI"/>
        </w:rPr>
        <w:t>Vendar pa ti</w:t>
      </w:r>
      <w:r w:rsidRPr="00B73D0F">
        <w:rPr>
          <w:lang w:val="sl-SI"/>
        </w:rPr>
        <w:t xml:space="preserve"> časovni vzorci pa niso bili ohranjeni med različnimi </w:t>
      </w:r>
      <w:r w:rsidR="00F1193E">
        <w:rPr>
          <w:lang w:val="sl-SI"/>
        </w:rPr>
        <w:t>posamezniki</w:t>
      </w:r>
      <w:r w:rsidRPr="00B73D0F">
        <w:rPr>
          <w:lang w:val="sl-SI"/>
        </w:rPr>
        <w:t>, kar kaže, da dinamiko sporulacije v črevesju primarno določajo gostitelju specifične okol</w:t>
      </w:r>
      <w:r w:rsidR="00F1193E">
        <w:rPr>
          <w:lang w:val="sl-SI"/>
        </w:rPr>
        <w:t>i</w:t>
      </w:r>
      <w:r w:rsidRPr="00B73D0F">
        <w:rPr>
          <w:lang w:val="sl-SI"/>
        </w:rPr>
        <w:t>jske in fiziološke razmere (npr. prehrana, imunski status, uporaba zdravil), ne pa rigidni, taksonu lastni programi.</w:t>
      </w:r>
    </w:p>
    <w:p w14:paraId="4059ADC1" w14:textId="5BCBFD35" w:rsidR="00B73D0F" w:rsidRPr="00B73D0F" w:rsidRDefault="00B73D0F" w:rsidP="00B73D0F">
      <w:pPr>
        <w:rPr>
          <w:lang w:val="sl-SI"/>
        </w:rPr>
      </w:pPr>
      <w:r w:rsidRPr="00B73D0F">
        <w:rPr>
          <w:lang w:val="sl-SI"/>
        </w:rPr>
        <w:t xml:space="preserve">Metagenomski podatki so omogočili tudi karakterizacijo genov za protimikrobno odpornost in njihovo povezavo z bakterijsko </w:t>
      </w:r>
      <w:r w:rsidR="00DA77AA">
        <w:rPr>
          <w:lang w:val="sl-SI"/>
        </w:rPr>
        <w:t>bogatostjo</w:t>
      </w:r>
      <w:r w:rsidRPr="00B73D0F">
        <w:rPr>
          <w:lang w:val="sl-SI"/>
        </w:rPr>
        <w:t xml:space="preserve">. </w:t>
      </w:r>
      <w:r w:rsidR="00DA77AA">
        <w:rPr>
          <w:lang w:val="sl-SI"/>
        </w:rPr>
        <w:t>Pri v</w:t>
      </w:r>
      <w:r w:rsidRPr="00B73D0F">
        <w:rPr>
          <w:lang w:val="sl-SI"/>
        </w:rPr>
        <w:t>sak</w:t>
      </w:r>
      <w:r w:rsidR="00DA77AA">
        <w:rPr>
          <w:lang w:val="sl-SI"/>
        </w:rPr>
        <w:t>em</w:t>
      </w:r>
      <w:r w:rsidRPr="00B73D0F">
        <w:rPr>
          <w:lang w:val="sl-SI"/>
        </w:rPr>
        <w:t xml:space="preserve"> posameznik</w:t>
      </w:r>
      <w:r w:rsidR="00DA77AA">
        <w:rPr>
          <w:lang w:val="sl-SI"/>
        </w:rPr>
        <w:t xml:space="preserve">u smo zaznali med </w:t>
      </w:r>
      <w:r w:rsidRPr="00B73D0F">
        <w:rPr>
          <w:lang w:val="sl-SI"/>
        </w:rPr>
        <w:t>81 in 101 različnih genov za protimikrobno odpornost (ARG</w:t>
      </w:r>
      <w:r w:rsidR="00DA77AA">
        <w:rPr>
          <w:lang w:val="sl-SI"/>
        </w:rPr>
        <w:t>s</w:t>
      </w:r>
      <w:r w:rsidRPr="00B73D0F">
        <w:rPr>
          <w:lang w:val="sl-SI"/>
        </w:rPr>
        <w:t>), od katerih je bilo v povprečju približno polovica prisotnih skozi celotno šestmesečno obdobje. To kaže, da zdravi odrasli v črevesju gostijo raznolik</w:t>
      </w:r>
      <w:r w:rsidR="00DA77AA">
        <w:rPr>
          <w:lang w:val="sl-SI"/>
        </w:rPr>
        <w:t>o in</w:t>
      </w:r>
      <w:r w:rsidRPr="00B73D0F">
        <w:rPr>
          <w:lang w:val="sl-SI"/>
        </w:rPr>
        <w:t xml:space="preserve"> časovno razmeroma stabil</w:t>
      </w:r>
      <w:r w:rsidR="00DA77AA">
        <w:rPr>
          <w:lang w:val="sl-SI"/>
        </w:rPr>
        <w:t>en nabor genov za protimikrobno odpornost</w:t>
      </w:r>
      <w:r w:rsidRPr="00B73D0F">
        <w:rPr>
          <w:lang w:val="sl-SI"/>
        </w:rPr>
        <w:t xml:space="preserve">. </w:t>
      </w:r>
      <w:r w:rsidR="00DA77AA">
        <w:rPr>
          <w:lang w:val="sl-SI"/>
        </w:rPr>
        <w:t>Najvišje zastopani geni za odpornost proti antibiotikom so bili tisti v razredu tetraciklinov, kar sicer sovpada s poročili iz drugih evropskih držav, vendar pa le ti a</w:t>
      </w:r>
      <w:r w:rsidR="000F25B4">
        <w:rPr>
          <w:lang w:val="sl-SI"/>
        </w:rPr>
        <w:t>n</w:t>
      </w:r>
      <w:r w:rsidR="00DA77AA">
        <w:rPr>
          <w:lang w:val="sl-SI"/>
        </w:rPr>
        <w:t>tibiotiki niso med najbolj predpisanimi v Sloveniji</w:t>
      </w:r>
      <w:r w:rsidRPr="00B73D0F">
        <w:rPr>
          <w:lang w:val="sl-SI"/>
        </w:rPr>
        <w:t xml:space="preserve">. </w:t>
      </w:r>
      <w:r w:rsidR="00DA77AA">
        <w:rPr>
          <w:lang w:val="sl-SI"/>
        </w:rPr>
        <w:t>N</w:t>
      </w:r>
      <w:r w:rsidRPr="00B73D0F">
        <w:rPr>
          <w:lang w:val="sl-SI"/>
        </w:rPr>
        <w:t xml:space="preserve">adzor </w:t>
      </w:r>
      <w:r w:rsidR="00DA77AA">
        <w:rPr>
          <w:lang w:val="sl-SI"/>
        </w:rPr>
        <w:t xml:space="preserve">večkratno odpornih bakterij </w:t>
      </w:r>
      <w:r w:rsidRPr="00B73D0F">
        <w:rPr>
          <w:lang w:val="sl-SI"/>
        </w:rPr>
        <w:t xml:space="preserve">v Sloveniji je pokazal prisotnost pomembnih karbapenemskih in betalaktamskih genov odpornosti v bolnišničnem okolju ter v rekah in odpadnih vodah, vendar teh </w:t>
      </w:r>
      <w:r w:rsidR="000F25B4">
        <w:rPr>
          <w:lang w:val="sl-SI"/>
        </w:rPr>
        <w:t>genov</w:t>
      </w:r>
      <w:r w:rsidRPr="00B73D0F">
        <w:rPr>
          <w:lang w:val="sl-SI"/>
        </w:rPr>
        <w:t xml:space="preserve"> v črevesju naših zdravih udeležencev nismo zaznali, z izjemo gena </w:t>
      </w:r>
      <w:r w:rsidRPr="00DA77AA">
        <w:rPr>
          <w:i/>
          <w:iCs/>
          <w:lang w:val="sl-SI"/>
        </w:rPr>
        <w:t>bla</w:t>
      </w:r>
      <w:r w:rsidRPr="00DA77AA">
        <w:rPr>
          <w:vertAlign w:val="subscript"/>
          <w:lang w:val="sl-SI"/>
        </w:rPr>
        <w:t xml:space="preserve">CTX‑M1 </w:t>
      </w:r>
      <w:r w:rsidRPr="00B73D0F">
        <w:rPr>
          <w:lang w:val="sl-SI"/>
        </w:rPr>
        <w:t>v zelo nizki abundanci pri enem posamezniku</w:t>
      </w:r>
      <w:r w:rsidR="000F25B4">
        <w:rPr>
          <w:lang w:val="sl-SI"/>
        </w:rPr>
        <w:t xml:space="preserve"> (I)</w:t>
      </w:r>
      <w:r w:rsidRPr="00B73D0F">
        <w:rPr>
          <w:lang w:val="sl-SI"/>
        </w:rPr>
        <w:t>. Domnevali smo, da bo nižja bakterijska raznolikost povezana z večjo raznolikostjo ARG, a podatki te hipoteze niso podprli</w:t>
      </w:r>
      <w:r w:rsidR="000F25B4">
        <w:rPr>
          <w:lang w:val="sl-SI"/>
        </w:rPr>
        <w:t xml:space="preserve"> saj m</w:t>
      </w:r>
      <w:r w:rsidRPr="00B73D0F">
        <w:rPr>
          <w:lang w:val="sl-SI"/>
        </w:rPr>
        <w:t xml:space="preserve">ed celotno bakterijsko raznolikostjo in raznolikostjo ARG skozi čas nismo našli pomembne povezanosti. Morebitne povezave so bile, kolikor smo jih zaznali, </w:t>
      </w:r>
      <w:r w:rsidR="000F25B4">
        <w:rPr>
          <w:lang w:val="sl-SI"/>
        </w:rPr>
        <w:t>specifične za posamezne razrede antibiotikov</w:t>
      </w:r>
      <w:r w:rsidRPr="00B73D0F">
        <w:rPr>
          <w:lang w:val="sl-SI"/>
        </w:rPr>
        <w:t>.</w:t>
      </w:r>
    </w:p>
    <w:p w14:paraId="59E43EA5" w14:textId="77777777" w:rsidR="001C3E9E" w:rsidRDefault="001C3E9E" w:rsidP="00B73D0F">
      <w:pPr>
        <w:rPr>
          <w:lang w:val="sl-SI"/>
        </w:rPr>
      </w:pPr>
      <w:r>
        <w:rPr>
          <w:lang w:val="sl-SI"/>
        </w:rPr>
        <w:t xml:space="preserve">Poleg analiz celotne združbe črevesne mikrobiote in etanolno odporne združbe ter bakterij s sposobnostjo sporulacije na nivoju genov, smo izolirali tudi sporogeno bakterijsko vrsto </w:t>
      </w:r>
      <w:r>
        <w:rPr>
          <w:i/>
          <w:iCs/>
          <w:lang w:val="sl-SI"/>
        </w:rPr>
        <w:t>Clostridum saudiense</w:t>
      </w:r>
      <w:r>
        <w:rPr>
          <w:lang w:val="sl-SI"/>
        </w:rPr>
        <w:t xml:space="preserve"> v čisti kulturi. Izbrali smo tri vzorce blata posameznika H, le ta je bil izbran saj je med študijo prejel antibiotike (amoksicilin, zaradi s študijo nepovezanih zdravstvenih težav). V tem času smo pri analizi normalizirane zastopanosti opazili upad bakterijskega bremena in hkrati opazili, da je variabilnost sporulacijske frekvence tega posameznika višja od povprečne. Ti vzorci so se nam zato zdel informativen primer obstojnosti sporogene vrste preko antibiotične terapije. </w:t>
      </w:r>
    </w:p>
    <w:p w14:paraId="7B6760AE" w14:textId="18093FB2" w:rsidR="00B73D0F" w:rsidRPr="00B73D0F" w:rsidRDefault="001C3E9E" w:rsidP="00B73D0F">
      <w:pPr>
        <w:rPr>
          <w:lang w:val="sl-SI"/>
        </w:rPr>
      </w:pPr>
      <w:r>
        <w:rPr>
          <w:lang w:val="sl-SI"/>
        </w:rPr>
        <w:t xml:space="preserve">Izbrali smo tri vzorce, ki smo jih šokirali z etanolom, ti so vključevali vzorec en mesec pred zaužitjem antibiotika, med terapijo in en mesec po antibiotični terapiji. </w:t>
      </w:r>
      <w:r w:rsidR="00B73D0F" w:rsidRPr="00B73D0F">
        <w:rPr>
          <w:lang w:val="sl-SI"/>
        </w:rPr>
        <w:t xml:space="preserve">Z uporabo kratkega </w:t>
      </w:r>
      <w:r w:rsidR="00B73D0F" w:rsidRPr="00B73D0F">
        <w:rPr>
          <w:lang w:val="sl-SI"/>
        </w:rPr>
        <w:lastRenderedPageBreak/>
        <w:t>inkubacij</w:t>
      </w:r>
      <w:r>
        <w:rPr>
          <w:lang w:val="sl-SI"/>
        </w:rPr>
        <w:t>skega časa</w:t>
      </w:r>
      <w:r w:rsidR="00B73D0F" w:rsidRPr="00B73D0F">
        <w:rPr>
          <w:lang w:val="sl-SI"/>
        </w:rPr>
        <w:t xml:space="preserve"> in bogatega gojišča smo selekcionirali </w:t>
      </w:r>
      <w:r>
        <w:rPr>
          <w:lang w:val="sl-SI"/>
        </w:rPr>
        <w:t xml:space="preserve">bakterijske vrste, ki so sposobne hitre germinacije </w:t>
      </w:r>
      <w:r w:rsidR="00B73D0F" w:rsidRPr="00B73D0F">
        <w:rPr>
          <w:lang w:val="sl-SI"/>
        </w:rPr>
        <w:t xml:space="preserve">in </w:t>
      </w:r>
      <w:r>
        <w:rPr>
          <w:lang w:val="sl-SI"/>
        </w:rPr>
        <w:t xml:space="preserve">razmnoževanja. Ker smo v največjem številu izolirali bakterijo </w:t>
      </w:r>
      <w:r w:rsidRPr="001C3E9E">
        <w:rPr>
          <w:i/>
          <w:iCs/>
          <w:lang w:val="sl-SI"/>
        </w:rPr>
        <w:t>C. saudiense</w:t>
      </w:r>
      <w:r>
        <w:rPr>
          <w:lang w:val="sl-SI"/>
        </w:rPr>
        <w:t xml:space="preserve"> je bila le ta izbrana za nadaljnjo molekularno analizo. S sekvenciranjem celotnega genoma na podagi kratkih odčitkov smo analizirali vseh 42 izoliranih sevov, dodatno pa smo izbranih 5 sevov sekvencirali še z metodo dolgih odčitkov. Pridobili smo 42 kvalitetnih osnutkov genomov </w:t>
      </w:r>
      <w:r>
        <w:rPr>
          <w:i/>
          <w:iCs/>
          <w:lang w:val="sl-SI"/>
        </w:rPr>
        <w:t xml:space="preserve">C. saudiense </w:t>
      </w:r>
      <w:r>
        <w:rPr>
          <w:lang w:val="sl-SI"/>
        </w:rPr>
        <w:t xml:space="preserve">in tako pomembno razširili znano gensko raznolikost te vrste, saj so bili predhodno objavljeni genomi slabše kvalitete in sestavljeni iz več kot 60 v večini primerov več kot 100 </w:t>
      </w:r>
      <w:r w:rsidR="004D391F">
        <w:rPr>
          <w:lang w:val="sl-SI"/>
        </w:rPr>
        <w:t>sosesk (ang. 'contigs')</w:t>
      </w:r>
      <w:r>
        <w:rPr>
          <w:lang w:val="sl-SI"/>
        </w:rPr>
        <w:t xml:space="preserve">. </w:t>
      </w:r>
      <w:r w:rsidR="00B73D0F" w:rsidRPr="00B73D0F">
        <w:rPr>
          <w:lang w:val="sl-SI"/>
        </w:rPr>
        <w:t xml:space="preserve">Pred našo študijo </w:t>
      </w:r>
      <w:r>
        <w:rPr>
          <w:lang w:val="sl-SI"/>
        </w:rPr>
        <w:t xml:space="preserve">je bilo v javnih podatkovnih bazah objavljenih 31 genomov izolatov </w:t>
      </w:r>
      <w:r w:rsidR="00B73D0F" w:rsidRPr="00B73D0F">
        <w:rPr>
          <w:lang w:val="sl-SI"/>
        </w:rPr>
        <w:t>in 7 metagenomsko sestavljeni</w:t>
      </w:r>
      <w:r>
        <w:rPr>
          <w:lang w:val="sl-SI"/>
        </w:rPr>
        <w:t>h</w:t>
      </w:r>
      <w:r w:rsidR="00B73D0F" w:rsidRPr="00B73D0F">
        <w:rPr>
          <w:lang w:val="sl-SI"/>
        </w:rPr>
        <w:t xml:space="preserve"> genom</w:t>
      </w:r>
      <w:r>
        <w:rPr>
          <w:lang w:val="sl-SI"/>
        </w:rPr>
        <w:t>ov</w:t>
      </w:r>
      <w:r w:rsidR="00B73D0F" w:rsidRPr="00B73D0F">
        <w:rPr>
          <w:lang w:val="sl-SI"/>
        </w:rPr>
        <w:t xml:space="preserve"> (MAG)</w:t>
      </w:r>
      <w:r>
        <w:rPr>
          <w:lang w:val="sl-SI"/>
        </w:rPr>
        <w:t xml:space="preserve"> </w:t>
      </w:r>
      <w:r>
        <w:rPr>
          <w:i/>
          <w:iCs/>
          <w:lang w:val="sl-SI"/>
        </w:rPr>
        <w:t>C. saudiense</w:t>
      </w:r>
      <w:r w:rsidR="00B73D0F" w:rsidRPr="00B73D0F">
        <w:rPr>
          <w:lang w:val="sl-SI"/>
        </w:rPr>
        <w:t>. Večina predhodnih izolatov je bila pridobljena iz blata odraslih ljudi, nekaj iz blata dojenčkov in eden iz blata goveda, MAG</w:t>
      </w:r>
      <w:r w:rsidR="004D391F">
        <w:rPr>
          <w:lang w:val="sl-SI"/>
        </w:rPr>
        <w:t>-i</w:t>
      </w:r>
      <w:r w:rsidR="00B73D0F" w:rsidRPr="00B73D0F">
        <w:rPr>
          <w:lang w:val="sl-SI"/>
        </w:rPr>
        <w:t xml:space="preserve"> pa so izvirali iz metagenomov človeškega črevesja.</w:t>
      </w:r>
    </w:p>
    <w:p w14:paraId="10E294C3" w14:textId="77777777" w:rsidR="00F476D2" w:rsidRDefault="00B73D0F" w:rsidP="00B73D0F">
      <w:pPr>
        <w:rPr>
          <w:lang w:val="sl-SI"/>
        </w:rPr>
      </w:pPr>
      <w:r w:rsidRPr="00B73D0F">
        <w:rPr>
          <w:lang w:val="sl-SI"/>
        </w:rPr>
        <w:t>Analiza SNP</w:t>
      </w:r>
      <w:r w:rsidR="004D391F">
        <w:rPr>
          <w:lang w:val="sl-SI"/>
        </w:rPr>
        <w:t>-ov</w:t>
      </w:r>
      <w:r w:rsidRPr="00B73D0F">
        <w:rPr>
          <w:lang w:val="sl-SI"/>
        </w:rPr>
        <w:t xml:space="preserve"> v jedrnem genomu in analiza</w:t>
      </w:r>
      <w:r w:rsidR="004D391F">
        <w:rPr>
          <w:lang w:val="sl-SI"/>
        </w:rPr>
        <w:t xml:space="preserve"> pangenoma</w:t>
      </w:r>
      <w:r w:rsidRPr="00B73D0F">
        <w:rPr>
          <w:lang w:val="sl-SI"/>
        </w:rPr>
        <w:t xml:space="preserve"> sta razkrili sedem genetsko ločenih sevov v našem naboru izolatov, kar presega ocenjeno </w:t>
      </w:r>
      <w:r w:rsidR="004D391F">
        <w:rPr>
          <w:lang w:val="sl-SI"/>
        </w:rPr>
        <w:t>število raznolikih sevov</w:t>
      </w:r>
      <w:r w:rsidR="00F476D2">
        <w:rPr>
          <w:lang w:val="sl-SI"/>
        </w:rPr>
        <w:t xml:space="preserve"> posamezne vrste </w:t>
      </w:r>
      <w:r w:rsidR="004D391F">
        <w:rPr>
          <w:lang w:val="sl-SI"/>
        </w:rPr>
        <w:t xml:space="preserve">v človeškem črevesju. </w:t>
      </w:r>
      <w:r w:rsidR="00F476D2">
        <w:rPr>
          <w:lang w:val="sl-SI"/>
        </w:rPr>
        <w:t xml:space="preserve">Z gojitvenimi metodami, smo te seve zaznali v eni (pet sevov), dveh (en sev) ali vseh treh (en sev) časovnih točkah, pri katerih smo gojili z etanolom šokirano blato. Ker gojitvene metode </w:t>
      </w:r>
      <w:r w:rsidRPr="00B73D0F">
        <w:rPr>
          <w:lang w:val="sl-SI"/>
        </w:rPr>
        <w:t>favorizira</w:t>
      </w:r>
      <w:r w:rsidR="00F476D2">
        <w:rPr>
          <w:lang w:val="sl-SI"/>
        </w:rPr>
        <w:t>jo</w:t>
      </w:r>
      <w:r w:rsidRPr="00B73D0F">
        <w:rPr>
          <w:lang w:val="sl-SI"/>
        </w:rPr>
        <w:t xml:space="preserve"> določene fenotipe, smo sledenje sevom razširili tako, da smo izolirane genome vključili v longitudinalno metagenomsko analizo šestmesečnega obdobja.</w:t>
      </w:r>
    </w:p>
    <w:p w14:paraId="19287255" w14:textId="01BE662A" w:rsidR="00B73D0F" w:rsidRPr="00B73D0F" w:rsidRDefault="00F476D2" w:rsidP="00B73D0F">
      <w:pPr>
        <w:rPr>
          <w:lang w:val="sl-SI"/>
        </w:rPr>
      </w:pPr>
      <w:r>
        <w:rPr>
          <w:lang w:val="sl-SI"/>
        </w:rPr>
        <w:t xml:space="preserve">Gojenje </w:t>
      </w:r>
      <w:r w:rsidR="00B73D0F" w:rsidRPr="00B73D0F">
        <w:rPr>
          <w:lang w:val="sl-SI"/>
        </w:rPr>
        <w:t>etanol</w:t>
      </w:r>
      <w:r>
        <w:rPr>
          <w:lang w:val="sl-SI"/>
        </w:rPr>
        <w:t xml:space="preserve"> šokiranih vzorcev blata</w:t>
      </w:r>
      <w:r w:rsidR="00B73D0F" w:rsidRPr="00B73D0F">
        <w:rPr>
          <w:lang w:val="sl-SI"/>
        </w:rPr>
        <w:t xml:space="preserve"> </w:t>
      </w:r>
      <w:r>
        <w:rPr>
          <w:lang w:val="sl-SI"/>
        </w:rPr>
        <w:t>je o</w:t>
      </w:r>
      <w:r w:rsidR="00B73D0F" w:rsidRPr="00B73D0F">
        <w:rPr>
          <w:lang w:val="sl-SI"/>
        </w:rPr>
        <w:t>mogočil</w:t>
      </w:r>
      <w:r>
        <w:rPr>
          <w:lang w:val="sl-SI"/>
        </w:rPr>
        <w:t>o</w:t>
      </w:r>
      <w:r w:rsidR="00B73D0F" w:rsidRPr="00B73D0F">
        <w:rPr>
          <w:lang w:val="sl-SI"/>
        </w:rPr>
        <w:t xml:space="preserve"> izolacijo germiniranih spor, medtem ko je metagenomika zajela DNA tako vegetativnih celic kot spor, kadar je bila njihova </w:t>
      </w:r>
      <w:r w:rsidR="00DB6E30">
        <w:rPr>
          <w:lang w:val="sl-SI"/>
        </w:rPr>
        <w:t>zastopanost</w:t>
      </w:r>
      <w:r w:rsidR="00B73D0F" w:rsidRPr="00B73D0F">
        <w:rPr>
          <w:lang w:val="sl-SI"/>
        </w:rPr>
        <w:t xml:space="preserve"> in pokritost zadostna. S tem kombiniranim pristopom smo zaznali padec </w:t>
      </w:r>
      <w:r w:rsidR="00DB6E30">
        <w:rPr>
          <w:lang w:val="sl-SI"/>
        </w:rPr>
        <w:t xml:space="preserve">v </w:t>
      </w:r>
      <w:r w:rsidR="00B73D0F" w:rsidRPr="00B73D0F">
        <w:rPr>
          <w:lang w:val="sl-SI"/>
        </w:rPr>
        <w:t xml:space="preserve">zaznavnosti </w:t>
      </w:r>
      <w:r w:rsidR="00B73D0F" w:rsidRPr="00DB6E30">
        <w:rPr>
          <w:i/>
          <w:iCs/>
          <w:lang w:val="sl-SI"/>
        </w:rPr>
        <w:t>C. saudiense</w:t>
      </w:r>
      <w:r w:rsidR="00B73D0F" w:rsidRPr="00B73D0F">
        <w:rPr>
          <w:lang w:val="sl-SI"/>
        </w:rPr>
        <w:t xml:space="preserve"> </w:t>
      </w:r>
      <w:r w:rsidR="00DB6E30">
        <w:rPr>
          <w:lang w:val="sl-SI"/>
        </w:rPr>
        <w:t xml:space="preserve">v metagenomskih vzorcih </w:t>
      </w:r>
      <w:r w:rsidR="00B73D0F" w:rsidRPr="00B73D0F">
        <w:rPr>
          <w:lang w:val="sl-SI"/>
        </w:rPr>
        <w:t xml:space="preserve">med antibiotičnim zdravljenjem, vendar stalno prisotnost vseh sedmih sevov skozi celotno obdobje vzorčenja. Občutljivost sevov na amoksicilin smo potrdili tako </w:t>
      </w:r>
      <w:r w:rsidR="00B73D0F" w:rsidRPr="00DB6E30">
        <w:rPr>
          <w:i/>
          <w:iCs/>
          <w:lang w:val="sl-SI"/>
        </w:rPr>
        <w:t>in vitro</w:t>
      </w:r>
      <w:r w:rsidR="00B73D0F" w:rsidRPr="00B73D0F">
        <w:rPr>
          <w:lang w:val="sl-SI"/>
        </w:rPr>
        <w:t xml:space="preserve"> kot </w:t>
      </w:r>
      <w:r w:rsidR="00B73D0F" w:rsidRPr="00DB6E30">
        <w:rPr>
          <w:i/>
          <w:iCs/>
          <w:lang w:val="sl-SI"/>
        </w:rPr>
        <w:t>in silico</w:t>
      </w:r>
      <w:r w:rsidR="00DB6E30">
        <w:rPr>
          <w:i/>
          <w:iCs/>
          <w:lang w:val="sl-SI"/>
        </w:rPr>
        <w:t xml:space="preserve"> </w:t>
      </w:r>
      <w:r w:rsidR="00DB6E30">
        <w:rPr>
          <w:lang w:val="sl-SI"/>
        </w:rPr>
        <w:t>s programom AMRfinder</w:t>
      </w:r>
      <w:r w:rsidR="00B73D0F" w:rsidRPr="00B73D0F">
        <w:rPr>
          <w:lang w:val="sl-SI"/>
        </w:rPr>
        <w:t xml:space="preserve">. Ključna prednost našega pristopa sledenja sevom je, da so </w:t>
      </w:r>
      <w:r w:rsidR="00DB6E30">
        <w:rPr>
          <w:lang w:val="sl-SI"/>
        </w:rPr>
        <w:t>uporabljeni sevno-specifični geni</w:t>
      </w:r>
      <w:r w:rsidR="00B73D0F" w:rsidRPr="00B73D0F">
        <w:rPr>
          <w:lang w:val="sl-SI"/>
        </w:rPr>
        <w:t xml:space="preserve"> neposredno iz genomov izoliranih sevov </w:t>
      </w:r>
      <w:r w:rsidR="00B73D0F" w:rsidRPr="00DB6E30">
        <w:rPr>
          <w:i/>
          <w:iCs/>
          <w:lang w:val="sl-SI"/>
        </w:rPr>
        <w:t>C. saudiense</w:t>
      </w:r>
      <w:r w:rsidR="00B73D0F" w:rsidRPr="00B73D0F">
        <w:rPr>
          <w:lang w:val="sl-SI"/>
        </w:rPr>
        <w:t xml:space="preserve">, kar omogoča natančno longitudinalno sledenje tem specifičnim linijam in boljše zaznavanje manjšinskih sevov, ki bi pri rekonstrukciji le dominantnega seva ostali spregledani. Strategija pa je po naravi omejena na seve, ki jih uspemo izolirati, in lahko spregleda nekultivirane ali zelo divergentne linije. Kljub temu podatki podpirajo interpretacijo, da je antibiotično zdravljenje </w:t>
      </w:r>
      <w:r w:rsidR="00B73D0F" w:rsidRPr="00DB6E30">
        <w:rPr>
          <w:i/>
          <w:iCs/>
          <w:lang w:val="sl-SI"/>
        </w:rPr>
        <w:t>C. saudiense</w:t>
      </w:r>
      <w:r w:rsidR="00B73D0F" w:rsidRPr="00B73D0F">
        <w:rPr>
          <w:lang w:val="sl-SI"/>
        </w:rPr>
        <w:t xml:space="preserve"> potisnilo pod prag zaznave v metagenomskih podatkih, ne da bi izničilo spore, kar je omogočilo naknadno ponovno razrast</w:t>
      </w:r>
      <w:r w:rsidR="00DB6E30">
        <w:rPr>
          <w:lang w:val="sl-SI"/>
        </w:rPr>
        <w:t xml:space="preserve"> vseh sevov</w:t>
      </w:r>
      <w:r w:rsidR="00B73D0F" w:rsidRPr="00B73D0F">
        <w:rPr>
          <w:lang w:val="sl-SI"/>
        </w:rPr>
        <w:t>.</w:t>
      </w:r>
    </w:p>
    <w:p w14:paraId="3FB6E2AC" w14:textId="1742BBE8" w:rsidR="00B73D0F" w:rsidRPr="00B73D0F" w:rsidRDefault="00DB6E30" w:rsidP="00B73D0F">
      <w:pPr>
        <w:rPr>
          <w:lang w:val="sl-SI"/>
        </w:rPr>
      </w:pPr>
      <w:r>
        <w:rPr>
          <w:lang w:val="sl-SI"/>
        </w:rPr>
        <w:t>Naše</w:t>
      </w:r>
      <w:r w:rsidR="00B73D0F" w:rsidRPr="00B73D0F">
        <w:rPr>
          <w:lang w:val="sl-SI"/>
        </w:rPr>
        <w:t xml:space="preserve"> ugotovitve na ravni celotne skupnosti in posamezne vrste, z uporabo </w:t>
      </w:r>
      <w:r>
        <w:rPr>
          <w:lang w:val="sl-SI"/>
        </w:rPr>
        <w:t xml:space="preserve">od gojitve </w:t>
      </w:r>
      <w:r w:rsidR="00B73D0F" w:rsidRPr="00B73D0F">
        <w:rPr>
          <w:lang w:val="sl-SI"/>
        </w:rPr>
        <w:t xml:space="preserve">neodvisnih in odvisnih metod, podpirajo model, v katerem sporulacija prispeva k odpornosti (resilience) in dolgotrajni vztrajnosti črevesnih komenzalnih bakterij tako v obdobjih antibiotičnega stresa kot v stabilnih razmerah. Rezultati so skladni s hipotezo </w:t>
      </w:r>
      <w:r>
        <w:rPr>
          <w:lang w:val="sl-SI"/>
        </w:rPr>
        <w:t xml:space="preserve">'semenske banke', </w:t>
      </w:r>
      <w:r w:rsidR="00B73D0F" w:rsidRPr="00B73D0F">
        <w:rPr>
          <w:lang w:val="sl-SI"/>
        </w:rPr>
        <w:t xml:space="preserve"> po kateri </w:t>
      </w:r>
      <w:r>
        <w:rPr>
          <w:lang w:val="sl-SI"/>
        </w:rPr>
        <w:t>sporogene bakterije</w:t>
      </w:r>
      <w:r w:rsidR="00B73D0F" w:rsidRPr="00B73D0F">
        <w:rPr>
          <w:lang w:val="sl-SI"/>
        </w:rPr>
        <w:t xml:space="preserve"> vzdržujejo trajen, mirujoč rezervoar genetske raznolikosti, ki stabilizira mikrobioto skozi čas in hkrati poveča njihove možnosti za prenos med posamezniki.</w:t>
      </w:r>
    </w:p>
    <w:p w14:paraId="16A4F22E" w14:textId="07AFD06C" w:rsidR="001B10A8" w:rsidRPr="00497A2F" w:rsidRDefault="001B10A8">
      <w:pPr>
        <w:spacing w:line="259" w:lineRule="auto"/>
        <w:jc w:val="left"/>
        <w:rPr>
          <w:lang w:val="sl-SI"/>
        </w:rPr>
      </w:pPr>
      <w:r w:rsidRPr="00497A2F">
        <w:rPr>
          <w:lang w:val="sl-SI"/>
        </w:rPr>
        <w:br w:type="page"/>
      </w:r>
    </w:p>
    <w:p w14:paraId="06C0BE9C" w14:textId="6DCD7DC8" w:rsidR="005E77FD" w:rsidRPr="00D93D74" w:rsidRDefault="005E77FD">
      <w:pPr>
        <w:pStyle w:val="Naslov1"/>
        <w:numPr>
          <w:ilvl w:val="0"/>
          <w:numId w:val="5"/>
        </w:numPr>
      </w:pPr>
      <w:bookmarkStart w:id="1218" w:name="_Toc212712221"/>
      <w:bookmarkStart w:id="1219" w:name="_Toc216099765"/>
      <w:bookmarkStart w:id="1220" w:name="_Toc220932895"/>
      <w:bookmarkStart w:id="1221" w:name="_Toc228252065"/>
      <w:r w:rsidRPr="00D93D74">
        <w:lastRenderedPageBreak/>
        <w:t>REFERENCES</w:t>
      </w:r>
      <w:bookmarkEnd w:id="1218"/>
      <w:bookmarkEnd w:id="1219"/>
      <w:bookmarkEnd w:id="1220"/>
      <w:bookmarkEnd w:id="1221"/>
      <w:r w:rsidRPr="00D93D74">
        <w:t xml:space="preserve"> </w:t>
      </w:r>
    </w:p>
    <w:p w14:paraId="702AE865" w14:textId="77777777" w:rsidR="001C2A55" w:rsidRDefault="001B10A8" w:rsidP="001C2A55">
      <w:pPr>
        <w:pStyle w:val="Bibliografija"/>
      </w:pPr>
      <w:r w:rsidRPr="00D93D74">
        <w:rPr>
          <w:szCs w:val="24"/>
        </w:rPr>
        <w:fldChar w:fldCharType="begin"/>
      </w:r>
      <w:r w:rsidR="0056434F">
        <w:rPr>
          <w:szCs w:val="24"/>
        </w:rPr>
        <w:instrText xml:space="preserve"> ADDIN ZOTERO_BIBL {"uncited":[],"omitted":[],"custom":[]} CSL_BIBLIOGRAPHY </w:instrText>
      </w:r>
      <w:r w:rsidRPr="00D93D74">
        <w:rPr>
          <w:szCs w:val="24"/>
        </w:rPr>
        <w:fldChar w:fldCharType="separate"/>
      </w:r>
      <w:r w:rsidR="001C2A55">
        <w:t xml:space="preserve">Abellan-Schneyder, I., Matchado, M. S., Reitmeier, S., Sommer, A., Sewald, Z., Baumbach, J., List, M., &amp; Neuhaus, K. (2021). Primer, Pipelines, Parameters: Issues in 16S rRNA Gene Sequencing. </w:t>
      </w:r>
      <w:r w:rsidR="001C2A55">
        <w:rPr>
          <w:i/>
          <w:iCs/>
        </w:rPr>
        <w:t>mSphere</w:t>
      </w:r>
      <w:r w:rsidR="001C2A55">
        <w:t xml:space="preserve">, </w:t>
      </w:r>
      <w:r w:rsidR="001C2A55">
        <w:rPr>
          <w:i/>
          <w:iCs/>
        </w:rPr>
        <w:t>6</w:t>
      </w:r>
      <w:r w:rsidR="001C2A55">
        <w:t>(1), e01202-20. https://doi.org/10.1128/mSphere.01202-20</w:t>
      </w:r>
    </w:p>
    <w:p w14:paraId="39226161" w14:textId="77777777" w:rsidR="001C2A55" w:rsidRDefault="001C2A55" w:rsidP="001C2A55">
      <w:pPr>
        <w:pStyle w:val="Bibliografija"/>
      </w:pPr>
      <w:r>
        <w:t xml:space="preserve">Abu-Ali, G. S., Mehta, R. S., Lloyd-Price, J., Mallick, H., Branck, T., Ivey, K. L., Drew, D. A., DuLong, C., Rimm, E., Izard, J., Chan, A. T., &amp; Huttenhower, C. (2018). Metatranscriptome of human faecal microbial communities in a cohort of adult men. </w:t>
      </w:r>
      <w:r>
        <w:rPr>
          <w:i/>
          <w:iCs/>
        </w:rPr>
        <w:t>Nature Microbiology</w:t>
      </w:r>
      <w:r>
        <w:t xml:space="preserve">, </w:t>
      </w:r>
      <w:r>
        <w:rPr>
          <w:i/>
          <w:iCs/>
        </w:rPr>
        <w:t>3</w:t>
      </w:r>
      <w:r>
        <w:t>(3), Article 3. https://doi.org/10.1038/s41564-017-0084-4</w:t>
      </w:r>
    </w:p>
    <w:p w14:paraId="76FE9549" w14:textId="77777777" w:rsidR="001C2A55" w:rsidRDefault="001C2A55" w:rsidP="001C2A55">
      <w:pPr>
        <w:pStyle w:val="Bibliografija"/>
      </w:pPr>
      <w:r>
        <w:t xml:space="preserve">Afouda, P., Hocquart, M., Pham, T.-P.-T., Kuete, E., Ngom, I. I., Dione, N., Valles, C., Bellali, S., Lagier, J.-C., Dubourg, G., &amp; Raoult, D. (2020). Alcohol pretreatment of stools effect on culturomics. </w:t>
      </w:r>
      <w:r>
        <w:rPr>
          <w:i/>
          <w:iCs/>
        </w:rPr>
        <w:t>Scientific Reports</w:t>
      </w:r>
      <w:r>
        <w:t xml:space="preserve">, </w:t>
      </w:r>
      <w:r>
        <w:rPr>
          <w:i/>
          <w:iCs/>
        </w:rPr>
        <w:t>10</w:t>
      </w:r>
      <w:r>
        <w:t>(1), 5190. https://doi.org/10.1038/s41598-020-62068-x</w:t>
      </w:r>
    </w:p>
    <w:p w14:paraId="1FB20390" w14:textId="77777777" w:rsidR="001C2A55" w:rsidRDefault="001C2A55" w:rsidP="001C2A55">
      <w:pPr>
        <w:pStyle w:val="Bibliografija"/>
      </w:pPr>
      <w:r w:rsidRPr="001C2A55">
        <w:rPr>
          <w:lang w:val="es-ES"/>
          <w:rPrChange w:id="1222" w:author="Urša Miklavčič" w:date="2026-04-28T11:17:00Z" w16du:dateUtc="2026-04-28T09:17:00Z">
            <w:rPr/>
          </w:rPrChange>
        </w:rPr>
        <w:t xml:space="preserve">Aldea, A. C., Diguṭă, F. C., Presacan, O., Voaideṣ, C., Toma, R. C., &amp; Matei, F. (2025). </w:t>
      </w:r>
      <w:r>
        <w:t xml:space="preserve">Detecting antibiotic resistance: Classical, molecular, advanced bioengineering, and AI-enhanced approaches. </w:t>
      </w:r>
      <w:r>
        <w:rPr>
          <w:i/>
          <w:iCs/>
        </w:rPr>
        <w:t>Frontiers in Microbiology</w:t>
      </w:r>
      <w:r>
        <w:t xml:space="preserve">, </w:t>
      </w:r>
      <w:r>
        <w:rPr>
          <w:i/>
          <w:iCs/>
        </w:rPr>
        <w:t>16</w:t>
      </w:r>
      <w:r>
        <w:t>. https://doi.org/10.3389/fmicb.2025.1673343</w:t>
      </w:r>
    </w:p>
    <w:p w14:paraId="0B3F707A" w14:textId="77777777" w:rsidR="001C2A55" w:rsidRDefault="001C2A55" w:rsidP="001C2A55">
      <w:pPr>
        <w:pStyle w:val="Bibliografija"/>
      </w:pPr>
      <w:r>
        <w:t xml:space="preserve">Amato, K. R., &amp; Carmody, R. N. (2023). Gut Microbial Intersections with Human Ecology and Evolution. </w:t>
      </w:r>
      <w:r>
        <w:rPr>
          <w:i/>
          <w:iCs/>
        </w:rPr>
        <w:t>Annual Review of Anthropology</w:t>
      </w:r>
      <w:r>
        <w:t xml:space="preserve">, </w:t>
      </w:r>
      <w:r>
        <w:rPr>
          <w:i/>
          <w:iCs/>
        </w:rPr>
        <w:t>52</w:t>
      </w:r>
      <w:r>
        <w:t>(Volume 52, 2023), 295–311. https://doi.org/10.1146/annurev-anthro-052721-085122</w:t>
      </w:r>
    </w:p>
    <w:p w14:paraId="1BCA9E89" w14:textId="77777777" w:rsidR="001C2A55" w:rsidRDefault="001C2A55" w:rsidP="001C2A55">
      <w:pPr>
        <w:pStyle w:val="Bibliografija"/>
      </w:pPr>
      <w:r>
        <w:t xml:space="preserve">Angelakis, E., Bibi, F., Ramasamy, D., Azhar, E. I., Jiman-Fatani, A. A., Aboushoushah, S. M., Lagier, J.-C., Robert, C., Caputo, A., Yasir, M., Fournier, P.-E., &amp; Raoult, D. (2014). Non-contiguous finished genome sequence and description of Clostridium saudii sp. Nov. </w:t>
      </w:r>
      <w:r>
        <w:rPr>
          <w:i/>
          <w:iCs/>
        </w:rPr>
        <w:t>Standards in Genomic Sciences</w:t>
      </w:r>
      <w:r>
        <w:t xml:space="preserve">, </w:t>
      </w:r>
      <w:r>
        <w:rPr>
          <w:i/>
          <w:iCs/>
        </w:rPr>
        <w:t>9</w:t>
      </w:r>
      <w:r>
        <w:t>(1), 8. https://doi.org/10.1186/1944-3277-9-8</w:t>
      </w:r>
    </w:p>
    <w:p w14:paraId="4730B9AC" w14:textId="77777777" w:rsidR="001C2A55" w:rsidRDefault="001C2A55" w:rsidP="001C2A55">
      <w:pPr>
        <w:pStyle w:val="Bibliografija"/>
      </w:pPr>
      <w:r>
        <w:t xml:space="preserve">Antonov, M., Csárdi, G., Horvát, S., Müller, K., Nepusz, T., Noom, D., Salmon, M., Traag, V., Welles, B. F., &amp; Zanini, F. (2023). </w:t>
      </w:r>
      <w:r>
        <w:rPr>
          <w:i/>
          <w:iCs/>
        </w:rPr>
        <w:t xml:space="preserve">Igraph enables fast and robust network analysis across </w:t>
      </w:r>
      <w:r>
        <w:rPr>
          <w:i/>
          <w:iCs/>
        </w:rPr>
        <w:lastRenderedPageBreak/>
        <w:t>programming languages</w:t>
      </w:r>
      <w:r>
        <w:t xml:space="preserve"> (arXiv:2311.10260). arXiv. https://doi.org/10.48550/arXiv.2311.10260</w:t>
      </w:r>
    </w:p>
    <w:p w14:paraId="334FD566" w14:textId="77777777" w:rsidR="001C2A55" w:rsidRDefault="001C2A55" w:rsidP="001C2A55">
      <w:pPr>
        <w:pStyle w:val="Bibliografija"/>
      </w:pPr>
      <w:r>
        <w:t xml:space="preserve">Appert, O., Garcia, A. R., Frei, R., Roduit, C., Constancias, F., Neuzil-Bunesova, V., Ferstl, R., Zhang, J., Akdis, C., Lauener, R., Lacroix, C., &amp; Schwab, C. (2020). Initial butyrate producers during infant gut microbiota development are endospore formers. </w:t>
      </w:r>
      <w:r>
        <w:rPr>
          <w:i/>
          <w:iCs/>
        </w:rPr>
        <w:t>Environmental Microbiology</w:t>
      </w:r>
      <w:r>
        <w:t xml:space="preserve">, </w:t>
      </w:r>
      <w:r>
        <w:rPr>
          <w:i/>
          <w:iCs/>
        </w:rPr>
        <w:t>22</w:t>
      </w:r>
      <w:r>
        <w:t>(9), 3909–3921. https://doi.org/10.1111/1462-2920.15167</w:t>
      </w:r>
    </w:p>
    <w:p w14:paraId="18BA82B3" w14:textId="77777777" w:rsidR="001C2A55" w:rsidRDefault="001C2A55" w:rsidP="001C2A55">
      <w:pPr>
        <w:pStyle w:val="Bibliografija"/>
      </w:pPr>
      <w:r>
        <w:t xml:space="preserve">Asnicar, F., Manara, S., Zolfo, M., Truong, D. T., Scholz, M., Armanini, F., Ferretti, P., Gorfer, V., Pedrotti, A., Tett, A., &amp; Segata, N. (2017). Studying Vertical Microbiome Transmission from Mothers to Infants by Strain-Level Metagenomic Profiling. </w:t>
      </w:r>
      <w:r>
        <w:rPr>
          <w:i/>
          <w:iCs/>
        </w:rPr>
        <w:t>mSystems</w:t>
      </w:r>
      <w:r>
        <w:t xml:space="preserve">, </w:t>
      </w:r>
      <w:r>
        <w:rPr>
          <w:i/>
          <w:iCs/>
        </w:rPr>
        <w:t>2</w:t>
      </w:r>
      <w:r>
        <w:t>(1), e00164-16. https://doi.org/10.1128/mSystems.00164-16</w:t>
      </w:r>
    </w:p>
    <w:p w14:paraId="4634BBEF" w14:textId="77777777" w:rsidR="001C2A55" w:rsidRDefault="001C2A55" w:rsidP="001C2A55">
      <w:pPr>
        <w:pStyle w:val="Bibliografija"/>
      </w:pPr>
      <w:r>
        <w:t xml:space="preserve">Avershina, E., Larsen, M. G., Aspholm, M., Lindback, T., Storrø,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https://doi.org/10.1038/s41598-020-58858-y</w:t>
      </w:r>
    </w:p>
    <w:p w14:paraId="701A8E6C" w14:textId="77777777" w:rsidR="001C2A55" w:rsidRDefault="001C2A55" w:rsidP="001C2A55">
      <w:pPr>
        <w:pStyle w:val="Bibliografija"/>
      </w:pPr>
      <w:r>
        <w:t xml:space="preserve">Avershina, E., Qureshi, A. I., Winther-Larsen, H. C., &amp; Rounge, T. B. (2025). Challenges in capturing the mycobiome from shotgun metagenome data: Lack of software and databases. </w:t>
      </w:r>
      <w:r>
        <w:rPr>
          <w:i/>
          <w:iCs/>
        </w:rPr>
        <w:t>Microbiome</w:t>
      </w:r>
      <w:r>
        <w:t xml:space="preserve">, </w:t>
      </w:r>
      <w:r>
        <w:rPr>
          <w:i/>
          <w:iCs/>
        </w:rPr>
        <w:t>13</w:t>
      </w:r>
      <w:r>
        <w:t>, 66. https://doi.org/10.1186/s40168-025-02048-3</w:t>
      </w:r>
    </w:p>
    <w:p w14:paraId="45D6B3D4" w14:textId="77777777" w:rsidR="001C2A55" w:rsidRDefault="001C2A55" w:rsidP="001C2A55">
      <w:pPr>
        <w:pStyle w:val="Bibliografija"/>
      </w:pPr>
      <w:r>
        <w:t xml:space="preserve">Aykur, M., Malatyalı, E., Demirel, F., Cömert-Koçak, B., Gentekaki, E., Tsaousis, A. D., &amp; Dogruman-Al, F. (2024). Blastocystis: A Mysterious Member of the Gut Microbiome. </w:t>
      </w:r>
      <w:r>
        <w:rPr>
          <w:i/>
          <w:iCs/>
        </w:rPr>
        <w:t>Microorganisms</w:t>
      </w:r>
      <w:r>
        <w:t xml:space="preserve">, </w:t>
      </w:r>
      <w:r>
        <w:rPr>
          <w:i/>
          <w:iCs/>
        </w:rPr>
        <w:t>12</w:t>
      </w:r>
      <w:r>
        <w:t>(3), 461. https://doi.org/10.3390/microorganisms12030461</w:t>
      </w:r>
    </w:p>
    <w:p w14:paraId="58BDA9C0" w14:textId="77777777" w:rsidR="001C2A55" w:rsidRDefault="001C2A55" w:rsidP="001C2A55">
      <w:pPr>
        <w:pStyle w:val="Bibliografija"/>
      </w:pPr>
      <w:r>
        <w:rPr>
          <w:i/>
          <w:iCs/>
        </w:rPr>
        <w:t>Babraham Bioinformatics—FastQC A Quality Control tool for High Throughput Sequence Data</w:t>
      </w:r>
      <w:r>
        <w:t>. (n.d.). Retrieved February 22, 2023, from https://www.bioinformatics.babraham.ac.uk/projects/fastqc/</w:t>
      </w:r>
    </w:p>
    <w:p w14:paraId="7F260D81" w14:textId="77777777" w:rsidR="001C2A55" w:rsidRDefault="001C2A55" w:rsidP="001C2A55">
      <w:pPr>
        <w:pStyle w:val="Bibliografija"/>
      </w:pPr>
      <w:r>
        <w:lastRenderedPageBreak/>
        <w:t xml:space="preserve">Bakdash, J. Z., &amp; Marusich, L. R. (2017). Repeated Measures Correlation. </w:t>
      </w:r>
      <w:r>
        <w:rPr>
          <w:i/>
          <w:iCs/>
        </w:rPr>
        <w:t>Frontiers in Psychology</w:t>
      </w:r>
      <w:r>
        <w:t xml:space="preserve">, </w:t>
      </w:r>
      <w:r>
        <w:rPr>
          <w:i/>
          <w:iCs/>
        </w:rPr>
        <w:t>8</w:t>
      </w:r>
      <w:r>
        <w:t>. https://doi.org/10.3389/fpsyg.2017.00456</w:t>
      </w:r>
    </w:p>
    <w:p w14:paraId="71E0F723" w14:textId="77777777" w:rsidR="001C2A55" w:rsidRDefault="001C2A55" w:rsidP="001C2A55">
      <w:pPr>
        <w:pStyle w:val="Bibliografija"/>
      </w:pPr>
      <w:r>
        <w:t xml:space="preserve">Beaman, T. C., Pankratz, H. S., &amp; Gerhardt, P. (1988). Heat shock affects permeability and resistance of Bacillus stearothermophilus spores. </w:t>
      </w:r>
      <w:r>
        <w:rPr>
          <w:i/>
          <w:iCs/>
        </w:rPr>
        <w:t>APPL. ENVIRON. MICROBIOL.</w:t>
      </w:r>
      <w:r>
        <w:t xml:space="preserve">, </w:t>
      </w:r>
      <w:r>
        <w:rPr>
          <w:i/>
          <w:iCs/>
        </w:rPr>
        <w:t>54</w:t>
      </w:r>
      <w:r>
        <w:t>, 6.</w:t>
      </w:r>
    </w:p>
    <w:p w14:paraId="5E75DB7F" w14:textId="77777777" w:rsidR="001C2A55" w:rsidRDefault="001C2A55" w:rsidP="001C2A55">
      <w:pPr>
        <w:pStyle w:val="Bibliografija"/>
      </w:pPr>
      <w:r>
        <w:t xml:space="preserve">Blanco-Míguez, A., Beghini, F., Cumbo, F., McIver, L. J., Thompson, K. N., Zolfo, M., Manghi, P., Dubois, L., Huang, K. D., Thomas, A. M., Nickols, W. A., Piccinno, G., Piperni, E., Punčochář, M., Valles-Colomer, M., Tett, A., Giordano, F., Davies, R., Wolf, J., … Segata, N. (2023a). Extending and improving metagenomic taxonomic profiling with uncharacterized species using MetaPhlAn 4. </w:t>
      </w:r>
      <w:r>
        <w:rPr>
          <w:i/>
          <w:iCs/>
        </w:rPr>
        <w:t>Nature Biotechnology</w:t>
      </w:r>
      <w:r>
        <w:t xml:space="preserve">, </w:t>
      </w:r>
      <w:r>
        <w:rPr>
          <w:i/>
          <w:iCs/>
        </w:rPr>
        <w:t>41</w:t>
      </w:r>
      <w:r>
        <w:t>(11), 1633–1644. https://doi.org/10.1038/s41587-023-01688-w</w:t>
      </w:r>
    </w:p>
    <w:p w14:paraId="6A72729F" w14:textId="77777777" w:rsidR="001C2A55" w:rsidRDefault="001C2A55" w:rsidP="001C2A55">
      <w:pPr>
        <w:pStyle w:val="Bibliografija"/>
      </w:pPr>
      <w:r>
        <w:t xml:space="preserve">Blanco-Míguez, A., Beghini, F., Cumbo, F., McIver, L. J., Thompson, K. N., Zolfo, M., Manghi, P., Dubois, L., Huang, K. D., Thomas, A. M., Nickols, W. A., Piccinno, G., Piperni, E., Punčochář, M., Valles-Colomer, M., Tett, A., Giordano, F., Davies, R., Wolf, J., … Segata, N. (2023b). Extending and improving metagenomic taxonomic profiling with uncharacterized species using MetaPhlAn 4. </w:t>
      </w:r>
      <w:r>
        <w:rPr>
          <w:i/>
          <w:iCs/>
        </w:rPr>
        <w:t>Nature Biotechnology</w:t>
      </w:r>
      <w:r>
        <w:t>, 1–12. https://doi.org/10.1038/s41587-023-01688-w</w:t>
      </w:r>
    </w:p>
    <w:p w14:paraId="43A435A6" w14:textId="77777777" w:rsidR="001C2A55" w:rsidRDefault="001C2A55" w:rsidP="001C2A55">
      <w:pPr>
        <w:pStyle w:val="Bibliografija"/>
      </w:pPr>
      <w:r>
        <w:t xml:space="preserve">Bolger, A. M., Lohse, M., &amp; Usadel, B. (2014). Trimmomatic: A flexible trimmer for Illumina sequence data. </w:t>
      </w:r>
      <w:r>
        <w:rPr>
          <w:i/>
          <w:iCs/>
        </w:rPr>
        <w:t>Bioinformatics</w:t>
      </w:r>
      <w:r>
        <w:t xml:space="preserve">, </w:t>
      </w:r>
      <w:r>
        <w:rPr>
          <w:i/>
          <w:iCs/>
        </w:rPr>
        <w:t>30</w:t>
      </w:r>
      <w:r>
        <w:t>(15), 2114–2120. https://doi.org/10.1093/bioinformatics/btu170</w:t>
      </w:r>
    </w:p>
    <w:p w14:paraId="0DAAECC3" w14:textId="77777777" w:rsidR="001C2A55" w:rsidRDefault="001C2A55" w:rsidP="001C2A55">
      <w:pPr>
        <w:pStyle w:val="Bibliografija"/>
      </w:pPr>
      <w:r>
        <w:t xml:space="preserve">Bonsen, P. P. M., Spudich, J. A., Nelson, D. L., &amp; Kornberg, A. (1969). Biochemical Studies of Bacterial Sporulation and Germination XII. A Sulfonic Acid as a Major Sulfur Compound of Bacillus subtilis Spores. </w:t>
      </w:r>
      <w:r>
        <w:rPr>
          <w:i/>
          <w:iCs/>
        </w:rPr>
        <w:t>Journal of Bacteriology</w:t>
      </w:r>
      <w:r>
        <w:t xml:space="preserve">, </w:t>
      </w:r>
      <w:r>
        <w:rPr>
          <w:i/>
          <w:iCs/>
        </w:rPr>
        <w:t>98</w:t>
      </w:r>
      <w:r>
        <w:t>(1), 62–68.</w:t>
      </w:r>
    </w:p>
    <w:p w14:paraId="7149A4F1" w14:textId="77777777" w:rsidR="001C2A55" w:rsidRDefault="001C2A55" w:rsidP="001C2A55">
      <w:pPr>
        <w:pStyle w:val="Bibliografija"/>
      </w:pPr>
      <w:r>
        <w:t xml:space="preserve">Boolchandani, M., Blake, K. S., Tilley, D. H., Cabada, M. M., Schwartz, D. J., Patel, S., Morales, M. L., Meza, R., Soto, G., Isidean, S. D., Porter, C. K., Simons, M. P., &amp; Dantas, G. (2022). </w:t>
      </w:r>
      <w:r>
        <w:lastRenderedPageBreak/>
        <w:t xml:space="preserve">Impact of international travel and diarrhea on gut microbiome and resistome dynamics. </w:t>
      </w:r>
      <w:r>
        <w:rPr>
          <w:i/>
          <w:iCs/>
        </w:rPr>
        <w:t>Nature Communications</w:t>
      </w:r>
      <w:r>
        <w:t xml:space="preserve">, </w:t>
      </w:r>
      <w:r>
        <w:rPr>
          <w:i/>
          <w:iCs/>
        </w:rPr>
        <w:t>13</w:t>
      </w:r>
      <w:r>
        <w:t>(1), Article 1. https://doi.org/10.1038/s41467-022-34862-w</w:t>
      </w:r>
    </w:p>
    <w:p w14:paraId="3149A2EB" w14:textId="77777777" w:rsidR="001C2A55" w:rsidRDefault="001C2A55" w:rsidP="001C2A55">
      <w:pPr>
        <w:pStyle w:val="Bibliografija"/>
      </w:pPr>
      <w:r>
        <w:t xml:space="preserve">Borrel, G., Brugère, J.-F., Gribaldo, S., Schmitz, R. A., &amp; Moissl-Eichinger, C. (2020). The host-associated archaeome. </w:t>
      </w:r>
      <w:r>
        <w:rPr>
          <w:i/>
          <w:iCs/>
        </w:rPr>
        <w:t>Nature Reviews Microbiology</w:t>
      </w:r>
      <w:r>
        <w:t xml:space="preserve">, </w:t>
      </w:r>
      <w:r>
        <w:rPr>
          <w:i/>
          <w:iCs/>
        </w:rPr>
        <w:t>18</w:t>
      </w:r>
      <w:r>
        <w:t>(11), 622–636. https://doi.org/10.1038/s41579-020-0407-y</w:t>
      </w:r>
    </w:p>
    <w:p w14:paraId="70FBE477" w14:textId="77777777" w:rsidR="001C2A55" w:rsidRDefault="001C2A55" w:rsidP="001C2A55">
      <w:pPr>
        <w:pStyle w:val="Bibliografija"/>
      </w:pPr>
      <w:r>
        <w:t xml:space="preserve">Brown, K. L. (2000). Control of bacterial spores. </w:t>
      </w:r>
      <w:r>
        <w:rPr>
          <w:i/>
          <w:iCs/>
        </w:rPr>
        <w:t>British Medical Bulletin</w:t>
      </w:r>
      <w:r>
        <w:t xml:space="preserve">, </w:t>
      </w:r>
      <w:r>
        <w:rPr>
          <w:i/>
          <w:iCs/>
        </w:rPr>
        <w:t>56</w:t>
      </w:r>
      <w:r>
        <w:t>(1), 158–171. https://doi.org/10.1258/0007142001902860</w:t>
      </w:r>
    </w:p>
    <w:p w14:paraId="0A7893EF" w14:textId="77777777" w:rsidR="001C2A55" w:rsidRDefault="001C2A55" w:rsidP="001C2A55">
      <w:pPr>
        <w:pStyle w:val="Bibliografija"/>
      </w:pPr>
      <w:r>
        <w:t xml:space="preserve">Browne, H. P., Almeida, A., Kumar, N., Vervier, K., Adoum, A. T., Viciani,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https://doi.org/10.1186/s13059-021-02428-6</w:t>
      </w:r>
    </w:p>
    <w:p w14:paraId="4ECFDE1D" w14:textId="77777777" w:rsidR="001C2A55" w:rsidRDefault="001C2A55" w:rsidP="001C2A55">
      <w:pPr>
        <w:pStyle w:val="Bibliografija"/>
      </w:pPr>
      <w:r>
        <w:t xml:space="preserve">Browne, H. P., Forster, S. C., Anonye, B. O., Kumar, N., Neville, B. A., Stares, M. D., Goulding, D., &amp; Lawley, T. D. (2016a). Culturing of ‘unculturable’ human microbiota reveals novel taxa and extensive sporulation. </w:t>
      </w:r>
      <w:r>
        <w:rPr>
          <w:i/>
          <w:iCs/>
        </w:rPr>
        <w:t>Nature</w:t>
      </w:r>
      <w:r>
        <w:t xml:space="preserve">, </w:t>
      </w:r>
      <w:r>
        <w:rPr>
          <w:i/>
          <w:iCs/>
        </w:rPr>
        <w:t>533</w:t>
      </w:r>
      <w:r>
        <w:t>(7604), 543–546. https://doi.org/10.1038/nature17645</w:t>
      </w:r>
    </w:p>
    <w:p w14:paraId="1788D169" w14:textId="77777777" w:rsidR="001C2A55" w:rsidRDefault="001C2A55" w:rsidP="001C2A55">
      <w:pPr>
        <w:pStyle w:val="Bibliografija"/>
      </w:pPr>
      <w:r>
        <w:t xml:space="preserve">Browne, H. P., Forster, S. C., Anonye, B. O., Kumar, N., Neville, B. A., Stares, M. D., Goulding, D., &amp; Lawley, T. D. (2016b). Culturing of ‘unculturable’ human microbiota reveals novel taxa and extensive sporulation. </w:t>
      </w:r>
      <w:r>
        <w:rPr>
          <w:i/>
          <w:iCs/>
        </w:rPr>
        <w:t>Nature</w:t>
      </w:r>
      <w:r>
        <w:t xml:space="preserve">, </w:t>
      </w:r>
      <w:r>
        <w:rPr>
          <w:i/>
          <w:iCs/>
        </w:rPr>
        <w:t>533</w:t>
      </w:r>
      <w:r>
        <w:t>(7604), 543–546. https://doi.org/10.1038/nature17645</w:t>
      </w:r>
    </w:p>
    <w:p w14:paraId="76D65892" w14:textId="77777777" w:rsidR="001C2A55" w:rsidRDefault="001C2A55" w:rsidP="001C2A55">
      <w:pPr>
        <w:pStyle w:val="Bibliografija"/>
      </w:pPr>
      <w:r>
        <w:t xml:space="preserve">Browne, H. P., Neville, B. A., Forster, S. C., &amp; Lawley, T. D. (2017). Transmission of the gut microbiota: Spreading of health. </w:t>
      </w:r>
      <w:r>
        <w:rPr>
          <w:i/>
          <w:iCs/>
        </w:rPr>
        <w:t>Nature Reviews Microbiology</w:t>
      </w:r>
      <w:r>
        <w:t xml:space="preserve">, </w:t>
      </w:r>
      <w:r>
        <w:rPr>
          <w:i/>
          <w:iCs/>
        </w:rPr>
        <w:t>15</w:t>
      </w:r>
      <w:r>
        <w:t>(9), 531–543. https://doi.org/10.1038/nrmicro.2017.50</w:t>
      </w:r>
    </w:p>
    <w:p w14:paraId="1810D86B" w14:textId="77777777" w:rsidR="001C2A55" w:rsidRDefault="001C2A55" w:rsidP="001C2A55">
      <w:pPr>
        <w:pStyle w:val="Bibliografija"/>
      </w:pPr>
      <w:r>
        <w:lastRenderedPageBreak/>
        <w:t xml:space="preserve">Camacho, C., Coulouris, G., Avagyan, V., Ma, N., Papadopoulos, J., Bealer, K., &amp; Madden, T. L. (2009). BLAST+: Architecture and applications. </w:t>
      </w:r>
      <w:r>
        <w:rPr>
          <w:i/>
          <w:iCs/>
        </w:rPr>
        <w:t>BMC Bioinformatics</w:t>
      </w:r>
      <w:r>
        <w:t xml:space="preserve">, </w:t>
      </w:r>
      <w:r>
        <w:rPr>
          <w:i/>
          <w:iCs/>
        </w:rPr>
        <w:t>10</w:t>
      </w:r>
      <w:r>
        <w:t>, 421. https://doi.org/10.1186/1471-2105-10-421</w:t>
      </w:r>
    </w:p>
    <w:p w14:paraId="594B529E" w14:textId="77777777" w:rsidR="001C2A55" w:rsidRDefault="001C2A55" w:rsidP="001C2A55">
      <w:pPr>
        <w:pStyle w:val="Bibliografija"/>
      </w:pPr>
      <w:r>
        <w:t xml:space="preserve">Camargo, A. P., Roux, S., Schulz, F., Babinski, M., Xu, Y., Hu, B., Chain, P. S. G., Nayfach, S., &amp; Kyrpides, N. C. (2024). Identification of mobile genetic elements with geNomad. </w:t>
      </w:r>
      <w:r>
        <w:rPr>
          <w:i/>
          <w:iCs/>
        </w:rPr>
        <w:t>Nature Biotechnology</w:t>
      </w:r>
      <w:r>
        <w:t xml:space="preserve">, </w:t>
      </w:r>
      <w:r>
        <w:rPr>
          <w:i/>
          <w:iCs/>
        </w:rPr>
        <w:t>42</w:t>
      </w:r>
      <w:r>
        <w:t>(8), 1303–1312. https://doi.org/10.1038/s41587-023-01953-y</w:t>
      </w:r>
    </w:p>
    <w:p w14:paraId="39AD57C2" w14:textId="77777777" w:rsidR="001C2A55" w:rsidRDefault="001C2A55" w:rsidP="001C2A55">
      <w:pPr>
        <w:pStyle w:val="Bibliografija"/>
      </w:pPr>
      <w:r>
        <w:t xml:space="preserve">Caporaso, J. G., Lauber, C. L., Costello, E. K., Berg-Lyons, D., Gonzalez, A., Stombaugh, J., Knights, D., Gajer, P., Ravel, J., Fierer, N., Gordon, J. I., &amp; Knight, R. (2011). Moving pictures of the human microbiome. </w:t>
      </w:r>
      <w:r>
        <w:rPr>
          <w:i/>
          <w:iCs/>
        </w:rPr>
        <w:t>Genome Biology</w:t>
      </w:r>
      <w:r>
        <w:t xml:space="preserve">, </w:t>
      </w:r>
      <w:r>
        <w:rPr>
          <w:i/>
          <w:iCs/>
        </w:rPr>
        <w:t>12</w:t>
      </w:r>
      <w:r>
        <w:t>(5), R50. https://doi.org/10.1186/gb-2011-12-5-r50</w:t>
      </w:r>
    </w:p>
    <w:p w14:paraId="4A0C7795" w14:textId="77777777" w:rsidR="001C2A55" w:rsidRDefault="001C2A55" w:rsidP="001C2A55">
      <w:pPr>
        <w:pStyle w:val="Bibliografija"/>
      </w:pPr>
      <w:r>
        <w:t xml:space="preserve">Chen, L., Wang, D., Garmaeva, S., Kurilshikov, A., Vich Vila, A., Gacesa, R., Sinha, T., Segal, E., Weersma, R. K., Wijmenga, C., Zhernakova, A., &amp; Fu, J. (2021). The long-term genetic stability and individual specificity of the human gut microbiome. </w:t>
      </w:r>
      <w:r>
        <w:rPr>
          <w:i/>
          <w:iCs/>
        </w:rPr>
        <w:t>Cell</w:t>
      </w:r>
      <w:r>
        <w:t xml:space="preserve">, </w:t>
      </w:r>
      <w:r>
        <w:rPr>
          <w:i/>
          <w:iCs/>
        </w:rPr>
        <w:t>184</w:t>
      </w:r>
      <w:r>
        <w:t>(9), 2302-2315.e12. https://doi.org/10.1016/j.cell.2021.03.024</w:t>
      </w:r>
    </w:p>
    <w:p w14:paraId="5B545B41" w14:textId="77777777" w:rsidR="001C2A55" w:rsidRDefault="001C2A55" w:rsidP="001C2A55">
      <w:pPr>
        <w:pStyle w:val="Bibliografija"/>
      </w:pPr>
      <w:r>
        <w:t xml:space="preserve">Chen, Y., Chen, Y., Shi, C., Huang, Z., Zhang, Y., Li, S., Li, Y., Ye, J., Yu, C., Li, Z., Zhang, X., Wang, J., Yang, H., Fang, L., &amp; Chen, Q. (2018). SOAPnuke: A MapReduce acceleration-supported software for integrated quality control and preprocessing of high-throughput sequencing data. </w:t>
      </w:r>
      <w:r>
        <w:rPr>
          <w:i/>
          <w:iCs/>
        </w:rPr>
        <w:t>GigaScience</w:t>
      </w:r>
      <w:r>
        <w:t xml:space="preserve">, </w:t>
      </w:r>
      <w:r>
        <w:rPr>
          <w:i/>
          <w:iCs/>
        </w:rPr>
        <w:t>7</w:t>
      </w:r>
      <w:r>
        <w:t>(1), gix120. https://doi.org/10.1093/gigascience/gix120</w:t>
      </w:r>
    </w:p>
    <w:p w14:paraId="4E3DBB6F" w14:textId="77777777" w:rsidR="001C2A55" w:rsidRDefault="001C2A55" w:rsidP="001C2A55">
      <w:pPr>
        <w:pStyle w:val="Bibliografija"/>
      </w:pPr>
      <w:r>
        <w:t xml:space="preserve">Chen-Liaw, A., Aggarwala, V., Mogno, I., Haifer, C., Li, Z., Eggers, J., Helmus, D., Hart, A., Wehkamp, J., Lamousé-Smith, E. S. N., Kerby, R. L., Rey, F. E., Colombel, J. F., Kamm, M. A., Olle, B., Norman, J. M., Menon, R., Watson, A. R., Crossette, E., … Faith, J. J. (2025). Gut microbiota strain richness is species specific and affects engraftment. </w:t>
      </w:r>
      <w:r>
        <w:rPr>
          <w:i/>
          <w:iCs/>
        </w:rPr>
        <w:t>Nature</w:t>
      </w:r>
      <w:r>
        <w:t xml:space="preserve">, </w:t>
      </w:r>
      <w:r>
        <w:rPr>
          <w:i/>
          <w:iCs/>
        </w:rPr>
        <w:t>637</w:t>
      </w:r>
      <w:r>
        <w:t>(8045), 422–429. https://doi.org/10.1038/s41586-024-08242-x</w:t>
      </w:r>
    </w:p>
    <w:p w14:paraId="314C5D9A" w14:textId="77777777" w:rsidR="001C2A55" w:rsidRDefault="001C2A55" w:rsidP="001C2A55">
      <w:pPr>
        <w:pStyle w:val="Bibliografija"/>
      </w:pPr>
      <w:r>
        <w:lastRenderedPageBreak/>
        <w:t xml:space="preserve">Chica Cardenas, L. A., Leonard, M. M., Baldridge, M. T., &amp; Handley, S. A. (2026). Gut virome dynamics: From commensal to critical player in health and disease. </w:t>
      </w:r>
      <w:r>
        <w:rPr>
          <w:i/>
          <w:iCs/>
        </w:rPr>
        <w:t>Nature Reviews Gastroenterology &amp; Hepatology</w:t>
      </w:r>
      <w:r>
        <w:t xml:space="preserve">, </w:t>
      </w:r>
      <w:r>
        <w:rPr>
          <w:i/>
          <w:iCs/>
        </w:rPr>
        <w:t>23</w:t>
      </w:r>
      <w:r>
        <w:t>(2), 126–144. https://doi.org/10.1038/s41575-025-01134-z</w:t>
      </w:r>
    </w:p>
    <w:p w14:paraId="59AFB356" w14:textId="77777777" w:rsidR="001C2A55" w:rsidRDefault="001C2A55" w:rsidP="001C2A55">
      <w:pPr>
        <w:pStyle w:val="Bibliografija"/>
      </w:pPr>
      <w:r>
        <w:t xml:space="preserve">Claesson, M. J., Cusack, S., O’Sullivan, O., Greene-Diniz, R., de Weerd, H., Flannery, E., Marchesi, J. R., Falush, D., Dinan, T., Fitzgerald, G., Stanton, C., van Sinderen, D., O’Connor, M., Harnedy, N., O’Connor, K., Henry, C., O’Mahony, D., Fitzgerald, A. P., Shanahan, F., … O’Toole, P. W. (2011). Composition, variability, and temporal stability of the intestinal microbiota of the elderly. </w:t>
      </w:r>
      <w:r>
        <w:rPr>
          <w:i/>
          <w:iCs/>
        </w:rPr>
        <w:t>Proceedings of the National Academy of Sciences</w:t>
      </w:r>
      <w:r>
        <w:t xml:space="preserve">, </w:t>
      </w:r>
      <w:r>
        <w:rPr>
          <w:i/>
          <w:iCs/>
        </w:rPr>
        <w:t>108</w:t>
      </w:r>
      <w:r>
        <w:t>(supplement_1), 4586–4591. (world). https://doi.org/10.1073/pnas.1000097107</w:t>
      </w:r>
    </w:p>
    <w:p w14:paraId="447FD4A4" w14:textId="77777777" w:rsidR="001C2A55" w:rsidRDefault="001C2A55" w:rsidP="001C2A55">
      <w:pPr>
        <w:pStyle w:val="Bibliografija"/>
      </w:pPr>
      <w:r>
        <w:t xml:space="preserve">Clooney, A. G., Eckenberger, J., Laserna-Mendieta, E., Sexton, K. A., Bernstein, M. T., Vagianos, K., Sargent, M., Ryan, F. J., Moran, C., Sheehan, D., Sleator, R. D., Targownik, L. E., Bernstein, C. N., Shanahan, F., &amp; Claesson, M. J. (2021). Ranking microbiome variance in inflammatory bowel disease: A large longitudinal intercontinental study. </w:t>
      </w:r>
      <w:r>
        <w:rPr>
          <w:i/>
          <w:iCs/>
        </w:rPr>
        <w:t>Gut</w:t>
      </w:r>
      <w:r>
        <w:t xml:space="preserve">, </w:t>
      </w:r>
      <w:r>
        <w:rPr>
          <w:i/>
          <w:iCs/>
        </w:rPr>
        <w:t>70</w:t>
      </w:r>
      <w:r>
        <w:t>(3), 499–510. https://doi.org/10.1136/gutjnl-2020-321106</w:t>
      </w:r>
    </w:p>
    <w:p w14:paraId="770D6EB7" w14:textId="77777777" w:rsidR="001C2A55" w:rsidRDefault="001C2A55" w:rsidP="001C2A55">
      <w:pPr>
        <w:pStyle w:val="Bibliografija"/>
      </w:pPr>
      <w:r>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(Database issue), D633–D642. https://doi.org/10.1093/nar/gkt1244</w:t>
      </w:r>
    </w:p>
    <w:p w14:paraId="595D6C33" w14:textId="77777777" w:rsidR="001C2A55" w:rsidRDefault="001C2A55" w:rsidP="001C2A55">
      <w:pPr>
        <w:pStyle w:val="Bibliografija"/>
      </w:pPr>
      <w:r>
        <w:t xml:space="preserve">Costello, E. K., Lauber, C. L., Hamady, M., Fierer, N., Gordon, J. I., &amp; Knight, R. (2009). Bacterial Community Variation in Human Body Habitats Across Space and Time. </w:t>
      </w:r>
      <w:r>
        <w:rPr>
          <w:i/>
          <w:iCs/>
        </w:rPr>
        <w:t>Science</w:t>
      </w:r>
      <w:r>
        <w:t xml:space="preserve">, </w:t>
      </w:r>
      <w:r>
        <w:rPr>
          <w:i/>
          <w:iCs/>
        </w:rPr>
        <w:t>326</w:t>
      </w:r>
      <w:r>
        <w:t>(5960), 1694–1697. https://doi.org/10.1126/science.1177486</w:t>
      </w:r>
    </w:p>
    <w:p w14:paraId="700CB4F8" w14:textId="77777777" w:rsidR="001C2A55" w:rsidRDefault="001C2A55" w:rsidP="001C2A55">
      <w:pPr>
        <w:pStyle w:val="Bibliografija"/>
      </w:pPr>
      <w:r>
        <w:lastRenderedPageBreak/>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(3), e15. https://doi.org/10.1093/nar/gku1196</w:t>
      </w:r>
    </w:p>
    <w:p w14:paraId="32878322" w14:textId="77777777" w:rsidR="001C2A55" w:rsidRDefault="001C2A55" w:rsidP="001C2A55">
      <w:pPr>
        <w:pStyle w:val="Bibliografija"/>
      </w:pPr>
      <w:r>
        <w:t xml:space="preserve">Dapa, T., Wong, D. P., Vasquez, K. S., Xavier, K. B., Huang, K. C., &amp; Good, B. H. (2023). Within-host evolution of the gut microbiome. </w:t>
      </w:r>
      <w:r>
        <w:rPr>
          <w:i/>
          <w:iCs/>
        </w:rPr>
        <w:t>Current Opinion in Microbiology</w:t>
      </w:r>
      <w:r>
        <w:t xml:space="preserve">, </w:t>
      </w:r>
      <w:r>
        <w:rPr>
          <w:i/>
          <w:iCs/>
        </w:rPr>
        <w:t>71</w:t>
      </w:r>
      <w:r>
        <w:t>, 102258. https://doi.org/10.1016/j.mib.2022.102258</w:t>
      </w:r>
    </w:p>
    <w:p w14:paraId="13BE7EB4" w14:textId="77777777" w:rsidR="001C2A55" w:rsidRDefault="001C2A55" w:rsidP="001C2A55">
      <w:pPr>
        <w:pStyle w:val="Bibliografija"/>
      </w:pPr>
      <w:r>
        <w:t xml:space="preserve">David, L. A., Materna, A. C., Friedman, J., Campos-Baptista, M. I., Blackburn, M. C., Perrotta, A., Erdman, S. E., &amp; Alm, E. J. (2014). Host lifestyle affects human microbiota on daily timescales. </w:t>
      </w:r>
      <w:r>
        <w:rPr>
          <w:i/>
          <w:iCs/>
        </w:rPr>
        <w:t>Genome Biology</w:t>
      </w:r>
      <w:r>
        <w:t xml:space="preserve">, </w:t>
      </w:r>
      <w:r>
        <w:rPr>
          <w:i/>
          <w:iCs/>
        </w:rPr>
        <w:t>15</w:t>
      </w:r>
      <w:r>
        <w:t>(7), R89. https://doi.org/10.1186/gb-2014-15-7-r89</w:t>
      </w:r>
    </w:p>
    <w:p w14:paraId="0E0F8095" w14:textId="77777777" w:rsidR="001C2A55" w:rsidRDefault="001C2A55" w:rsidP="001C2A55">
      <w:pPr>
        <w:pStyle w:val="Bibliografija"/>
      </w:pPr>
      <w:r>
        <w:t xml:space="preserve">De Coster, W., D’Hert, S., Schultz, D. T., Cruts, M., &amp; Van Broeckhoven, C. (2018). NanoPack: Visualizing and processing long-read sequencing data. </w:t>
      </w:r>
      <w:r>
        <w:rPr>
          <w:i/>
          <w:iCs/>
        </w:rPr>
        <w:t>Bioinformatics</w:t>
      </w:r>
      <w:r>
        <w:t xml:space="preserve">, </w:t>
      </w:r>
      <w:r>
        <w:rPr>
          <w:i/>
          <w:iCs/>
        </w:rPr>
        <w:t>34</w:t>
      </w:r>
      <w:r>
        <w:t>(15), 2666–2669. https://doi.org/10.1093/bioinformatics/bty149</w:t>
      </w:r>
    </w:p>
    <w:p w14:paraId="03C488A8" w14:textId="77777777" w:rsidR="001C2A55" w:rsidRDefault="001C2A55" w:rsidP="001C2A55">
      <w:pPr>
        <w:pStyle w:val="Bibliografija"/>
      </w:pPr>
      <w:r>
        <w:t xml:space="preserve">De Coster, W., &amp; Rademakers, R. (2023). NanoPack2: Population-scale evaluation of long-read sequencing data. </w:t>
      </w:r>
      <w:r>
        <w:rPr>
          <w:i/>
          <w:iCs/>
        </w:rPr>
        <w:t>Bioinformatics</w:t>
      </w:r>
      <w:r>
        <w:t xml:space="preserve">, </w:t>
      </w:r>
      <w:r>
        <w:rPr>
          <w:i/>
          <w:iCs/>
        </w:rPr>
        <w:t>39</w:t>
      </w:r>
      <w:r>
        <w:t>(5), btad311. https://doi.org/10.1093/bioinformatics/btad311</w:t>
      </w:r>
    </w:p>
    <w:p w14:paraId="25BB552C" w14:textId="77777777" w:rsidR="001C2A55" w:rsidRDefault="001C2A55" w:rsidP="001C2A55">
      <w:pPr>
        <w:pStyle w:val="Bibliografija"/>
      </w:pPr>
      <w:r>
        <w:t xml:space="preserve">de Hoon, M. J., Eichenberger, P., &amp; Vitkup, D. (2010). Hierarchical evolution of the bacterial sporulation network. </w:t>
      </w:r>
      <w:r>
        <w:rPr>
          <w:i/>
          <w:iCs/>
        </w:rPr>
        <w:t>Current Biology : CB</w:t>
      </w:r>
      <w:r>
        <w:t xml:space="preserve">, </w:t>
      </w:r>
      <w:r>
        <w:rPr>
          <w:i/>
          <w:iCs/>
        </w:rPr>
        <w:t>20</w:t>
      </w:r>
      <w:r>
        <w:t>(17), R735–R745. https://doi.org/10.1016/j.cub.2010.06.031</w:t>
      </w:r>
    </w:p>
    <w:p w14:paraId="1EBF3F0B" w14:textId="77777777" w:rsidR="001C2A55" w:rsidRDefault="001C2A55" w:rsidP="001C2A55">
      <w:pPr>
        <w:pStyle w:val="Bibliografija"/>
      </w:pPr>
      <w:r>
        <w:t xml:space="preserve">Deatherage, D. E., &amp; Barrick, J. E. (2014). Identification of mutations in laboratory evolved microbes from next-generation sequencing data using breseq. </w:t>
      </w:r>
      <w:r>
        <w:rPr>
          <w:i/>
          <w:iCs/>
        </w:rPr>
        <w:t>Methods in Molecular Biology (Clifton, N.J.)</w:t>
      </w:r>
      <w:r>
        <w:t xml:space="preserve">, </w:t>
      </w:r>
      <w:r>
        <w:rPr>
          <w:i/>
          <w:iCs/>
        </w:rPr>
        <w:t>1151</w:t>
      </w:r>
      <w:r>
        <w:t>, 165–188. https://doi.org/10.1007/978-1-4939-0554-6_12</w:t>
      </w:r>
    </w:p>
    <w:p w14:paraId="29E25C78" w14:textId="77777777" w:rsidR="001C2A55" w:rsidRDefault="001C2A55" w:rsidP="001C2A55">
      <w:pPr>
        <w:pStyle w:val="Bibliografija"/>
      </w:pPr>
      <w:r>
        <w:lastRenderedPageBreak/>
        <w:t xml:space="preserve">Dobovišek, U. (2021). </w:t>
      </w:r>
      <w:r>
        <w:rPr>
          <w:i/>
          <w:iCs/>
        </w:rPr>
        <w:t>Optimizacija metod za osamitev sporogenih bakterij iz fecesa človeka</w:t>
      </w:r>
      <w:r>
        <w:t xml:space="preserve"> [Thesis, Univerza v Ljubljani, Biotehniška fakulteta]. https://repozitorij.uni-lj.si/IzpisGradiva.php?id=131236</w:t>
      </w:r>
    </w:p>
    <w:p w14:paraId="6C022868" w14:textId="77777777" w:rsidR="001C2A55" w:rsidRDefault="001C2A55" w:rsidP="001C2A55">
      <w:pPr>
        <w:pStyle w:val="Bibliografija"/>
      </w:pPr>
      <w:r w:rsidRPr="001C2A55">
        <w:rPr>
          <w:lang w:val="es-ES"/>
          <w:rPrChange w:id="1223" w:author="Urša Miklavčič" w:date="2026-04-28T11:17:00Z" w16du:dateUtc="2026-04-28T09:17:00Z">
            <w:rPr/>
          </w:rPrChange>
        </w:rPr>
        <w:t xml:space="preserve">Donelli, G., Vuotto, C., Cardines, R., &amp; Mastrantonio, P. (2012). </w:t>
      </w:r>
      <w:r>
        <w:t xml:space="preserve">Biofilm-growing intestinal anaerobic bacteria. </w:t>
      </w:r>
      <w:r>
        <w:rPr>
          <w:i/>
          <w:iCs/>
        </w:rPr>
        <w:t>FEMS Immunology and Medical Microbiology</w:t>
      </w:r>
      <w:r>
        <w:t xml:space="preserve">, </w:t>
      </w:r>
      <w:r>
        <w:rPr>
          <w:i/>
          <w:iCs/>
        </w:rPr>
        <w:t>65</w:t>
      </w:r>
      <w:r>
        <w:t>(2), 318–325. https://doi.org/10.1111/j.1574-695X.2012.00962.x</w:t>
      </w:r>
    </w:p>
    <w:p w14:paraId="29D4FC31" w14:textId="77777777" w:rsidR="001C2A55" w:rsidRDefault="001C2A55" w:rsidP="001C2A55">
      <w:pPr>
        <w:pStyle w:val="Bibliografija"/>
      </w:pPr>
      <w:r>
        <w:t xml:space="preserve">Driks, A., &amp; Eichenberger, P. (2016). The Spore Coat. </w:t>
      </w:r>
      <w:r>
        <w:rPr>
          <w:i/>
          <w:iCs/>
        </w:rPr>
        <w:t>Microbiology Spectrum</w:t>
      </w:r>
      <w:r>
        <w:t xml:space="preserve">, </w:t>
      </w:r>
      <w:r>
        <w:rPr>
          <w:i/>
          <w:iCs/>
        </w:rPr>
        <w:t>4</w:t>
      </w:r>
      <w:r>
        <w:t>(2), 4.2.03. https://doi.org/10.1128/microbiolspec.TBS-0023-2016</w:t>
      </w:r>
    </w:p>
    <w:p w14:paraId="6ADBB88B" w14:textId="77777777" w:rsidR="001C2A55" w:rsidRDefault="001C2A55" w:rsidP="001C2A55">
      <w:pPr>
        <w:pStyle w:val="Bibliografija"/>
      </w:pPr>
      <w:r>
        <w:t xml:space="preserve">Dubois, G., Girard, C., Lapointe, F.-J., &amp; Shapiro, B. J. (2017). The Inuit gut microbiome is dynamic over time and shaped by traditional foods. </w:t>
      </w:r>
      <w:r>
        <w:rPr>
          <w:i/>
          <w:iCs/>
        </w:rPr>
        <w:t>Microbiome</w:t>
      </w:r>
      <w:r>
        <w:t xml:space="preserve">, </w:t>
      </w:r>
      <w:r>
        <w:rPr>
          <w:i/>
          <w:iCs/>
        </w:rPr>
        <w:t>5</w:t>
      </w:r>
      <w:r>
        <w:t>(1), 151. https://doi.org/10.1186/s40168-017-0370-7</w:t>
      </w:r>
    </w:p>
    <w:p w14:paraId="0A43970C" w14:textId="77777777" w:rsidR="001C2A55" w:rsidRDefault="001C2A55" w:rsidP="001C2A55">
      <w:pPr>
        <w:pStyle w:val="Bibliografija"/>
      </w:pPr>
      <w:r>
        <w:t xml:space="preserve">Duytschaever, G., Huys, G., Bekaert, M., Boulanger, L., De Boeck, K., &amp; Vandamme, P. (2011). Cross-sectional and longitudinal comparisons of the predominant fecal microbiota compositions of a group of pediatric patients with cystic fibrosis and their healthy siblings. </w:t>
      </w:r>
      <w:r>
        <w:rPr>
          <w:i/>
          <w:iCs/>
        </w:rPr>
        <w:t>Applied and Environmental Microbiology</w:t>
      </w:r>
      <w:r>
        <w:t xml:space="preserve">, </w:t>
      </w:r>
      <w:r>
        <w:rPr>
          <w:i/>
          <w:iCs/>
        </w:rPr>
        <w:t>77</w:t>
      </w:r>
      <w:r>
        <w:t>(22), 8015–8024. https://doi.org/10.1128/AEM.05933-11</w:t>
      </w:r>
    </w:p>
    <w:p w14:paraId="5E066639" w14:textId="77777777" w:rsidR="001C2A55" w:rsidRDefault="001C2A55" w:rsidP="001C2A55">
      <w:pPr>
        <w:pStyle w:val="Bibliografija"/>
      </w:pPr>
      <w:r>
        <w:t xml:space="preserve">Edgar, R. C. (2016). </w:t>
      </w:r>
      <w:r>
        <w:rPr>
          <w:i/>
          <w:iCs/>
        </w:rPr>
        <w:t>UCHIME2: Improved chimera prediction for amplicon sequencing</w:t>
      </w:r>
      <w:r>
        <w:t xml:space="preserve"> (p. 074252). bioRxiv. https://doi.org/10.1101/074252</w:t>
      </w:r>
    </w:p>
    <w:p w14:paraId="368C81C2" w14:textId="77777777" w:rsidR="001C2A55" w:rsidRDefault="001C2A55" w:rsidP="001C2A55">
      <w:pPr>
        <w:pStyle w:val="Bibliografija"/>
      </w:pPr>
      <w:r>
        <w:t xml:space="preserve">Edgar, R. C., Haas, B. J., Clemente, J. C., Quince, C., &amp; Knight, R. (2011). UCHIME improves sensitivity and speed of chimera detection. </w:t>
      </w:r>
      <w:r>
        <w:rPr>
          <w:i/>
          <w:iCs/>
        </w:rPr>
        <w:t>Bioinformatics</w:t>
      </w:r>
      <w:r>
        <w:t xml:space="preserve">, </w:t>
      </w:r>
      <w:r>
        <w:rPr>
          <w:i/>
          <w:iCs/>
        </w:rPr>
        <w:t>27</w:t>
      </w:r>
      <w:r>
        <w:t>(16), 2194–2200. https://doi.org/10.1093/bioinformatics/btr381</w:t>
      </w:r>
    </w:p>
    <w:p w14:paraId="475ABC47" w14:textId="77777777" w:rsidR="001C2A55" w:rsidRDefault="001C2A55" w:rsidP="001C2A55">
      <w:pPr>
        <w:pStyle w:val="Bibliografija"/>
      </w:pPr>
      <w:r>
        <w:t xml:space="preserve">Egan, M., Dempsey, E., Ryan, C. A., Ross, R. P., &amp; Stanton, C. (2021). The Sporobiota of the Human Gut. </w:t>
      </w:r>
      <w:r>
        <w:rPr>
          <w:i/>
          <w:iCs/>
        </w:rPr>
        <w:t>Gut Microbes</w:t>
      </w:r>
      <w:r>
        <w:t xml:space="preserve">, </w:t>
      </w:r>
      <w:r>
        <w:rPr>
          <w:i/>
          <w:iCs/>
        </w:rPr>
        <w:t>13</w:t>
      </w:r>
      <w:r>
        <w:t>(1), 1863134. https://doi.org/10.1080/19490976.2020.1863134</w:t>
      </w:r>
    </w:p>
    <w:p w14:paraId="7EF5D099" w14:textId="77777777" w:rsidR="001C2A55" w:rsidRDefault="001C2A55" w:rsidP="001C2A55">
      <w:pPr>
        <w:pStyle w:val="Bibliografija"/>
      </w:pPr>
      <w:r>
        <w:lastRenderedPageBreak/>
        <w:t xml:space="preserve">Faith, J. J., Guruge, J. L., Charbonneau, M., Subramanian, S., Seedorf, H., Goodman, A. L., Clemente, J. C., Knight, R., Heath, A. C., Leibel, R. L., Rosenbaum, M., &amp; Gordon, J. I. (2013). The long-term stability of the human gut microbiota. </w:t>
      </w:r>
      <w:r>
        <w:rPr>
          <w:i/>
          <w:iCs/>
        </w:rPr>
        <w:t>Science (New York, N.Y.)</w:t>
      </w:r>
      <w:r>
        <w:t xml:space="preserve">, </w:t>
      </w:r>
      <w:r>
        <w:rPr>
          <w:i/>
          <w:iCs/>
        </w:rPr>
        <w:t>341</w:t>
      </w:r>
      <w:r>
        <w:t>(6141), 1237439. https://doi.org/10.1126/science.1237439</w:t>
      </w:r>
    </w:p>
    <w:p w14:paraId="3750717F" w14:textId="77777777" w:rsidR="001C2A55" w:rsidRDefault="001C2A55" w:rsidP="001C2A55">
      <w:pPr>
        <w:pStyle w:val="Bibliografija"/>
      </w:pPr>
      <w:r w:rsidRPr="001C2A55">
        <w:rPr>
          <w:lang w:val="es-ES"/>
          <w:rPrChange w:id="1224" w:author="Urša Miklavčič" w:date="2026-04-28T11:17:00Z" w16du:dateUtc="2026-04-28T09:17:00Z">
            <w:rPr/>
          </w:rPrChange>
        </w:rPr>
        <w:t xml:space="preserve">Fakhry, S., Sorrentini, I., Ricca, E., De Felice, M., &amp; Baccigalupi, L. (2008). </w:t>
      </w:r>
      <w:r>
        <w:t xml:space="preserve">Characterization of spore forming Bacilli isolated from the human gastrointestinal tract. </w:t>
      </w:r>
      <w:r>
        <w:rPr>
          <w:i/>
          <w:iCs/>
        </w:rPr>
        <w:t>Journal of Applied Microbiology</w:t>
      </w:r>
      <w:r>
        <w:t xml:space="preserve">, </w:t>
      </w:r>
      <w:r>
        <w:rPr>
          <w:i/>
          <w:iCs/>
        </w:rPr>
        <w:t>105</w:t>
      </w:r>
      <w:r>
        <w:t>(6), 2178–2186. https://doi.org/10.1111/j.1365-2672.2008.03934.x</w:t>
      </w:r>
    </w:p>
    <w:p w14:paraId="241EEEFA" w14:textId="77777777" w:rsidR="001C2A55" w:rsidRDefault="001C2A55" w:rsidP="001C2A55">
      <w:pPr>
        <w:pStyle w:val="Bibliografija"/>
      </w:pPr>
      <w:r>
        <w:t xml:space="preserve">Falony, G., Joossens, M., Vieira-Silva, S., Wang, J., Darzi, Y., Faust, K., Kurilshikov, A., Bonder, M. J., Valles-Colomer, M., Vandeputte, D., Tito, R. Y., Chaffron, S., Rymenans, L., Verspecht, C., De Sutter, L., Lima-Mendez, G., D’hoe, K., Jonckheere, K., Homola, D., … Raes, J. (2016). Population-level analysis of gut microbiome variation. </w:t>
      </w:r>
      <w:r>
        <w:rPr>
          <w:i/>
          <w:iCs/>
        </w:rPr>
        <w:t>Science</w:t>
      </w:r>
      <w:r>
        <w:t xml:space="preserve">, </w:t>
      </w:r>
      <w:r>
        <w:rPr>
          <w:i/>
          <w:iCs/>
        </w:rPr>
        <w:t>352</w:t>
      </w:r>
      <w:r>
        <w:t>(6285), 560–564. https://doi.org/10.1126/science.aad3503</w:t>
      </w:r>
    </w:p>
    <w:p w14:paraId="51C2BE7E" w14:textId="77777777" w:rsidR="001C2A55" w:rsidRDefault="001C2A55" w:rsidP="001C2A55">
      <w:pPr>
        <w:pStyle w:val="Bibliografija"/>
      </w:pPr>
      <w:r>
        <w:t xml:space="preserve">Feldgarden, M., Brover, V., Gonzalez-Escalona, N., Frye, J. G., Haendiges, J., Haft, D. H., Hoffmann, M., Pettengill, J. B., Prasad, A. B., Tillman, G. E., Tyson, G. H., &amp; Klimke, W. (2021). AMRFinderPlus and the Reference Gene Catalog facilitate examination of the genomic links among antimicrobial resistance, stress response, and virulence. </w:t>
      </w:r>
      <w:r>
        <w:rPr>
          <w:i/>
          <w:iCs/>
        </w:rPr>
        <w:t>Scientific Reports</w:t>
      </w:r>
      <w:r>
        <w:t xml:space="preserve">, </w:t>
      </w:r>
      <w:r>
        <w:rPr>
          <w:i/>
          <w:iCs/>
        </w:rPr>
        <w:t>11</w:t>
      </w:r>
      <w:r>
        <w:t>(1), 12728. https://doi.org/10.1038/s41598-021-91456-0</w:t>
      </w:r>
    </w:p>
    <w:p w14:paraId="3712C12A" w14:textId="77777777" w:rsidR="001C2A55" w:rsidRDefault="001C2A55" w:rsidP="001C2A55">
      <w:pPr>
        <w:pStyle w:val="Bibliografija"/>
      </w:pPr>
      <w:r>
        <w:t xml:space="preserve">Feldgarden, M., Brover, V., Haft, D. H., Prasad, A. B., Slotta, D. J., Tolstoy, I., Tyson, G. H., Zhao, S., Hsu, C.-H., McDermott, P. F., Tadesse, D. A., Morales, C., Simmons, M., Tillman, G., Wasilenko, J., Folster, J. P., &amp; Klimke, W. (2019). Validating the AMRFinder Tool and Resistance Gene Database by Using Antimicrobial Resistance Genotype-Phenotype Correlations in a Collection of Isolates. </w:t>
      </w:r>
      <w:r>
        <w:rPr>
          <w:i/>
          <w:iCs/>
        </w:rPr>
        <w:t>Antimicrobial Agents and Chemotherapy</w:t>
      </w:r>
      <w:r>
        <w:t xml:space="preserve">, </w:t>
      </w:r>
      <w:r>
        <w:rPr>
          <w:i/>
          <w:iCs/>
        </w:rPr>
        <w:t>63</w:t>
      </w:r>
      <w:r>
        <w:t>(11), e00483-19. https://doi.org/10.1128/AAC.00483-19</w:t>
      </w:r>
    </w:p>
    <w:p w14:paraId="6589367B" w14:textId="77777777" w:rsidR="001C2A55" w:rsidRDefault="001C2A55" w:rsidP="001C2A55">
      <w:pPr>
        <w:pStyle w:val="Bibliografija"/>
      </w:pPr>
      <w:r>
        <w:lastRenderedPageBreak/>
        <w:t xml:space="preserve">Feng, Z., Burgermeister, E., Philips, A., Zuo, T., &amp; Wen, W. (2025). The gut virome in association with the bacteriome in gastrointestinal diseases and beyond: Roles, mechanisms, and clinical applications. </w:t>
      </w:r>
      <w:r>
        <w:rPr>
          <w:i/>
          <w:iCs/>
        </w:rPr>
        <w:t>Precision Clinical Medicine</w:t>
      </w:r>
      <w:r>
        <w:t xml:space="preserve">, </w:t>
      </w:r>
      <w:r>
        <w:rPr>
          <w:i/>
          <w:iCs/>
        </w:rPr>
        <w:t>8</w:t>
      </w:r>
      <w:r>
        <w:t>(2), pbaf010. https://doi.org/10.1093/pcmedi/pbaf010</w:t>
      </w:r>
    </w:p>
    <w:p w14:paraId="5BFBFECC" w14:textId="77777777" w:rsidR="001C2A55" w:rsidRDefault="001C2A55" w:rsidP="001C2A55">
      <w:pPr>
        <w:pStyle w:val="Bibliografija"/>
      </w:pPr>
      <w:r>
        <w:t xml:space="preserve">Figueroa, I., Johnson, S., Sambol, S. P., Goldstein, E. J. C., Citron, D. M., &amp; Gerding, D. N. (2012). Relapse versus reinfection: Recurrent Clostridium difficile infection following treatment with fidaxomicin or vancomycin. </w:t>
      </w:r>
      <w:r>
        <w:rPr>
          <w:i/>
          <w:iCs/>
        </w:rPr>
        <w:t>Clinical Infectious Diseases: An Official Publication of the Infectious Diseases Society of America</w:t>
      </w:r>
      <w:r>
        <w:t xml:space="preserve">, </w:t>
      </w:r>
      <w:r>
        <w:rPr>
          <w:i/>
          <w:iCs/>
        </w:rPr>
        <w:t>55 Suppl 2</w:t>
      </w:r>
      <w:r>
        <w:t>(Suppl 2), S104-109. https://doi.org/10.1093/cid/cis357</w:t>
      </w:r>
    </w:p>
    <w:p w14:paraId="6D6ACA73" w14:textId="77777777" w:rsidR="001C2A55" w:rsidRDefault="001C2A55" w:rsidP="001C2A55">
      <w:pPr>
        <w:pStyle w:val="Bibliografija"/>
      </w:pPr>
      <w:r>
        <w:t xml:space="preserve">Flores, G. E., Caporaso, J. G., Henley, J. B., Rideout, J. R., Domogala, D., Chase, J., Leff, J. W., Vázquez-Baeza, Y., Gonzalez, A., Knight, R., Dunn, R. R., &amp; Fierer, N. (2014). Temporal variability is a personalized feature of the human microbiome. </w:t>
      </w:r>
      <w:r>
        <w:rPr>
          <w:i/>
          <w:iCs/>
        </w:rPr>
        <w:t>Genome Biology</w:t>
      </w:r>
      <w:r>
        <w:t xml:space="preserve">, </w:t>
      </w:r>
      <w:r>
        <w:rPr>
          <w:i/>
          <w:iCs/>
        </w:rPr>
        <w:t>15</w:t>
      </w:r>
      <w:r>
        <w:t>(12), 531. https://doi.org/10.1186/s13059-014-0531-y</w:t>
      </w:r>
    </w:p>
    <w:p w14:paraId="34E57EA9" w14:textId="77777777" w:rsidR="001C2A55" w:rsidRDefault="001C2A55" w:rsidP="001C2A55">
      <w:pPr>
        <w:pStyle w:val="Bibliografija"/>
      </w:pPr>
      <w:r>
        <w:t xml:space="preserve">Fu, B. C., Randolph, T. W., Lim, U., Monroe, K. R., Cheng, I., Wilkens, L. R., Le Marchand, L., Lampe, J. W., &amp; Hullar, M. A. J. (2019). Temporal Variability and Stability of the Fecal Microbiome: The Multiethnic Cohort Study. </w:t>
      </w:r>
      <w:r>
        <w:rPr>
          <w:i/>
          <w:iCs/>
        </w:rPr>
        <w:t>Cancer Epidemiology, Biomarkers &amp; Prevention: A Publication of the American Association for Cancer Research, Cosponsored by the American Society of Preventive Oncology</w:t>
      </w:r>
      <w:r>
        <w:t xml:space="preserve">, </w:t>
      </w:r>
      <w:r>
        <w:rPr>
          <w:i/>
          <w:iCs/>
        </w:rPr>
        <w:t>28</w:t>
      </w:r>
      <w:r>
        <w:t>(1), 154–162. https://doi.org/10.1158/1055-9965.EPI-18-0348</w:t>
      </w:r>
    </w:p>
    <w:p w14:paraId="6338EDFD" w14:textId="77777777" w:rsidR="001C2A55" w:rsidRDefault="001C2A55" w:rsidP="001C2A55">
      <w:pPr>
        <w:pStyle w:val="Bibliografija"/>
      </w:pPr>
      <w:r>
        <w:t xml:space="preserve">Gall-David, S. L., Boudry, G., &amp; Buffet-Bataillon, S. (2023). Comparison of Four DNA Extraction Kits Efficiency for 16SrDNA Microbiota Profiling of Diverse Human Samples. </w:t>
      </w:r>
      <w:r>
        <w:rPr>
          <w:i/>
          <w:iCs/>
        </w:rPr>
        <w:t>Future Science OA</w:t>
      </w:r>
      <w:r>
        <w:t xml:space="preserve">, </w:t>
      </w:r>
      <w:r>
        <w:rPr>
          <w:i/>
          <w:iCs/>
        </w:rPr>
        <w:t>9</w:t>
      </w:r>
      <w:r>
        <w:t>(1), FSO837. https://doi.org/10.2144/fsoa-2022-0072</w:t>
      </w:r>
    </w:p>
    <w:p w14:paraId="1A0EDF86" w14:textId="77777777" w:rsidR="001C2A55" w:rsidRDefault="001C2A55" w:rsidP="001C2A55">
      <w:pPr>
        <w:pStyle w:val="Bibliografija"/>
      </w:pPr>
      <w:r>
        <w:t xml:space="preserve">Galperin, M. Y. (2013). Genome Diversity of Spore-Forming Firmicutes. </w:t>
      </w:r>
      <w:r>
        <w:rPr>
          <w:i/>
          <w:iCs/>
        </w:rPr>
        <w:t>Microbiology Spectrum</w:t>
      </w:r>
      <w:r>
        <w:t xml:space="preserve">, </w:t>
      </w:r>
      <w:r>
        <w:rPr>
          <w:i/>
          <w:iCs/>
        </w:rPr>
        <w:t>1</w:t>
      </w:r>
      <w:r>
        <w:t>(2), TBS-0015-2012. https://doi.org/10.1128/microbiolspectrum.TBS-0015-2012</w:t>
      </w:r>
    </w:p>
    <w:p w14:paraId="47A1DEA3" w14:textId="77777777" w:rsidR="001C2A55" w:rsidRDefault="001C2A55" w:rsidP="001C2A55">
      <w:pPr>
        <w:pStyle w:val="Bibliografija"/>
      </w:pPr>
      <w:r>
        <w:lastRenderedPageBreak/>
        <w:t xml:space="preserve">Galperin, M. Y., Yutin, N., Wolf, Y. I., Vera Alvarez, R., &amp; Koonin, E. V. (2022). Conservation and Evolution of the Sporulation Gene Set in Diverse Members of the </w:t>
      </w:r>
      <w:r>
        <w:rPr>
          <w:i/>
          <w:iCs/>
        </w:rPr>
        <w:t>Firmicutes</w:t>
      </w:r>
      <w:r>
        <w:t xml:space="preserve">. </w:t>
      </w:r>
      <w:r>
        <w:rPr>
          <w:i/>
          <w:iCs/>
        </w:rPr>
        <w:t>Journal of Bacteriology</w:t>
      </w:r>
      <w:r>
        <w:t xml:space="preserve">, </w:t>
      </w:r>
      <w:r>
        <w:rPr>
          <w:i/>
          <w:iCs/>
        </w:rPr>
        <w:t>204</w:t>
      </w:r>
      <w:r>
        <w:t>(6), e00079-22. https://doi.org/10.1128/jb.00079-22</w:t>
      </w:r>
    </w:p>
    <w:p w14:paraId="27E6ED95" w14:textId="77777777" w:rsidR="001C2A55" w:rsidRDefault="001C2A55" w:rsidP="001C2A55">
      <w:pPr>
        <w:pStyle w:val="Bibliografija"/>
      </w:pPr>
      <w:r>
        <w:t xml:space="preserve">Garmaeva, S., Gulyaeva, A., Sinha, T., Shkoporov, A. N., Clooney, A. G., Stockdale, S. R., Spreckels, J. E., Sutton, T. D. S., Draper, L. A., Dutilh, B. E., Wijmenga, C., Kurilshikov, A., Fu, J., Hill, C., &amp; Zhernakova, A. (2021). Stability of the human gut virome and effect of gluten-free diet. </w:t>
      </w:r>
      <w:r>
        <w:rPr>
          <w:i/>
          <w:iCs/>
        </w:rPr>
        <w:t>Cell Reports</w:t>
      </w:r>
      <w:r>
        <w:t xml:space="preserve">, </w:t>
      </w:r>
      <w:r>
        <w:rPr>
          <w:i/>
          <w:iCs/>
        </w:rPr>
        <w:t>35</w:t>
      </w:r>
      <w:r>
        <w:t>(7), 109132. https://doi.org/10.1016/j.celrep.2021.109132</w:t>
      </w:r>
    </w:p>
    <w:p w14:paraId="613522DA" w14:textId="77777777" w:rsidR="001C2A55" w:rsidRDefault="001C2A55" w:rsidP="001C2A55">
      <w:pPr>
        <w:pStyle w:val="Bibliografija"/>
      </w:pPr>
      <w:r>
        <w:t xml:space="preserve">Garud, N. R., Good, B. H., Hallatschek, O., &amp; Pollard, K. S. (2019). Evolutionary dynamics of bacteria in the gut microbiome within and across hosts. </w:t>
      </w:r>
      <w:r>
        <w:rPr>
          <w:i/>
          <w:iCs/>
        </w:rPr>
        <w:t>PLOS Biology</w:t>
      </w:r>
      <w:r>
        <w:t xml:space="preserve">, </w:t>
      </w:r>
      <w:r>
        <w:rPr>
          <w:i/>
          <w:iCs/>
        </w:rPr>
        <w:t>17</w:t>
      </w:r>
      <w:r>
        <w:t>(1), e3000102. https://doi.org/10.1371/journal.pbio.3000102</w:t>
      </w:r>
    </w:p>
    <w:p w14:paraId="4E86E81A" w14:textId="77777777" w:rsidR="001C2A55" w:rsidRDefault="001C2A55" w:rsidP="001C2A55">
      <w:pPr>
        <w:pStyle w:val="Bibliografija"/>
      </w:pPr>
      <w:r>
        <w:t xml:space="preserve">Garud, N. R., &amp; Pollard, K. S. (2020). Population Genetics in the Human Microbiome. </w:t>
      </w:r>
      <w:r>
        <w:rPr>
          <w:i/>
          <w:iCs/>
        </w:rPr>
        <w:t>Trends in Genetics</w:t>
      </w:r>
      <w:r>
        <w:t xml:space="preserve">, </w:t>
      </w:r>
      <w:r>
        <w:rPr>
          <w:i/>
          <w:iCs/>
        </w:rPr>
        <w:t>36</w:t>
      </w:r>
      <w:r>
        <w:t>(1), 53–67. https://doi.org/10.1016/j.tig.2019.10.010</w:t>
      </w:r>
    </w:p>
    <w:p w14:paraId="2882FE4B" w14:textId="77777777" w:rsidR="001C2A55" w:rsidRDefault="001C2A55" w:rsidP="001C2A55">
      <w:pPr>
        <w:pStyle w:val="Bibliografija"/>
      </w:pPr>
      <w:r>
        <w:rPr>
          <w:i/>
          <w:iCs/>
        </w:rPr>
        <w:t>Ggplot2 Based Publication Ready Plots</w:t>
      </w:r>
      <w:r>
        <w:t>. (n.d.). Retrieved November 7, 2025, from https://rpkgs.datanovia.com/ggpubr/</w:t>
      </w:r>
    </w:p>
    <w:p w14:paraId="44625CB6" w14:textId="77777777" w:rsidR="001C2A55" w:rsidRDefault="001C2A55" w:rsidP="001C2A55">
      <w:pPr>
        <w:pStyle w:val="Bibliografija"/>
      </w:pPr>
      <w:r>
        <w:t xml:space="preserve">Grimm, V., &amp; Wissel, C. (1996). Babel, or The Ecological Stability Discussions: An Inventory and Analysis of Terminology and A Guide for Avoiding Confusion. </w:t>
      </w:r>
      <w:r>
        <w:rPr>
          <w:i/>
          <w:iCs/>
        </w:rPr>
        <w:t>Oecologia</w:t>
      </w:r>
      <w:r>
        <w:t xml:space="preserve">, </w:t>
      </w:r>
      <w:r>
        <w:rPr>
          <w:i/>
          <w:iCs/>
        </w:rPr>
        <w:t>109</w:t>
      </w:r>
      <w:r>
        <w:t>, 323–334. https://doi.org/10.1007/s004420050090</w:t>
      </w:r>
    </w:p>
    <w:p w14:paraId="0C8B8750" w14:textId="77777777" w:rsidR="001C2A55" w:rsidRDefault="001C2A55" w:rsidP="001C2A55">
      <w:pPr>
        <w:pStyle w:val="Bibliografija"/>
      </w:pPr>
      <w:r>
        <w:t xml:space="preserve">Gurevich, A., Saveliev, V., Vyahhi, N., &amp; Tesler, G. (2013). QUAST: Quality assessment tool for genome assemblies. </w:t>
      </w:r>
      <w:r>
        <w:rPr>
          <w:i/>
          <w:iCs/>
        </w:rPr>
        <w:t>Bioinformatics</w:t>
      </w:r>
      <w:r>
        <w:t xml:space="preserve">, </w:t>
      </w:r>
      <w:r>
        <w:rPr>
          <w:i/>
          <w:iCs/>
        </w:rPr>
        <w:t>29</w:t>
      </w:r>
      <w:r>
        <w:t>(8), 1072–1075. https://doi.org/10.1093/bioinformatics/btt086</w:t>
      </w:r>
    </w:p>
    <w:p w14:paraId="5FD2CFB1" w14:textId="77777777" w:rsidR="001C2A55" w:rsidRDefault="001C2A55" w:rsidP="001C2A55">
      <w:pPr>
        <w:pStyle w:val="Bibliografija"/>
      </w:pPr>
      <w:r>
        <w:t xml:space="preserve">Hadfield, J., Croucher, N. J., Goater, R. J., Abudahab, K., Aanensen, D. M., &amp; Harris, S. R. (2018). Phandango: An interactive viewer for bacterial population genomics. </w:t>
      </w:r>
      <w:r>
        <w:rPr>
          <w:i/>
          <w:iCs/>
        </w:rPr>
        <w:t>Bioinformatics</w:t>
      </w:r>
      <w:r>
        <w:t xml:space="preserve">, </w:t>
      </w:r>
      <w:r>
        <w:rPr>
          <w:i/>
          <w:iCs/>
        </w:rPr>
        <w:t>34</w:t>
      </w:r>
      <w:r>
        <w:t>(2), 292–293. https://doi.org/10.1093/bioinformatics/btx610</w:t>
      </w:r>
    </w:p>
    <w:p w14:paraId="3576AC04" w14:textId="77777777" w:rsidR="001C2A55" w:rsidRPr="001C2A55" w:rsidRDefault="001C2A55" w:rsidP="001C2A55">
      <w:pPr>
        <w:pStyle w:val="Bibliografija"/>
        <w:rPr>
          <w:lang w:val="es-ES"/>
          <w:rPrChange w:id="1225" w:author="Urša Miklavčič" w:date="2026-04-28T11:18:00Z" w16du:dateUtc="2026-04-28T09:18:00Z">
            <w:rPr/>
          </w:rPrChange>
        </w:rPr>
      </w:pPr>
      <w:r>
        <w:lastRenderedPageBreak/>
        <w:t xml:space="preserve">Hallen-Adams, H. E., &amp; Suhr, M. J. (2016). Fungi in the healthy human gastrointestinal tract. </w:t>
      </w:r>
      <w:r w:rsidRPr="001C2A55">
        <w:rPr>
          <w:i/>
          <w:iCs/>
          <w:lang w:val="es-ES"/>
          <w:rPrChange w:id="1226" w:author="Urša Miklavčič" w:date="2026-04-28T11:18:00Z" w16du:dateUtc="2026-04-28T09:18:00Z">
            <w:rPr>
              <w:i/>
              <w:iCs/>
            </w:rPr>
          </w:rPrChange>
        </w:rPr>
        <w:t>Virulence</w:t>
      </w:r>
      <w:r w:rsidRPr="001C2A55">
        <w:rPr>
          <w:lang w:val="es-ES"/>
          <w:rPrChange w:id="1227" w:author="Urša Miklavčič" w:date="2026-04-28T11:18:00Z" w16du:dateUtc="2026-04-28T09:18:00Z">
            <w:rPr/>
          </w:rPrChange>
        </w:rPr>
        <w:t xml:space="preserve">, </w:t>
      </w:r>
      <w:r w:rsidRPr="001C2A55">
        <w:rPr>
          <w:i/>
          <w:iCs/>
          <w:lang w:val="es-ES"/>
          <w:rPrChange w:id="1228" w:author="Urša Miklavčič" w:date="2026-04-28T11:18:00Z" w16du:dateUtc="2026-04-28T09:18:00Z">
            <w:rPr>
              <w:i/>
              <w:iCs/>
            </w:rPr>
          </w:rPrChange>
        </w:rPr>
        <w:t>8</w:t>
      </w:r>
      <w:r w:rsidRPr="001C2A55">
        <w:rPr>
          <w:lang w:val="es-ES"/>
          <w:rPrChange w:id="1229" w:author="Urša Miklavčič" w:date="2026-04-28T11:18:00Z" w16du:dateUtc="2026-04-28T09:18:00Z">
            <w:rPr/>
          </w:rPrChange>
        </w:rPr>
        <w:t>(3), 352–358. https://doi.org/10.1080/21505594.2016.1247140</w:t>
      </w:r>
    </w:p>
    <w:p w14:paraId="24B1F2D1" w14:textId="77777777" w:rsidR="001C2A55" w:rsidRPr="001C2A55" w:rsidRDefault="001C2A55" w:rsidP="001C2A55">
      <w:pPr>
        <w:pStyle w:val="Bibliografija"/>
        <w:rPr>
          <w:lang w:val="es-ES"/>
          <w:rPrChange w:id="1230" w:author="Urša Miklavčič" w:date="2026-04-28T11:18:00Z" w16du:dateUtc="2026-04-28T09:18:00Z">
            <w:rPr/>
          </w:rPrChange>
        </w:rPr>
      </w:pPr>
      <w:r w:rsidRPr="001C2A55">
        <w:rPr>
          <w:lang w:val="es-ES"/>
          <w:rPrChange w:id="1231" w:author="Urša Miklavčič" w:date="2026-04-28T11:18:00Z" w16du:dateUtc="2026-04-28T09:18:00Z">
            <w:rPr/>
          </w:rPrChange>
        </w:rPr>
        <w:t xml:space="preserve">Hao, Z., Li, L., Fu, Y., &amp; Liu, H. (2018). </w:t>
      </w:r>
      <w:r>
        <w:t xml:space="preserve">The influence of bioregenerative life-support system dietary structure and lifestyle on the gut microbiota: A 105-day ground-based space simulation in Lunar Palace 1. </w:t>
      </w:r>
      <w:r w:rsidRPr="001C2A55">
        <w:rPr>
          <w:i/>
          <w:iCs/>
          <w:lang w:val="es-ES"/>
          <w:rPrChange w:id="1232" w:author="Urša Miklavčič" w:date="2026-04-28T11:18:00Z" w16du:dateUtc="2026-04-28T09:18:00Z">
            <w:rPr>
              <w:i/>
              <w:iCs/>
            </w:rPr>
          </w:rPrChange>
        </w:rPr>
        <w:t>Environmental Microbiology</w:t>
      </w:r>
      <w:r w:rsidRPr="001C2A55">
        <w:rPr>
          <w:lang w:val="es-ES"/>
          <w:rPrChange w:id="1233" w:author="Urša Miklavčič" w:date="2026-04-28T11:18:00Z" w16du:dateUtc="2026-04-28T09:18:00Z">
            <w:rPr/>
          </w:rPrChange>
        </w:rPr>
        <w:t xml:space="preserve">, </w:t>
      </w:r>
      <w:r w:rsidRPr="001C2A55">
        <w:rPr>
          <w:i/>
          <w:iCs/>
          <w:lang w:val="es-ES"/>
          <w:rPrChange w:id="1234" w:author="Urša Miklavčič" w:date="2026-04-28T11:18:00Z" w16du:dateUtc="2026-04-28T09:18:00Z">
            <w:rPr>
              <w:i/>
              <w:iCs/>
            </w:rPr>
          </w:rPrChange>
        </w:rPr>
        <w:t>20</w:t>
      </w:r>
      <w:r w:rsidRPr="001C2A55">
        <w:rPr>
          <w:lang w:val="es-ES"/>
          <w:rPrChange w:id="1235" w:author="Urša Miklavčič" w:date="2026-04-28T11:18:00Z" w16du:dateUtc="2026-04-28T09:18:00Z">
            <w:rPr/>
          </w:rPrChange>
        </w:rPr>
        <w:t>(10), 3643–3656. https://doi.org/10.1111/1462-2920.14358</w:t>
      </w:r>
    </w:p>
    <w:p w14:paraId="59BCFBD7" w14:textId="77777777" w:rsidR="001C2A55" w:rsidRDefault="001C2A55" w:rsidP="001C2A55">
      <w:pPr>
        <w:pStyle w:val="Bibliografija"/>
      </w:pPr>
      <w:r w:rsidRPr="001C2A55">
        <w:rPr>
          <w:lang w:val="es-ES"/>
          <w:rPrChange w:id="1236" w:author="Urša Miklavčič" w:date="2026-04-28T11:18:00Z" w16du:dateUtc="2026-04-28T09:18:00Z">
            <w:rPr/>
          </w:rPrChange>
        </w:rPr>
        <w:t xml:space="preserve">Heidrich, V., Valles-Colomer, M., &amp; Segata, N. (2025). </w:t>
      </w:r>
      <w:r>
        <w:t xml:space="preserve">Human microbiome acquisition and transmission. </w:t>
      </w:r>
      <w:r>
        <w:rPr>
          <w:i/>
          <w:iCs/>
        </w:rPr>
        <w:t>Nature Reviews Microbiology</w:t>
      </w:r>
      <w:r>
        <w:t xml:space="preserve">, </w:t>
      </w:r>
      <w:r>
        <w:rPr>
          <w:i/>
          <w:iCs/>
        </w:rPr>
        <w:t>23</w:t>
      </w:r>
      <w:r>
        <w:t>(9), 568–584. https://doi.org/10.1038/s41579-025-01166-x</w:t>
      </w:r>
    </w:p>
    <w:p w14:paraId="42163E9F" w14:textId="77777777" w:rsidR="001C2A55" w:rsidRDefault="001C2A55" w:rsidP="001C2A55">
      <w:pPr>
        <w:pStyle w:val="Bibliografija"/>
      </w:pPr>
      <w:r>
        <w:t xml:space="preserve">Heisel, T., Gonia, S., Dillon, A., Hoops, S. L., Al-Ghalith, G. A., Gohl, D., Mukhopadhyay, S., Puopolo, K., Kennedy, P., Sadowsky, M. J., Knights, D., Johnson, A. J., Gerber, J. S., &amp; Gale, C. A. (2025). Gut mycobiome maturation and its determinants during early childhood: A comparison of ITS2 amplicon and shotgun metagenomic sequencing approaches. </w:t>
      </w:r>
      <w:r>
        <w:rPr>
          <w:i/>
          <w:iCs/>
        </w:rPr>
        <w:t>Frontiers in Microbiology</w:t>
      </w:r>
      <w:r>
        <w:t xml:space="preserve">, </w:t>
      </w:r>
      <w:r>
        <w:rPr>
          <w:i/>
          <w:iCs/>
        </w:rPr>
        <w:t>16</w:t>
      </w:r>
      <w:r>
        <w:t>, 1539750. https://doi.org/10.3389/fmicb.2025.1539750</w:t>
      </w:r>
    </w:p>
    <w:p w14:paraId="6A6D3998" w14:textId="77777777" w:rsidR="001C2A55" w:rsidRDefault="001C2A55" w:rsidP="001C2A55">
      <w:pPr>
        <w:pStyle w:val="Bibliografija"/>
      </w:pPr>
      <w:r>
        <w:t xml:space="preserve">Henriques, A. O., &amp; Moran, C. P., Jr. (2007). Structure, Assembly, and Function of the Spore Surface Layers. </w:t>
      </w:r>
      <w:r>
        <w:rPr>
          <w:i/>
          <w:iCs/>
        </w:rPr>
        <w:t>Annual Review of Microbiology</w:t>
      </w:r>
      <w:r>
        <w:t xml:space="preserve">, </w:t>
      </w:r>
      <w:r>
        <w:rPr>
          <w:i/>
          <w:iCs/>
        </w:rPr>
        <w:t>61</w:t>
      </w:r>
      <w:r>
        <w:t>(1), 555–588. https://doi.org/10.1146/annurev.micro.61.080706.093224</w:t>
      </w:r>
    </w:p>
    <w:p w14:paraId="7B476245" w14:textId="77777777" w:rsidR="001C2A55" w:rsidRDefault="001C2A55" w:rsidP="001C2A55">
      <w:pPr>
        <w:pStyle w:val="Bibliografija"/>
      </w:pPr>
      <w:r>
        <w:t xml:space="preserve">Hisada, T., Endoh, K., &amp; Kuriki, K. (2015). Inter- and intra-individual variations in seasonal and daily stabilities of the human gut microbiota in Japanese. </w:t>
      </w:r>
      <w:r>
        <w:rPr>
          <w:i/>
          <w:iCs/>
        </w:rPr>
        <w:t>Archives of Microbiology</w:t>
      </w:r>
      <w:r>
        <w:t xml:space="preserve">, </w:t>
      </w:r>
      <w:r>
        <w:rPr>
          <w:i/>
          <w:iCs/>
        </w:rPr>
        <w:t>197</w:t>
      </w:r>
      <w:r>
        <w:t>(7), 919–934. https://doi.org/10.1007/s00203-015-1125-0</w:t>
      </w:r>
    </w:p>
    <w:p w14:paraId="7C91DA0A" w14:textId="77777777" w:rsidR="001C2A55" w:rsidRDefault="001C2A55" w:rsidP="001C2A55">
      <w:pPr>
        <w:pStyle w:val="Bibliografija"/>
      </w:pPr>
      <w:r>
        <w:t xml:space="preserve">Ho, J., Yeoh, Y. K., Barua, N., Chen, Z., Lui, G., Wong, S. H., Yang, X., Chan, M. C., Chan, P. K., Hawkey, P. M., &amp; Ip, M. (2020). Systematic review of human gut resistome studies revealed variable definitions and approaches. </w:t>
      </w:r>
      <w:r>
        <w:rPr>
          <w:i/>
          <w:iCs/>
        </w:rPr>
        <w:t>Gut Microbes</w:t>
      </w:r>
      <w:r>
        <w:t xml:space="preserve">, </w:t>
      </w:r>
      <w:r>
        <w:rPr>
          <w:i/>
          <w:iCs/>
        </w:rPr>
        <w:t>12</w:t>
      </w:r>
      <w:r>
        <w:t>(1), 1700755. https://doi.org/10.1080/19490976.2019.1700755</w:t>
      </w:r>
    </w:p>
    <w:p w14:paraId="02669DE9" w14:textId="77777777" w:rsidR="001C2A55" w:rsidRDefault="001C2A55" w:rsidP="001C2A55">
      <w:pPr>
        <w:pStyle w:val="Bibliografija"/>
      </w:pPr>
      <w:r>
        <w:lastRenderedPageBreak/>
        <w:t xml:space="preserve">Hodgkinson, K., El Abbar, F., Dobranowski, P., Manoogian, J., Butcher, J., Figeys, D., Mack, D., &amp; Stintzi, A. (2023). Butyrate’s role in human health and the current progress towards its clinical application to treat gastrointestinal disease. </w:t>
      </w:r>
      <w:r>
        <w:rPr>
          <w:i/>
          <w:iCs/>
        </w:rPr>
        <w:t>Clinical Nutrition</w:t>
      </w:r>
      <w:r>
        <w:t xml:space="preserve">, </w:t>
      </w:r>
      <w:r>
        <w:rPr>
          <w:i/>
          <w:iCs/>
        </w:rPr>
        <w:t>42</w:t>
      </w:r>
      <w:r>
        <w:t>(2), 61–75. https://doi.org/10.1016/j.clnu.2022.10.024</w:t>
      </w:r>
    </w:p>
    <w:p w14:paraId="35C492E4" w14:textId="77777777" w:rsidR="001C2A55" w:rsidRDefault="001C2A55" w:rsidP="001C2A55">
      <w:pPr>
        <w:pStyle w:val="Bibliografija"/>
      </w:pPr>
      <w:r>
        <w:t xml:space="preserve">Hoegenauer, C., Hammer, H. F., Mahnert, A., &amp; Moissl-Eichinger, C. (2022). Methanogenic archaea in the human gastrointestinal tract. </w:t>
      </w:r>
      <w:r>
        <w:rPr>
          <w:i/>
          <w:iCs/>
        </w:rPr>
        <w:t>Nature Reviews Gastroenterology &amp; Hepatology</w:t>
      </w:r>
      <w:r>
        <w:t xml:space="preserve">, </w:t>
      </w:r>
      <w:r>
        <w:rPr>
          <w:i/>
          <w:iCs/>
        </w:rPr>
        <w:t>19</w:t>
      </w:r>
      <w:r>
        <w:t>(12), 805–813. https://doi.org/10.1038/s41575-022-00673-z</w:t>
      </w:r>
    </w:p>
    <w:p w14:paraId="514404DA" w14:textId="77777777" w:rsidR="001C2A55" w:rsidRDefault="001C2A55" w:rsidP="001C2A55">
      <w:pPr>
        <w:pStyle w:val="Bibliografija"/>
      </w:pPr>
      <w:r>
        <w:t xml:space="preserve">Horneck, G., Bücker, H., &amp; Reitz, G. (1994). Long-term survival of bacterial spores in space. </w:t>
      </w:r>
      <w:r>
        <w:rPr>
          <w:i/>
          <w:iCs/>
        </w:rPr>
        <w:t>Advances in Space Research</w:t>
      </w:r>
      <w:r>
        <w:t xml:space="preserve">, </w:t>
      </w:r>
      <w:r>
        <w:rPr>
          <w:i/>
          <w:iCs/>
        </w:rPr>
        <w:t>14</w:t>
      </w:r>
      <w:r>
        <w:t>(10), 41–45. https://doi.org/10.1016/0273-1177(94)90448-0</w:t>
      </w:r>
    </w:p>
    <w:p w14:paraId="397B0FBD" w14:textId="77777777" w:rsidR="001C2A55" w:rsidRDefault="001C2A55" w:rsidP="001C2A55">
      <w:pPr>
        <w:pStyle w:val="Bibliografija"/>
      </w:pPr>
      <w:r>
        <w:t xml:space="preserve">Hoyles, L., McCartney, A. L., Neve, H., Gibson, G. R., Sanderson, J. D., Heller, K. J., &amp; van Sinderen, D. (2014). Characterization of virus-like particles associated with the human faecal and caecal microbiota. </w:t>
      </w:r>
      <w:r>
        <w:rPr>
          <w:i/>
          <w:iCs/>
        </w:rPr>
        <w:t>Research in Microbiology</w:t>
      </w:r>
      <w:r>
        <w:t xml:space="preserve">, </w:t>
      </w:r>
      <w:r>
        <w:rPr>
          <w:i/>
          <w:iCs/>
        </w:rPr>
        <w:t>165</w:t>
      </w:r>
      <w:r>
        <w:t>(10), 803–812. https://doi.org/10.1016/j.resmic.2014.10.006</w:t>
      </w:r>
    </w:p>
    <w:p w14:paraId="411798C2" w14:textId="77777777" w:rsidR="001C2A55" w:rsidRDefault="001C2A55" w:rsidP="001C2A55">
      <w:pPr>
        <w:pStyle w:val="Bibliografija"/>
      </w:pPr>
      <w:r>
        <w:t xml:space="preserve">Hua, X., Cao, Y., Morgan, D. M., Miller, K., Chin, S. M., Bellavance, D., &amp; Khalili, H. 2022. (n.d.). Longitudinal analysis of the impact of oral contraceptive use on the gut microbiome. </w:t>
      </w:r>
      <w:r>
        <w:rPr>
          <w:i/>
          <w:iCs/>
        </w:rPr>
        <w:t>Journal of Medical Microbiology</w:t>
      </w:r>
      <w:r>
        <w:t xml:space="preserve">, </w:t>
      </w:r>
      <w:r>
        <w:rPr>
          <w:i/>
          <w:iCs/>
        </w:rPr>
        <w:t>71</w:t>
      </w:r>
      <w:r>
        <w:t>(4), 001512. https://doi.org/10.1099/jmm.0.001512</w:t>
      </w:r>
    </w:p>
    <w:p w14:paraId="414C0ED0" w14:textId="77777777" w:rsidR="001C2A55" w:rsidRDefault="001C2A55" w:rsidP="001C2A55">
      <w:pPr>
        <w:pStyle w:val="Bibliografija"/>
      </w:pPr>
      <w:r>
        <w:t xml:space="preserve">Huang, Y., Sheth, R. U., Zhao, S., Cohen, L. A., Dabaghi, K., Moody, T., Sun, Y., Ricaurte, D., Richardson, M., Velez-Cortes, F., Blazejewski, T., Kaufman, A., Ronda, C., &amp; Wang, H. H. (2023). High-throughput microbial culturomics using automation and machine learning. </w:t>
      </w:r>
      <w:r>
        <w:rPr>
          <w:i/>
          <w:iCs/>
        </w:rPr>
        <w:t>Nature Biotechnology</w:t>
      </w:r>
      <w:r>
        <w:t xml:space="preserve">, </w:t>
      </w:r>
      <w:r>
        <w:rPr>
          <w:i/>
          <w:iCs/>
        </w:rPr>
        <w:t>41</w:t>
      </w:r>
      <w:r>
        <w:t>(10), 1424–1433. https://doi.org/10.1038/s41587-023-01674-2</w:t>
      </w:r>
    </w:p>
    <w:p w14:paraId="1DE10E37" w14:textId="77777777" w:rsidR="001C2A55" w:rsidRPr="001C2A55" w:rsidRDefault="001C2A55" w:rsidP="001C2A55">
      <w:pPr>
        <w:pStyle w:val="Bibliografija"/>
        <w:rPr>
          <w:lang w:val="es-ES"/>
          <w:rPrChange w:id="1237" w:author="Urša Miklavčič" w:date="2026-04-28T11:18:00Z" w16du:dateUtc="2026-04-28T09:18:00Z">
            <w:rPr/>
          </w:rPrChange>
        </w:rPr>
      </w:pPr>
      <w:r>
        <w:t xml:space="preserve">Hutchison, E. A., Miller, D. A., &amp; Angert, E. R. (2014). Sporulation in Bacteria: Beyond the Standard Model. </w:t>
      </w:r>
      <w:r w:rsidRPr="001C2A55">
        <w:rPr>
          <w:i/>
          <w:iCs/>
          <w:lang w:val="es-ES"/>
          <w:rPrChange w:id="1238" w:author="Urša Miklavčič" w:date="2026-04-28T11:18:00Z" w16du:dateUtc="2026-04-28T09:18:00Z">
            <w:rPr>
              <w:i/>
              <w:iCs/>
            </w:rPr>
          </w:rPrChange>
        </w:rPr>
        <w:t>Microbiology Spectrum</w:t>
      </w:r>
      <w:r w:rsidRPr="001C2A55">
        <w:rPr>
          <w:lang w:val="es-ES"/>
          <w:rPrChange w:id="1239" w:author="Urša Miklavčič" w:date="2026-04-28T11:18:00Z" w16du:dateUtc="2026-04-28T09:18:00Z">
            <w:rPr/>
          </w:rPrChange>
        </w:rPr>
        <w:t>. (Washington, DC). https://doi.org/10.1128/microbiolspec.TBS-0013-2012</w:t>
      </w:r>
    </w:p>
    <w:p w14:paraId="5DEB26DA" w14:textId="77777777" w:rsidR="001C2A55" w:rsidRDefault="001C2A55" w:rsidP="001C2A55">
      <w:pPr>
        <w:pStyle w:val="Bibliografija"/>
      </w:pPr>
      <w:r w:rsidRPr="001C2A55">
        <w:rPr>
          <w:lang w:val="es-ES"/>
          <w:rPrChange w:id="1240" w:author="Urša Miklavčič" w:date="2026-04-28T11:18:00Z" w16du:dateUtc="2026-04-28T09:18:00Z">
            <w:rPr/>
          </w:rPrChange>
        </w:rPr>
        <w:lastRenderedPageBreak/>
        <w:t xml:space="preserve">Jalanka-Tuovinen, J., Salonen, A., Nikkilä, J., Immonen, O., Kekkonen, R., Lahti, L., Palva, A., &amp; de Vos, W. M. (2011). </w:t>
      </w:r>
      <w:r>
        <w:t xml:space="preserve">Intestinal microbiota in healthy adults: Temporal analysis reveals individual and common core and relation to intestinal symptoms. </w:t>
      </w:r>
      <w:r>
        <w:rPr>
          <w:i/>
          <w:iCs/>
        </w:rPr>
        <w:t>PloS One</w:t>
      </w:r>
      <w:r>
        <w:t xml:space="preserve">, </w:t>
      </w:r>
      <w:r>
        <w:rPr>
          <w:i/>
          <w:iCs/>
        </w:rPr>
        <w:t>6</w:t>
      </w:r>
      <w:r>
        <w:t>(7), e23035. https://doi.org/10.1371/journal.pone.0023035</w:t>
      </w:r>
    </w:p>
    <w:p w14:paraId="213E4EFE" w14:textId="77777777" w:rsidR="001C2A55" w:rsidRDefault="001C2A55" w:rsidP="001C2A55">
      <w:pPr>
        <w:pStyle w:val="Bibliografija"/>
      </w:pPr>
      <w:r>
        <w:t xml:space="preserve">Jamroskovic, J., Chromikova, Z., List, C., Bartova, B., Barak, I., &amp; Bernier-Latmani, R. (2016). Variability in DPA and Calcium Content in the Spores of Clostridium Species. </w:t>
      </w:r>
      <w:r>
        <w:rPr>
          <w:i/>
          <w:iCs/>
        </w:rPr>
        <w:t>Frontiers in Microbiology</w:t>
      </w:r>
      <w:r>
        <w:t xml:space="preserve">, </w:t>
      </w:r>
      <w:r>
        <w:rPr>
          <w:i/>
          <w:iCs/>
        </w:rPr>
        <w:t>7</w:t>
      </w:r>
      <w:r>
        <w:t>. https://www.frontiersin.org/article/10.3389/fmicb.2016.01791</w:t>
      </w:r>
    </w:p>
    <w:p w14:paraId="6E6918EC" w14:textId="77777777" w:rsidR="001C2A55" w:rsidRPr="001C2A55" w:rsidRDefault="001C2A55" w:rsidP="001C2A55">
      <w:pPr>
        <w:pStyle w:val="Bibliografija"/>
        <w:rPr>
          <w:lang w:val="es-ES"/>
          <w:rPrChange w:id="1241" w:author="Urša Miklavčič" w:date="2026-04-28T11:18:00Z" w16du:dateUtc="2026-04-28T09:18:00Z">
            <w:rPr/>
          </w:rPrChange>
        </w:rPr>
      </w:pPr>
      <w:r>
        <w:t xml:space="preserve">Jayasinghe, T. N., Hilton, C., Tsai, P., Apple, B., Shepherd, P., Cutfield, W. S., &amp; O’Sullivan, J. M. (2017). Long-term stability in the gut microbiome over 46 years in the life of Billy Apple®. </w:t>
      </w:r>
      <w:r w:rsidRPr="001C2A55">
        <w:rPr>
          <w:i/>
          <w:iCs/>
          <w:lang w:val="es-ES"/>
          <w:rPrChange w:id="1242" w:author="Urša Miklavčič" w:date="2026-04-28T11:18:00Z" w16du:dateUtc="2026-04-28T09:18:00Z">
            <w:rPr>
              <w:i/>
              <w:iCs/>
            </w:rPr>
          </w:rPrChange>
        </w:rPr>
        <w:t>Human Microbiome Journal</w:t>
      </w:r>
      <w:r w:rsidRPr="001C2A55">
        <w:rPr>
          <w:lang w:val="es-ES"/>
          <w:rPrChange w:id="1243" w:author="Urša Miklavčič" w:date="2026-04-28T11:18:00Z" w16du:dateUtc="2026-04-28T09:18:00Z">
            <w:rPr/>
          </w:rPrChange>
        </w:rPr>
        <w:t xml:space="preserve">, </w:t>
      </w:r>
      <w:r w:rsidRPr="001C2A55">
        <w:rPr>
          <w:i/>
          <w:iCs/>
          <w:lang w:val="es-ES"/>
          <w:rPrChange w:id="1244" w:author="Urša Miklavčič" w:date="2026-04-28T11:18:00Z" w16du:dateUtc="2026-04-28T09:18:00Z">
            <w:rPr>
              <w:i/>
              <w:iCs/>
            </w:rPr>
          </w:rPrChange>
        </w:rPr>
        <w:t>5–6</w:t>
      </w:r>
      <w:r w:rsidRPr="001C2A55">
        <w:rPr>
          <w:lang w:val="es-ES"/>
          <w:rPrChange w:id="1245" w:author="Urša Miklavčič" w:date="2026-04-28T11:18:00Z" w16du:dateUtc="2026-04-28T09:18:00Z">
            <w:rPr/>
          </w:rPrChange>
        </w:rPr>
        <w:t>, 7–10. https://doi.org/10.1016/j.humic.2017.09.001</w:t>
      </w:r>
    </w:p>
    <w:p w14:paraId="50EE0DD8" w14:textId="77777777" w:rsidR="001C2A55" w:rsidRDefault="001C2A55" w:rsidP="001C2A55">
      <w:pPr>
        <w:pStyle w:val="Bibliografija"/>
      </w:pPr>
      <w:r w:rsidRPr="001C2A55">
        <w:rPr>
          <w:lang w:val="es-ES"/>
          <w:rPrChange w:id="1246" w:author="Urša Miklavčič" w:date="2026-04-28T11:18:00Z" w16du:dateUtc="2026-04-28T09:18:00Z">
            <w:rPr/>
          </w:rPrChange>
        </w:rPr>
        <w:t xml:space="preserve">Jokela, R., Ponsero, A. J., Dikareva, E., Wei, X., Kolho, K.-L., Korpela, K., De Vos, W. M., &amp; Salonen, A. (2023). </w:t>
      </w:r>
      <w:r>
        <w:t xml:space="preserve">Sources of gut microbiota variation in a large longitudinal Finnish infant cohort. </w:t>
      </w:r>
      <w:r>
        <w:rPr>
          <w:i/>
          <w:iCs/>
        </w:rPr>
        <w:t>eBioMedicine</w:t>
      </w:r>
      <w:r>
        <w:t xml:space="preserve">, </w:t>
      </w:r>
      <w:r>
        <w:rPr>
          <w:i/>
          <w:iCs/>
        </w:rPr>
        <w:t>94</w:t>
      </w:r>
      <w:r>
        <w:t>, 104695. https://doi.org/10.1016/j.ebiom.2023.104695</w:t>
      </w:r>
    </w:p>
    <w:p w14:paraId="5795F7E6" w14:textId="77777777" w:rsidR="001C2A55" w:rsidRDefault="001C2A55" w:rsidP="001C2A55">
      <w:pPr>
        <w:pStyle w:val="Bibliografija"/>
      </w:pPr>
      <w:r>
        <w:t xml:space="preserve">Jones, S. E., &amp; Lennon, J. T. (2010). Dormancy contributes to the maintenance of microbial diversity. </w:t>
      </w:r>
      <w:r>
        <w:rPr>
          <w:i/>
          <w:iCs/>
        </w:rPr>
        <w:t>Proceedings of the National Academy of Sciences of the United States of America</w:t>
      </w:r>
      <w:r>
        <w:t xml:space="preserve">, </w:t>
      </w:r>
      <w:r>
        <w:rPr>
          <w:i/>
          <w:iCs/>
        </w:rPr>
        <w:t>107</w:t>
      </w:r>
      <w:r>
        <w:t>(13), 5881–5886. https://doi.org/10.1073/pnas.0912765107</w:t>
      </w:r>
    </w:p>
    <w:p w14:paraId="2F5429FE" w14:textId="77777777" w:rsidR="001C2A55" w:rsidRDefault="001C2A55" w:rsidP="001C2A55">
      <w:pPr>
        <w:pStyle w:val="Bibliografija"/>
      </w:pPr>
      <w:r>
        <w:t xml:space="preserve">Kapinusova, G., Lopez Marin, M. A., &amp; Uhlik, O. (2023). Reaching unreachables: Obstacles and successes of microbial cultivation and their reasons. </w:t>
      </w:r>
      <w:r>
        <w:rPr>
          <w:i/>
          <w:iCs/>
        </w:rPr>
        <w:t>Frontiers in Microbiology</w:t>
      </w:r>
      <w:r>
        <w:t xml:space="preserve">, </w:t>
      </w:r>
      <w:r>
        <w:rPr>
          <w:i/>
          <w:iCs/>
        </w:rPr>
        <w:t>14</w:t>
      </w:r>
      <w:r>
        <w:t>, 1089630. https://doi.org/10.3389/fmicb.2023.1089630</w:t>
      </w:r>
    </w:p>
    <w:p w14:paraId="4ADBBD47" w14:textId="77777777" w:rsidR="001C2A55" w:rsidRDefault="001C2A55" w:rsidP="001C2A55">
      <w:pPr>
        <w:pStyle w:val="Bibliografija"/>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https://doi.org/10.1038/s41396-018-0192-z</w:t>
      </w:r>
    </w:p>
    <w:p w14:paraId="6AF93BFC" w14:textId="77777777" w:rsidR="001C2A55" w:rsidRDefault="001C2A55" w:rsidP="001C2A55">
      <w:pPr>
        <w:pStyle w:val="Bibliografija"/>
      </w:pPr>
      <w:r>
        <w:lastRenderedPageBreak/>
        <w:t xml:space="preserve">Klindworth, A., Pruesse, E., Schweer, T., Peplies, J., Quast, C., Horn, M., &amp; Glöckner, F. O. (2013). Evaluation of general 16S ribosomal RNA gene PCR primers for classical and next-generation sequencing-based diversity studies. </w:t>
      </w:r>
      <w:r>
        <w:rPr>
          <w:i/>
          <w:iCs/>
        </w:rPr>
        <w:t>Nucleic Acids Research</w:t>
      </w:r>
      <w:r>
        <w:t xml:space="preserve">, </w:t>
      </w:r>
      <w:r>
        <w:rPr>
          <w:i/>
          <w:iCs/>
        </w:rPr>
        <w:t>41</w:t>
      </w:r>
      <w:r>
        <w:t>(1), e1. https://doi.org/10.1093/nar/gks808</w:t>
      </w:r>
    </w:p>
    <w:p w14:paraId="767F21AA" w14:textId="77777777" w:rsidR="001C2A55" w:rsidRDefault="001C2A55" w:rsidP="001C2A55">
      <w:pPr>
        <w:pStyle w:val="Bibliografija"/>
      </w:pPr>
      <w:r>
        <w:t xml:space="preserve">Kolmogorov, M., Yuan, J., Lin, Y., &amp; Pevzner, P. A. (2019). Assembly of long, error-prone reads using repeat graphs. </w:t>
      </w:r>
      <w:r>
        <w:rPr>
          <w:i/>
          <w:iCs/>
        </w:rPr>
        <w:t>Nature Biotechnology</w:t>
      </w:r>
      <w:r>
        <w:t xml:space="preserve">, </w:t>
      </w:r>
      <w:r>
        <w:rPr>
          <w:i/>
          <w:iCs/>
        </w:rPr>
        <w:t>37</w:t>
      </w:r>
      <w:r>
        <w:t>(5), 540–546. https://doi.org/10.1038/s41587-019-0072-8</w:t>
      </w:r>
    </w:p>
    <w:p w14:paraId="063B5EFD" w14:textId="77777777" w:rsidR="001C2A55" w:rsidRDefault="001C2A55" w:rsidP="001C2A55">
      <w:pPr>
        <w:pStyle w:val="Bibliografija"/>
      </w:pPr>
      <w:r>
        <w:t xml:space="preserve">Koopman, N., Remijas, L., Seppen, J., Setlow, P., &amp; Brul, S. (2022). Mechanisms and Applications of Bacterial Sporulation and Germination in the Intestine. </w:t>
      </w:r>
      <w:r>
        <w:rPr>
          <w:i/>
          <w:iCs/>
        </w:rPr>
        <w:t>International Journal of Molecular Sciences</w:t>
      </w:r>
      <w:r>
        <w:t xml:space="preserve">, </w:t>
      </w:r>
      <w:r>
        <w:rPr>
          <w:i/>
          <w:iCs/>
        </w:rPr>
        <w:t>23</w:t>
      </w:r>
      <w:r>
        <w:t>(6), 3405. https://doi.org/10.3390/ijms23063405</w:t>
      </w:r>
    </w:p>
    <w:p w14:paraId="2EB7B680" w14:textId="77777777" w:rsidR="001C2A55" w:rsidRDefault="001C2A55" w:rsidP="001C2A55">
      <w:pPr>
        <w:pStyle w:val="Bibliografija"/>
      </w:pPr>
      <w:r>
        <w:t xml:space="preserve">Koransky, J. R., Allen, S. D., &amp; Dowell, V. R. (1978). Use of ethanol for selective isolation of sporeforming microorganisms. </w:t>
      </w:r>
      <w:r>
        <w:rPr>
          <w:i/>
          <w:iCs/>
        </w:rPr>
        <w:t>Applied and Environmental Microbiology</w:t>
      </w:r>
      <w:r>
        <w:t xml:space="preserve">, </w:t>
      </w:r>
      <w:r>
        <w:rPr>
          <w:i/>
          <w:iCs/>
        </w:rPr>
        <w:t>35</w:t>
      </w:r>
      <w:r>
        <w:t>(4), 762–765. https://doi.org/10.1128/aem.35.4.762-765.1978</w:t>
      </w:r>
    </w:p>
    <w:p w14:paraId="58E114E1" w14:textId="77777777" w:rsidR="001C2A55" w:rsidRDefault="001C2A55" w:rsidP="001C2A55">
      <w:pPr>
        <w:pStyle w:val="Bibliografija"/>
      </w:pPr>
      <w:r>
        <w:t xml:space="preserve">Korpela, K., Costea, P., Coelho, L. P., Kandels-Lewis, S., Willemsen, G., Boomsma, D. I., Segata, N., &amp; Bork, P. (2018). Selective maternal seeding and environment shape the human gut microbiome. </w:t>
      </w:r>
      <w:r>
        <w:rPr>
          <w:i/>
          <w:iCs/>
        </w:rPr>
        <w:t>Genome Research</w:t>
      </w:r>
      <w:r>
        <w:t xml:space="preserve">, </w:t>
      </w:r>
      <w:r>
        <w:rPr>
          <w:i/>
          <w:iCs/>
        </w:rPr>
        <w:t>28</w:t>
      </w:r>
      <w:r>
        <w:t>(4), 561–568. https://doi.org/10.1101/gr.233940.117</w:t>
      </w:r>
    </w:p>
    <w:p w14:paraId="4DEAE769" w14:textId="77777777" w:rsidR="001C2A55" w:rsidRDefault="001C2A55" w:rsidP="001C2A55">
      <w:pPr>
        <w:pStyle w:val="Bibliografija"/>
      </w:pPr>
      <w:r>
        <w:t xml:space="preserve">Koskinen, K., Pausan, M. R., Perras, A. K., Beck, M., Bang, C., Mora, M., Schilhabel, A., Schmitz, R., &amp; Moissl-Eichinger, C. (2017). First Insights into the Diverse Human Archaeome: Specific Detection of Archaea in the Gastrointestinal Tract, Lung, and Nose and on Skin. </w:t>
      </w:r>
      <w:r>
        <w:rPr>
          <w:i/>
          <w:iCs/>
        </w:rPr>
        <w:t>mBio</w:t>
      </w:r>
      <w:r>
        <w:t xml:space="preserve">, </w:t>
      </w:r>
      <w:r>
        <w:rPr>
          <w:i/>
          <w:iCs/>
        </w:rPr>
        <w:t>8</w:t>
      </w:r>
      <w:r>
        <w:t>(6), 10.1128/mbio.00824-17. https://doi.org/10.1128/mbio.00824-17</w:t>
      </w:r>
    </w:p>
    <w:p w14:paraId="47BC81A8" w14:textId="77777777" w:rsidR="001C2A55" w:rsidRDefault="001C2A55" w:rsidP="001C2A55">
      <w:pPr>
        <w:pStyle w:val="Bibliografija"/>
      </w:pPr>
      <w:r>
        <w:t xml:space="preserve">Lagier, J.-C., Dubourg, G., Million, M., Cadoret, F., Bilen, M., Fenollar, F., Levasseur, A., Rolain, J.-M., Fournier, P.-E., &amp; Raoult, D. (2018). Culturing the human microbiota and culturomics. </w:t>
      </w:r>
      <w:r>
        <w:rPr>
          <w:i/>
          <w:iCs/>
        </w:rPr>
        <w:t>Nature Reviews Microbiology</w:t>
      </w:r>
      <w:r>
        <w:t xml:space="preserve">, </w:t>
      </w:r>
      <w:r>
        <w:rPr>
          <w:i/>
          <w:iCs/>
        </w:rPr>
        <w:t>16</w:t>
      </w:r>
      <w:r>
        <w:t>(9), 540–550. https://doi.org/10.1038/s41579-018-0041-0</w:t>
      </w:r>
    </w:p>
    <w:p w14:paraId="25C6F40F" w14:textId="77777777" w:rsidR="001C2A55" w:rsidRDefault="001C2A55" w:rsidP="001C2A55">
      <w:pPr>
        <w:pStyle w:val="Bibliografija"/>
      </w:pPr>
      <w:r>
        <w:lastRenderedPageBreak/>
        <w:t xml:space="preserve">Langmead, B., &amp; Salzberg, S. L. (2012). Fast gapped-read alignment with Bowtie 2. </w:t>
      </w:r>
      <w:r>
        <w:rPr>
          <w:i/>
          <w:iCs/>
        </w:rPr>
        <w:t>Nature Methods</w:t>
      </w:r>
      <w:r>
        <w:t xml:space="preserve">, </w:t>
      </w:r>
      <w:r>
        <w:rPr>
          <w:i/>
          <w:iCs/>
        </w:rPr>
        <w:t>9</w:t>
      </w:r>
      <w:r>
        <w:t>(4), 357–359. https://doi.org/10.1038/nmeth.1923</w:t>
      </w:r>
    </w:p>
    <w:p w14:paraId="5C8D97BF" w14:textId="77777777" w:rsidR="001C2A55" w:rsidRDefault="001C2A55" w:rsidP="001C2A55">
      <w:pPr>
        <w:pStyle w:val="Bibliografija"/>
      </w:pPr>
      <w:r>
        <w:t xml:space="preserve">Lee, K., Raguideau, S., Sirén, K., Asnicar, F., Cumbo, F., Hildebrand, F., Segata, N., Cha, C.-J., &amp; Quince, C. (2023). Population-level impacts of antibiotic usage on the human gut microbiome. </w:t>
      </w:r>
      <w:r>
        <w:rPr>
          <w:i/>
          <w:iCs/>
        </w:rPr>
        <w:t>Nature Communications</w:t>
      </w:r>
      <w:r>
        <w:t xml:space="preserve">, </w:t>
      </w:r>
      <w:r>
        <w:rPr>
          <w:i/>
          <w:iCs/>
        </w:rPr>
        <w:t>14</w:t>
      </w:r>
      <w:r>
        <w:t>(1), 1191. https://doi.org/10.1038/s41467-023-36633-7</w:t>
      </w:r>
    </w:p>
    <w:p w14:paraId="3F037259" w14:textId="77777777" w:rsidR="001C2A55" w:rsidRDefault="001C2A55" w:rsidP="001C2A55">
      <w:pPr>
        <w:pStyle w:val="Bibliografija"/>
      </w:pPr>
      <w:r>
        <w:t xml:space="preserve">Leggett, M. j., McDonnell, G., Denyer, S. p., Setlow, P., &amp; Maillard, J.-Y. (2012). Bacterial spore structures and their protective role in biocide resistance. </w:t>
      </w:r>
      <w:r>
        <w:rPr>
          <w:i/>
          <w:iCs/>
        </w:rPr>
        <w:t>Journal of Applied Microbiology</w:t>
      </w:r>
      <w:r>
        <w:t xml:space="preserve">, </w:t>
      </w:r>
      <w:r>
        <w:rPr>
          <w:i/>
          <w:iCs/>
        </w:rPr>
        <w:t>113</w:t>
      </w:r>
      <w:r>
        <w:t>(3), 485–498. https://doi.org/10.1111/j.1365-2672.2012.05336.x</w:t>
      </w:r>
    </w:p>
    <w:p w14:paraId="024692C2" w14:textId="77777777" w:rsidR="001C2A55" w:rsidRDefault="001C2A55" w:rsidP="001C2A55">
      <w:pPr>
        <w:pStyle w:val="Bibliografija"/>
      </w:pPr>
      <w:r>
        <w:t xml:space="preserve">Lennon, J. T., &amp; Jones, S. E. (2011). Microbial seed banks: The ecological and evolutionary implications of dormancy. </w:t>
      </w:r>
      <w:r>
        <w:rPr>
          <w:i/>
          <w:iCs/>
        </w:rPr>
        <w:t>Nature Reviews Microbiology</w:t>
      </w:r>
      <w:r>
        <w:t xml:space="preserve">, </w:t>
      </w:r>
      <w:r>
        <w:rPr>
          <w:i/>
          <w:iCs/>
        </w:rPr>
        <w:t>9</w:t>
      </w:r>
      <w:r>
        <w:t>(2), 119–130. https://doi.org/10.1038/nrmicro2504</w:t>
      </w:r>
    </w:p>
    <w:p w14:paraId="6878C875" w14:textId="77777777" w:rsidR="001C2A55" w:rsidRDefault="001C2A55" w:rsidP="001C2A55">
      <w:pPr>
        <w:pStyle w:val="Bibliografija"/>
      </w:pPr>
      <w:r>
        <w:t xml:space="preserve">Levy, R., Magis, A. T., Earls, J. C., Manor, O., Wilmanski, T., Lovejoy, J., Gibbons, S. M., Omenn, G. S., Hood, L., &amp; Price, N. D. (2020). Longitudinal analysis reveals transition barriers between dominant ecological states in the gut microbiome. </w:t>
      </w:r>
      <w:r>
        <w:rPr>
          <w:i/>
          <w:iCs/>
        </w:rPr>
        <w:t>Proceedings of the National Academy of Sciences of the United States of America</w:t>
      </w:r>
      <w:r>
        <w:t xml:space="preserve">, </w:t>
      </w:r>
      <w:r>
        <w:rPr>
          <w:i/>
          <w:iCs/>
        </w:rPr>
        <w:t>117</w:t>
      </w:r>
      <w:r>
        <w:t>(24), 13839–13845. https://doi.org/10.1073/pnas.1922498117</w:t>
      </w:r>
    </w:p>
    <w:p w14:paraId="7CAF223E" w14:textId="77777777" w:rsidR="001C2A55" w:rsidRDefault="001C2A55" w:rsidP="001C2A55">
      <w:pPr>
        <w:pStyle w:val="Bibliografija"/>
      </w:pPr>
      <w:r>
        <w:t xml:space="preserve">Li, H., Handsaker, B., Wysoker, A., Fennell, T., Ruan, J., Homer, N., Marth, G., Abecasis, G., Durbin, R., &amp; 1000 Genome Project Data Processing Subgroup. (2009). The Sequence Alignment/Map format and SAMtools. </w:t>
      </w:r>
      <w:r>
        <w:rPr>
          <w:i/>
          <w:iCs/>
        </w:rPr>
        <w:t>Bioinformatics</w:t>
      </w:r>
      <w:r>
        <w:t xml:space="preserve">, </w:t>
      </w:r>
      <w:r>
        <w:rPr>
          <w:i/>
          <w:iCs/>
        </w:rPr>
        <w:t>25</w:t>
      </w:r>
      <w:r>
        <w:t>(16), 2078–2079. https://doi.org/10.1093/bioinformatics/btp352</w:t>
      </w:r>
    </w:p>
    <w:p w14:paraId="65C1B163" w14:textId="77777777" w:rsidR="001C2A55" w:rsidRDefault="001C2A55" w:rsidP="001C2A55">
      <w:pPr>
        <w:pStyle w:val="Bibliografija"/>
      </w:pPr>
      <w:r>
        <w:t xml:space="preserve">Li, J., Yang, F., Xiao, M., &amp; Li, A. (2022). Advances and challenges in cataloging the human gut virome. </w:t>
      </w:r>
      <w:r>
        <w:rPr>
          <w:i/>
          <w:iCs/>
        </w:rPr>
        <w:t>Cell Host &amp; Microbe</w:t>
      </w:r>
      <w:r>
        <w:t xml:space="preserve">, </w:t>
      </w:r>
      <w:r>
        <w:rPr>
          <w:i/>
          <w:iCs/>
        </w:rPr>
        <w:t>30</w:t>
      </w:r>
      <w:r>
        <w:t>(7), 908–916. https://doi.org/10.1016/j.chom.2022.06.003</w:t>
      </w:r>
    </w:p>
    <w:p w14:paraId="52BF0F63" w14:textId="77777777" w:rsidR="001C2A55" w:rsidRDefault="001C2A55" w:rsidP="001C2A55">
      <w:pPr>
        <w:pStyle w:val="Bibliografija"/>
      </w:pPr>
      <w:r>
        <w:lastRenderedPageBreak/>
        <w:t xml:space="preserve">Li, L., Mendis, N., Trigui, H., Oliver, J. D., &amp; Faucher, S. P. (2014). The importance of the viable but non-culturable state in human bacterial pathogens. </w:t>
      </w:r>
      <w:r>
        <w:rPr>
          <w:i/>
          <w:iCs/>
        </w:rPr>
        <w:t>Frontiers in Microbiology</w:t>
      </w:r>
      <w:r>
        <w:t xml:space="preserve">, </w:t>
      </w:r>
      <w:r>
        <w:rPr>
          <w:i/>
          <w:iCs/>
        </w:rPr>
        <w:t>5</w:t>
      </w:r>
      <w:r>
        <w:t>. https://doi.org/10.3389/fmicb.2014.00258</w:t>
      </w:r>
    </w:p>
    <w:p w14:paraId="06BE1C70" w14:textId="77777777" w:rsidR="001C2A55" w:rsidRDefault="001C2A55" w:rsidP="001C2A55">
      <w:pPr>
        <w:pStyle w:val="Bibliografija"/>
      </w:pPr>
      <w:r>
        <w:t xml:space="preserve">Li, X., Brejnrod, A., Thorsen, J., Zachariasen, T., Trivedi, U., Russel, J., Vestergaard, G. A., Stokholm, J., Rasmussen, M. A., &amp; Sørensen, S. J. (2023). Differential responses of the gut microbiome and resistome to antibiotic exposures in infants and adults. </w:t>
      </w:r>
      <w:r>
        <w:rPr>
          <w:i/>
          <w:iCs/>
        </w:rPr>
        <w:t>Nature Communications</w:t>
      </w:r>
      <w:r>
        <w:t xml:space="preserve">, </w:t>
      </w:r>
      <w:r>
        <w:rPr>
          <w:i/>
          <w:iCs/>
        </w:rPr>
        <w:t>14</w:t>
      </w:r>
      <w:r>
        <w:t>(1), 8526. https://doi.org/10.1038/s41467-023-44289-6</w:t>
      </w:r>
    </w:p>
    <w:p w14:paraId="4655B580" w14:textId="77777777" w:rsidR="001C2A55" w:rsidRDefault="001C2A55" w:rsidP="001C2A55">
      <w:pPr>
        <w:pStyle w:val="Bibliografija"/>
      </w:pPr>
      <w:r>
        <w:t xml:space="preserve">Liao, H., Ji, Y., &amp; Sun, Y. (2023). High-resolution strain-level microbiome composition analysis from short reads. </w:t>
      </w:r>
      <w:r>
        <w:rPr>
          <w:i/>
          <w:iCs/>
        </w:rPr>
        <w:t>Microbiome</w:t>
      </w:r>
      <w:r>
        <w:t xml:space="preserve">, </w:t>
      </w:r>
      <w:r>
        <w:rPr>
          <w:i/>
          <w:iCs/>
        </w:rPr>
        <w:t>11</w:t>
      </w:r>
      <w:r>
        <w:t>(1), 183. https://doi.org/10.1186/s40168-023-01615-w</w:t>
      </w:r>
    </w:p>
    <w:p w14:paraId="6120CDE8" w14:textId="77777777" w:rsidR="001C2A55" w:rsidRDefault="001C2A55" w:rsidP="001C2A55">
      <w:pPr>
        <w:pStyle w:val="Bibliografija"/>
      </w:pPr>
      <w:r>
        <w:t xml:space="preserve">Lind, A. L., &amp; Pollard, K. S. (2021). Accurate and sensitive detection of microbial eukaryotes from whole metagenome shotgun sequencing. </w:t>
      </w:r>
      <w:r>
        <w:rPr>
          <w:i/>
          <w:iCs/>
        </w:rPr>
        <w:t>Microbiome</w:t>
      </w:r>
      <w:r>
        <w:t xml:space="preserve">, </w:t>
      </w:r>
      <w:r>
        <w:rPr>
          <w:i/>
          <w:iCs/>
        </w:rPr>
        <w:t>9</w:t>
      </w:r>
      <w:r>
        <w:t>(1), 58. https://doi.org/10.1186/s40168-021-01015-y</w:t>
      </w:r>
    </w:p>
    <w:p w14:paraId="42883863" w14:textId="77777777" w:rsidR="001C2A55" w:rsidRDefault="001C2A55" w:rsidP="001C2A55">
      <w:pPr>
        <w:pStyle w:val="Bibliografija"/>
      </w:pPr>
      <w:r>
        <w:t xml:space="preserve">Lloyd-Price, J., Arze, C., Ananthakrishnan, A. N., Schirmer, M., Avila-Pacheco, J., Poon, T. W., Andrews, E., Ajami, N. J., Bonham, K. S., Brislawn, C. J., Casero, D., Courtney, H., Gonzalez, A., Graeber, T. G., Hall, A. B., Lake, K., Landers, C. J., Mallick, H., Plichta, D. R., … Huttenhower, C. (2019). Multi-omics of the gut microbial ecosystem in inflammatory bowel diseases. </w:t>
      </w:r>
      <w:r>
        <w:rPr>
          <w:i/>
          <w:iCs/>
        </w:rPr>
        <w:t>Nature</w:t>
      </w:r>
      <w:r>
        <w:t xml:space="preserve">, </w:t>
      </w:r>
      <w:r>
        <w:rPr>
          <w:i/>
          <w:iCs/>
        </w:rPr>
        <w:t>569</w:t>
      </w:r>
      <w:r>
        <w:t>(7758), Article 7758. https://doi.org/10.1038/s41586-019-1237-9</w:t>
      </w:r>
    </w:p>
    <w:p w14:paraId="7EE81882" w14:textId="77777777" w:rsidR="001C2A55" w:rsidRDefault="001C2A55" w:rsidP="001C2A55">
      <w:pPr>
        <w:pStyle w:val="Bibliografija"/>
      </w:pPr>
      <w:r>
        <w:t xml:space="preserve">Lozupone, C. A., Stombaugh, J. I., Gordon, J. I., Jansson, J. K., &amp; Knight, R. (2012). Diversity, stability and resilience of the human gut microbiota. </w:t>
      </w:r>
      <w:r>
        <w:rPr>
          <w:i/>
          <w:iCs/>
        </w:rPr>
        <w:t>Nature</w:t>
      </w:r>
      <w:r>
        <w:t xml:space="preserve">, </w:t>
      </w:r>
      <w:r>
        <w:rPr>
          <w:i/>
          <w:iCs/>
        </w:rPr>
        <w:t>489</w:t>
      </w:r>
      <w:r>
        <w:t>(7415), Article 7415. https://doi.org/10.1038/nature11550</w:t>
      </w:r>
    </w:p>
    <w:p w14:paraId="29013EAB" w14:textId="77777777" w:rsidR="001C2A55" w:rsidRPr="001C2A55" w:rsidRDefault="001C2A55" w:rsidP="001C2A55">
      <w:pPr>
        <w:pStyle w:val="Bibliografija"/>
        <w:rPr>
          <w:lang w:val="es-ES"/>
          <w:rPrChange w:id="1247" w:author="Urša Miklavčič" w:date="2026-04-28T11:18:00Z" w16du:dateUtc="2026-04-28T09:18:00Z">
            <w:rPr/>
          </w:rPrChange>
        </w:rPr>
      </w:pPr>
      <w:r w:rsidRPr="001C2A55">
        <w:rPr>
          <w:lang w:val="es-ES"/>
          <w:rPrChange w:id="1248" w:author="Urša Miklavčič" w:date="2026-04-28T11:18:00Z" w16du:dateUtc="2026-04-28T09:18:00Z">
            <w:rPr/>
          </w:rPrChange>
        </w:rPr>
        <w:t xml:space="preserve">Machado, D. T., Brustolini, O. J. B., Corrêa, E. dos S., &amp; Vasconcelos, A. T. R. (2025). </w:t>
      </w:r>
      <w:r>
        <w:t xml:space="preserve">Prediction of sporulating Firmicutes from uncultured gut microbiota using SpoMAG, an ensemble learning tool. </w:t>
      </w:r>
      <w:r w:rsidRPr="001C2A55">
        <w:rPr>
          <w:i/>
          <w:iCs/>
          <w:lang w:val="es-ES"/>
          <w:rPrChange w:id="1249" w:author="Urša Miklavčič" w:date="2026-04-28T11:18:00Z" w16du:dateUtc="2026-04-28T09:18:00Z">
            <w:rPr>
              <w:i/>
              <w:iCs/>
            </w:rPr>
          </w:rPrChange>
        </w:rPr>
        <w:t>PeerJ</w:t>
      </w:r>
      <w:r w:rsidRPr="001C2A55">
        <w:rPr>
          <w:lang w:val="es-ES"/>
          <w:rPrChange w:id="1250" w:author="Urša Miklavčič" w:date="2026-04-28T11:18:00Z" w16du:dateUtc="2026-04-28T09:18:00Z">
            <w:rPr/>
          </w:rPrChange>
        </w:rPr>
        <w:t xml:space="preserve">, </w:t>
      </w:r>
      <w:r w:rsidRPr="001C2A55">
        <w:rPr>
          <w:i/>
          <w:iCs/>
          <w:lang w:val="es-ES"/>
          <w:rPrChange w:id="1251" w:author="Urša Miklavčič" w:date="2026-04-28T11:18:00Z" w16du:dateUtc="2026-04-28T09:18:00Z">
            <w:rPr>
              <w:i/>
              <w:iCs/>
            </w:rPr>
          </w:rPrChange>
        </w:rPr>
        <w:t>13</w:t>
      </w:r>
      <w:r w:rsidRPr="001C2A55">
        <w:rPr>
          <w:lang w:val="es-ES"/>
          <w:rPrChange w:id="1252" w:author="Urša Miklavčič" w:date="2026-04-28T11:18:00Z" w16du:dateUtc="2026-04-28T09:18:00Z">
            <w:rPr/>
          </w:rPrChange>
        </w:rPr>
        <w:t>, e20232. https://doi.org/10.7717/peerj.20232</w:t>
      </w:r>
    </w:p>
    <w:p w14:paraId="2FCE014F" w14:textId="77777777" w:rsidR="001C2A55" w:rsidRDefault="001C2A55" w:rsidP="001C2A55">
      <w:pPr>
        <w:pStyle w:val="Bibliografija"/>
      </w:pPr>
      <w:r w:rsidRPr="001C2A55">
        <w:rPr>
          <w:lang w:val="es-ES"/>
          <w:rPrChange w:id="1253" w:author="Urša Miklavčič" w:date="2026-04-28T11:18:00Z" w16du:dateUtc="2026-04-28T09:18:00Z">
            <w:rPr/>
          </w:rPrChange>
        </w:rPr>
        <w:lastRenderedPageBreak/>
        <w:t xml:space="preserve">Mahnic, A., &amp; Rupnik, M. (2018). </w:t>
      </w:r>
      <w:r>
        <w:t xml:space="preserve">Different host factors are associated with patterns in bacterial and fungal gut microbiota in Slovenian healthy cohort. </w:t>
      </w:r>
      <w:r>
        <w:rPr>
          <w:i/>
          <w:iCs/>
        </w:rPr>
        <w:t>PLoS ONE</w:t>
      </w:r>
      <w:r>
        <w:t xml:space="preserve">, </w:t>
      </w:r>
      <w:r>
        <w:rPr>
          <w:i/>
          <w:iCs/>
        </w:rPr>
        <w:t>13</w:t>
      </w:r>
      <w:r>
        <w:t>(12), e0209209. https://doi.org/10.1371/journal.pone.0209209</w:t>
      </w:r>
    </w:p>
    <w:p w14:paraId="0D150FB7" w14:textId="77777777" w:rsidR="001C2A55" w:rsidRDefault="001C2A55" w:rsidP="001C2A55">
      <w:pPr>
        <w:pStyle w:val="Bibliografija"/>
      </w:pPr>
      <w:r>
        <w:t xml:space="preserve">Malin, J. J., von Wintersdorff, C. J. H., Penders, J., Savelkoul, P. H. M., &amp; Wolffs, P. F. G. (2023). Longitudinal fluctuations of common antimicrobial resistance genes in the gut microbiomes of healthy Dutch individuals. </w:t>
      </w:r>
      <w:r>
        <w:rPr>
          <w:i/>
          <w:iCs/>
        </w:rPr>
        <w:t>International Journal of Antimicrobial Agents</w:t>
      </w:r>
      <w:r>
        <w:t xml:space="preserve">, </w:t>
      </w:r>
      <w:r>
        <w:rPr>
          <w:i/>
          <w:iCs/>
        </w:rPr>
        <w:t>61</w:t>
      </w:r>
      <w:r>
        <w:t>(3), 106716. https://doi.org/10.1016/j.ijantimicag.2023.106716</w:t>
      </w:r>
    </w:p>
    <w:p w14:paraId="7C08950D" w14:textId="77777777" w:rsidR="001C2A55" w:rsidRDefault="001C2A55" w:rsidP="001C2A55">
      <w:pPr>
        <w:pStyle w:val="Bibliografija"/>
      </w:pPr>
      <w:r>
        <w:t xml:space="preserve">Maric, L., Janezic, S., Coia, C. W., Roer, L., &amp; Rupnik, M. (2025). Limited clonality but widespread plasmid sharing of ESBL-producing E. coli between humans and the environment of northeastern Slovenia. </w:t>
      </w:r>
      <w:r>
        <w:rPr>
          <w:i/>
          <w:iCs/>
        </w:rPr>
        <w:t>Current Research in Microbial Sciences</w:t>
      </w:r>
      <w:r>
        <w:t xml:space="preserve">, </w:t>
      </w:r>
      <w:r>
        <w:rPr>
          <w:i/>
          <w:iCs/>
        </w:rPr>
        <w:t>9</w:t>
      </w:r>
      <w:r>
        <w:t>, 100408. https://doi.org/10.1016/j.crmicr.2025.100408</w:t>
      </w:r>
    </w:p>
    <w:p w14:paraId="704B0F0D" w14:textId="77777777" w:rsidR="001C2A55" w:rsidRDefault="001C2A55" w:rsidP="001C2A55">
      <w:pPr>
        <w:pStyle w:val="Bibliografija"/>
      </w:pPr>
      <w:r>
        <w:t xml:space="preserve">Mars, R. A. T., Yang, Y., Ward, T., Houtti, M., Priya, S., Lekatz, H. R., Tang, X., Sun, Z., Kalari, K. R., Korem, T., Bhattarai, Y., Zheng, T., Bar, N., Frost, G., Johnson, A. J., van Treuren, W., Han, S., Ordog, T., Grover, M., … Kashyap, P. C. (2020). Longitudinal Multi-omics Reveals Subset-Specific Mechanisms Underlying Irritable Bowel Syndrome. </w:t>
      </w:r>
      <w:r>
        <w:rPr>
          <w:i/>
          <w:iCs/>
        </w:rPr>
        <w:t>Cell</w:t>
      </w:r>
      <w:r>
        <w:t xml:space="preserve">, </w:t>
      </w:r>
      <w:r>
        <w:rPr>
          <w:i/>
          <w:iCs/>
        </w:rPr>
        <w:t>182</w:t>
      </w:r>
      <w:r>
        <w:t>(6), 1460-1473.e17. https://doi.org/10.1016/j.cell.2020.08.007</w:t>
      </w:r>
    </w:p>
    <w:p w14:paraId="0A8D6554" w14:textId="77777777" w:rsidR="001C2A55" w:rsidRDefault="001C2A55" w:rsidP="001C2A55">
      <w:pPr>
        <w:pStyle w:val="Bibliografija"/>
      </w:pPr>
      <w:r>
        <w:t xml:space="preserve">Martínez, I., Muller, C. E., &amp; Walter, J. (2013). Long-Term Temporal Analysis of the Human Fecal Microbiota Revealed a Stable Core of Dominant Bacterial Species. </w:t>
      </w:r>
      <w:r>
        <w:rPr>
          <w:i/>
          <w:iCs/>
        </w:rPr>
        <w:t>PLOS ONE</w:t>
      </w:r>
      <w:r>
        <w:t xml:space="preserve">, </w:t>
      </w:r>
      <w:r>
        <w:rPr>
          <w:i/>
          <w:iCs/>
        </w:rPr>
        <w:t>8</w:t>
      </w:r>
      <w:r>
        <w:t>(7), e69621. https://doi.org/10.1371/journal.pone.0069621</w:t>
      </w:r>
    </w:p>
    <w:p w14:paraId="6D7507E0" w14:textId="77777777" w:rsidR="001C2A55" w:rsidRDefault="001C2A55" w:rsidP="001C2A55">
      <w:pPr>
        <w:pStyle w:val="Bibliografija"/>
      </w:pPr>
      <w:r>
        <w:t xml:space="preserve">Martino, C., Dilmore, A. H., Burcham, Z. M., Metcalf, J. L., Jeste, D., &amp; Knight, R. (2022). Microbiota succession throughout life from the cradle to the grave. </w:t>
      </w:r>
      <w:r>
        <w:rPr>
          <w:i/>
          <w:iCs/>
        </w:rPr>
        <w:t>Nature Reviews Microbiology</w:t>
      </w:r>
      <w:r>
        <w:t>, 1–14. https://doi.org/10.1038/s41579-022-00768-z</w:t>
      </w:r>
    </w:p>
    <w:p w14:paraId="3DBC1DB4" w14:textId="77777777" w:rsidR="001C2A55" w:rsidRDefault="001C2A55" w:rsidP="001C2A55">
      <w:pPr>
        <w:pStyle w:val="Bibliografija"/>
      </w:pPr>
      <w:r>
        <w:t xml:space="preserve">Martinson, J. N. V., Pinkham, N. V., Peters, G. W., Cho, H., Heng, J., Rauch, M., Broadaway, S. C., &amp; Walk, S. T. (2019). Rethinking gut microbiome residency and the Enterobacteriaceae </w:t>
      </w:r>
      <w:r>
        <w:lastRenderedPageBreak/>
        <w:t xml:space="preserve">in healthy human adults. </w:t>
      </w:r>
      <w:r>
        <w:rPr>
          <w:i/>
          <w:iCs/>
        </w:rPr>
        <w:t>The ISME Journal</w:t>
      </w:r>
      <w:r>
        <w:t xml:space="preserve">, </w:t>
      </w:r>
      <w:r>
        <w:rPr>
          <w:i/>
          <w:iCs/>
        </w:rPr>
        <w:t>13</w:t>
      </w:r>
      <w:r>
        <w:t>(9), Article 9. https://doi.org/10.1038/s41396-019-0435-7</w:t>
      </w:r>
    </w:p>
    <w:p w14:paraId="74CC49A5" w14:textId="77777777" w:rsidR="001C2A55" w:rsidRDefault="001C2A55" w:rsidP="001C2A55">
      <w:pPr>
        <w:pStyle w:val="Bibliografija"/>
      </w:pPr>
      <w:r>
        <w:t xml:space="preserve">Medvedeva, S., Borrel, G., Krupovic, M., &amp; Gribaldo, S. (2023). A compendium of viruses from methanogenic archaea reveals their diversity and adaptations to the gut environment. </w:t>
      </w:r>
      <w:r>
        <w:rPr>
          <w:i/>
          <w:iCs/>
        </w:rPr>
        <w:t>Nature Microbiology</w:t>
      </w:r>
      <w:r>
        <w:t xml:space="preserve">, </w:t>
      </w:r>
      <w:r>
        <w:rPr>
          <w:i/>
          <w:iCs/>
        </w:rPr>
        <w:t>8</w:t>
      </w:r>
      <w:r>
        <w:t>(11), 2170–2182. https://doi.org/10.1038/s41564-023-01485-w</w:t>
      </w:r>
    </w:p>
    <w:p w14:paraId="5C32352D" w14:textId="77777777" w:rsidR="001C2A55" w:rsidRDefault="001C2A55" w:rsidP="001C2A55">
      <w:pPr>
        <w:pStyle w:val="Bibliografija"/>
      </w:pPr>
      <w:r>
        <w:t xml:space="preserve">Mehta, R. S., Abu-Ali, G. S., Drew, D. A., Lloyd-Price, J., Subramanian, A., Lochhead, P., Joshi, A. D., Ivey, K. L., Khalili, H., Brown, G. T., DuLong, C., Song, M., Nguyen, L. H., Mallick, H., Rimm, E. B., Izard, J., Huttenhower, C., &amp; Chan, A. T. (2018). Stability of the human faecal microbiome in a cohort of adult men. </w:t>
      </w:r>
      <w:r>
        <w:rPr>
          <w:i/>
          <w:iCs/>
        </w:rPr>
        <w:t>Nature Microbiology</w:t>
      </w:r>
      <w:r>
        <w:t xml:space="preserve">, </w:t>
      </w:r>
      <w:r>
        <w:rPr>
          <w:i/>
          <w:iCs/>
        </w:rPr>
        <w:t>3</w:t>
      </w:r>
      <w:r>
        <w:t>(3), Article 3. https://doi.org/10.1038/s41564-017-0096-0</w:t>
      </w:r>
    </w:p>
    <w:p w14:paraId="0D2EF178" w14:textId="77777777" w:rsidR="001C2A55" w:rsidRDefault="001C2A55" w:rsidP="001C2A55">
      <w:pPr>
        <w:pStyle w:val="Bibliografija"/>
      </w:pPr>
      <w:r>
        <w:t xml:space="preserve">Mohammadi, R., Morovati, H., &amp; Safari, F. (2025). The human mycobiome: A critical yet understudied component of health and disease. </w:t>
      </w:r>
      <w:r>
        <w:rPr>
          <w:i/>
          <w:iCs/>
        </w:rPr>
        <w:t>Microbiology</w:t>
      </w:r>
      <w:r>
        <w:t xml:space="preserve">, </w:t>
      </w:r>
      <w:r>
        <w:rPr>
          <w:i/>
          <w:iCs/>
        </w:rPr>
        <w:t>171</w:t>
      </w:r>
      <w:r>
        <w:t>(12), 001631. https://doi.org/10.1099/mic.0.001631</w:t>
      </w:r>
    </w:p>
    <w:p w14:paraId="5CF22E35" w14:textId="77777777" w:rsidR="001C2A55" w:rsidRPr="001C2A55" w:rsidRDefault="001C2A55" w:rsidP="001C2A55">
      <w:pPr>
        <w:pStyle w:val="Bibliografija"/>
        <w:rPr>
          <w:lang w:val="es-ES"/>
          <w:rPrChange w:id="1254" w:author="Urša Miklavčič" w:date="2026-04-28T11:18:00Z" w16du:dateUtc="2026-04-28T09:18:00Z">
            <w:rPr/>
          </w:rPrChange>
        </w:rPr>
      </w:pPr>
      <w:r>
        <w:t xml:space="preserve">Nash, A. K., Auchtung, T. A., Wong, M. C., Smith, D. P., Gesell, J. R., Ross, M. C., Stewart, C. J., Metcalf, G. A., Muzny, D. M., Gibbs, R. A., Ajami, N. J., &amp; Petrosino, J. F. (2017). The gut mycobiome of the Human Microbiome Project healthy cohort. </w:t>
      </w:r>
      <w:r w:rsidRPr="001C2A55">
        <w:rPr>
          <w:i/>
          <w:iCs/>
          <w:lang w:val="es-ES"/>
          <w:rPrChange w:id="1255" w:author="Urša Miklavčič" w:date="2026-04-28T11:18:00Z" w16du:dateUtc="2026-04-28T09:18:00Z">
            <w:rPr>
              <w:i/>
              <w:iCs/>
            </w:rPr>
          </w:rPrChange>
        </w:rPr>
        <w:t>Microbiome</w:t>
      </w:r>
      <w:r w:rsidRPr="001C2A55">
        <w:rPr>
          <w:lang w:val="es-ES"/>
          <w:rPrChange w:id="1256" w:author="Urša Miklavčič" w:date="2026-04-28T11:18:00Z" w16du:dateUtc="2026-04-28T09:18:00Z">
            <w:rPr/>
          </w:rPrChange>
        </w:rPr>
        <w:t xml:space="preserve">, </w:t>
      </w:r>
      <w:r w:rsidRPr="001C2A55">
        <w:rPr>
          <w:i/>
          <w:iCs/>
          <w:lang w:val="es-ES"/>
          <w:rPrChange w:id="1257" w:author="Urša Miklavčič" w:date="2026-04-28T11:18:00Z" w16du:dateUtc="2026-04-28T09:18:00Z">
            <w:rPr>
              <w:i/>
              <w:iCs/>
            </w:rPr>
          </w:rPrChange>
        </w:rPr>
        <w:t>5</w:t>
      </w:r>
      <w:r w:rsidRPr="001C2A55">
        <w:rPr>
          <w:lang w:val="es-ES"/>
          <w:rPrChange w:id="1258" w:author="Urša Miklavčič" w:date="2026-04-28T11:18:00Z" w16du:dateUtc="2026-04-28T09:18:00Z">
            <w:rPr/>
          </w:rPrChange>
        </w:rPr>
        <w:t>(1), 153. https://doi.org/10.1186/s40168-017-0373-4</w:t>
      </w:r>
    </w:p>
    <w:p w14:paraId="51E38823" w14:textId="77777777" w:rsidR="001C2A55" w:rsidRDefault="001C2A55" w:rsidP="001C2A55">
      <w:pPr>
        <w:pStyle w:val="Bibliografija"/>
      </w:pPr>
      <w:r w:rsidRPr="001C2A55">
        <w:rPr>
          <w:lang w:val="es-ES"/>
          <w:rPrChange w:id="1259" w:author="Urša Miklavčič" w:date="2026-04-28T11:18:00Z" w16du:dateUtc="2026-04-28T09:18:00Z">
            <w:rPr/>
          </w:rPrChange>
        </w:rPr>
        <w:t xml:space="preserve">Nayfach, S., Rodriguez-Mueller, B., Garud, N., &amp; Pollard, K. S. (2016). </w:t>
      </w:r>
      <w:r>
        <w:t xml:space="preserve">An integrated metagenomics pipeline for strain profiling reveals novel patterns of bacterial transmission and biogeography. </w:t>
      </w:r>
      <w:r>
        <w:rPr>
          <w:i/>
          <w:iCs/>
        </w:rPr>
        <w:t>Genome Research</w:t>
      </w:r>
      <w:r>
        <w:t xml:space="preserve">, </w:t>
      </w:r>
      <w:r>
        <w:rPr>
          <w:i/>
          <w:iCs/>
        </w:rPr>
        <w:t>26</w:t>
      </w:r>
      <w:r>
        <w:t>(11), 1612–1625. https://doi.org/10.1101/gr.201863.115</w:t>
      </w:r>
    </w:p>
    <w:p w14:paraId="20EA7B3C" w14:textId="77777777" w:rsidR="001C2A55" w:rsidRDefault="001C2A55" w:rsidP="001C2A55">
      <w:pPr>
        <w:pStyle w:val="Bibliografija"/>
      </w:pPr>
      <w:r>
        <w:t xml:space="preserve">Normington, C., Moura, I. B., Bryant, J. A., Ewin, D. J., Clark, E. V., Kettle, M. J., Harris, H. C., Spittal, W., Davis, G., Henn, M. R., Ford, C. B., Wilcox, M. H., &amp; Buckley, A. M. (2021). </w:t>
      </w:r>
      <w:r>
        <w:lastRenderedPageBreak/>
        <w:t xml:space="preserve">Biofilms harbour Clostridioides difficile, serving as a reservoir for recurrent infection. </w:t>
      </w:r>
      <w:r>
        <w:rPr>
          <w:i/>
          <w:iCs/>
        </w:rPr>
        <w:t>Npj Biofilms and Microbiomes</w:t>
      </w:r>
      <w:r>
        <w:t xml:space="preserve">, </w:t>
      </w:r>
      <w:r>
        <w:rPr>
          <w:i/>
          <w:iCs/>
        </w:rPr>
        <w:t>7</w:t>
      </w:r>
      <w:r>
        <w:t>(1), 1–10. https://doi.org/10.1038/s41522-021-00184-w</w:t>
      </w:r>
    </w:p>
    <w:p w14:paraId="5E868270" w14:textId="77777777" w:rsidR="001C2A55" w:rsidRDefault="001C2A55" w:rsidP="001C2A55">
      <w:pPr>
        <w:pStyle w:val="Bibliografija"/>
      </w:pPr>
      <w:r>
        <w:t xml:space="preserve">Oksanen, J. (n.d.-a). </w:t>
      </w:r>
      <w:r>
        <w:rPr>
          <w:i/>
          <w:iCs/>
        </w:rPr>
        <w:t>Multivariate Analysis of Ecological Communities in R: vegan tutorial</w:t>
      </w:r>
      <w:r>
        <w:t>. 43.</w:t>
      </w:r>
    </w:p>
    <w:p w14:paraId="6946F420" w14:textId="77777777" w:rsidR="001C2A55" w:rsidRDefault="001C2A55" w:rsidP="001C2A55">
      <w:pPr>
        <w:pStyle w:val="Bibliografija"/>
      </w:pPr>
      <w:r>
        <w:t xml:space="preserve">Oksanen, J. (n.d.-b). </w:t>
      </w:r>
      <w:r>
        <w:rPr>
          <w:i/>
          <w:iCs/>
        </w:rPr>
        <w:t>Vegan: An introduction to ordination</w:t>
      </w:r>
      <w:r>
        <w:t>. 12.</w:t>
      </w:r>
    </w:p>
    <w:p w14:paraId="62106FFA" w14:textId="77777777" w:rsidR="001C2A55" w:rsidRDefault="001C2A55" w:rsidP="001C2A55">
      <w:pPr>
        <w:pStyle w:val="Bibliografija"/>
      </w:pPr>
      <w:r>
        <w:t xml:space="preserve">Oksanen, J., Blanchet, F. G., Friendly, M., Kindt, R., Legendre, P., McGlinn, D., Minchin, P. R., O’Hara, R. B., Simpson, G. L., &amp; Solymos, P. (2022). </w:t>
      </w:r>
      <w:r>
        <w:rPr>
          <w:i/>
          <w:iCs/>
        </w:rPr>
        <w:t>vegan: Community Ecology Package. R package version 2.5–7. 2020</w:t>
      </w:r>
      <w:r>
        <w:t>.</w:t>
      </w:r>
    </w:p>
    <w:p w14:paraId="2BA4A96E" w14:textId="77777777" w:rsidR="001C2A55" w:rsidRDefault="001C2A55" w:rsidP="001C2A55">
      <w:pPr>
        <w:pStyle w:val="Bibliografija"/>
      </w:pPr>
      <w:r>
        <w:t xml:space="preserve">Olsson, L. M., Boulund, F., Nilsson, S., Khan, M. T., Gummesson, A., Fagerberg, L., Engstrand, L., Perkins, R., Uhlén, M., Bergström, G., Tremaroli, V., &amp; Bäckhed, F. (2022). Dynamics of the normal gut microbiota: A longitudinal one-year population study in Sweden. </w:t>
      </w:r>
      <w:r>
        <w:rPr>
          <w:i/>
          <w:iCs/>
        </w:rPr>
        <w:t>Cell Host &amp; Microbe</w:t>
      </w:r>
      <w:r>
        <w:t xml:space="preserve">, </w:t>
      </w:r>
      <w:r>
        <w:rPr>
          <w:i/>
          <w:iCs/>
        </w:rPr>
        <w:t>30</w:t>
      </w:r>
      <w:r>
        <w:t>(5), 726-739.e3. https://doi.org/10.1016/j.chom.2022.03.002</w:t>
      </w:r>
    </w:p>
    <w:p w14:paraId="6704B21B" w14:textId="77777777" w:rsidR="001C2A55" w:rsidRDefault="001C2A55" w:rsidP="001C2A55">
      <w:pPr>
        <w:pStyle w:val="Bibliografija"/>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https://doi.org/10.3390/microorganisms9081651</w:t>
      </w:r>
    </w:p>
    <w:p w14:paraId="3A31AB26" w14:textId="77777777" w:rsidR="001C2A55" w:rsidRDefault="001C2A55" w:rsidP="001C2A55">
      <w:pPr>
        <w:pStyle w:val="Bibliografija"/>
      </w:pPr>
      <w:r>
        <w:t xml:space="preserve">Page, A. J., Cummins, C. A., Hunt, M., Wong, V. K., Reuter, S., Holden, M. T. G., Fookes, M., Falush, D., Keane, J. A., &amp; Parkhill, J. (2015). Roary: Rapid large-scale prokaryote pan genome analysis. </w:t>
      </w:r>
      <w:r>
        <w:rPr>
          <w:i/>
          <w:iCs/>
        </w:rPr>
        <w:t>Bioinformatics (Oxford, England)</w:t>
      </w:r>
      <w:r>
        <w:t xml:space="preserve">, </w:t>
      </w:r>
      <w:r>
        <w:rPr>
          <w:i/>
          <w:iCs/>
        </w:rPr>
        <w:t>31</w:t>
      </w:r>
      <w:r>
        <w:t>(22), 3691–3693. https://doi.org/10.1093/bioinformatics/btv421</w:t>
      </w:r>
    </w:p>
    <w:p w14:paraId="1E7F9584" w14:textId="77777777" w:rsidR="001C2A55" w:rsidRDefault="001C2A55" w:rsidP="001C2A55">
      <w:pPr>
        <w:pStyle w:val="Bibliografija"/>
      </w:pPr>
      <w:r w:rsidRPr="001C2A55">
        <w:rPr>
          <w:lang w:val="es-ES"/>
          <w:rPrChange w:id="1260" w:author="Urša Miklavčič" w:date="2026-04-28T11:18:00Z" w16du:dateUtc="2026-04-28T09:18:00Z">
            <w:rPr/>
          </w:rPrChange>
        </w:rPr>
        <w:t xml:space="preserve">Peng, H., Andreu-Sanchez, S., Ruiz-Moreno, A. J., Fernández-Pato, A., Wu, J., Gacesa, R., Zhernakova, A., Wang, D., &amp; Fu, J. (2025). </w:t>
      </w:r>
      <w:r>
        <w:t xml:space="preserve">Longitudinal gut microbiota tracking reveals the dynamics of horizontal gene transfer. </w:t>
      </w:r>
      <w:r>
        <w:rPr>
          <w:i/>
          <w:iCs/>
        </w:rPr>
        <w:t>Nature Communications</w:t>
      </w:r>
      <w:r>
        <w:t xml:space="preserve">, </w:t>
      </w:r>
      <w:r>
        <w:rPr>
          <w:i/>
          <w:iCs/>
        </w:rPr>
        <w:t>16</w:t>
      </w:r>
      <w:r>
        <w:t>(1), 11543. https://doi.org/10.1038/s41467-025-66612-z</w:t>
      </w:r>
    </w:p>
    <w:p w14:paraId="1F97B216" w14:textId="77777777" w:rsidR="001C2A55" w:rsidRDefault="001C2A55" w:rsidP="001C2A55">
      <w:pPr>
        <w:pStyle w:val="Bibliografija"/>
      </w:pPr>
      <w:r>
        <w:lastRenderedPageBreak/>
        <w:t xml:space="preserve">Peres-Neto, P. R., &amp; Jackson, D. A. (2001). How well do multivariate data sets match? The advantages of a Procrustean superimposition approach over the Mantel test. </w:t>
      </w:r>
      <w:r>
        <w:rPr>
          <w:i/>
          <w:iCs/>
        </w:rPr>
        <w:t>Oecologia</w:t>
      </w:r>
      <w:r>
        <w:t xml:space="preserve">, </w:t>
      </w:r>
      <w:r>
        <w:rPr>
          <w:i/>
          <w:iCs/>
        </w:rPr>
        <w:t>129</w:t>
      </w:r>
      <w:r>
        <w:t>(2), 169–178. https://doi.org/10.1007/s004420100720</w:t>
      </w:r>
    </w:p>
    <w:p w14:paraId="1997B443" w14:textId="77777777" w:rsidR="001C2A55" w:rsidRDefault="001C2A55" w:rsidP="001C2A55">
      <w:pPr>
        <w:pStyle w:val="Bibliografija"/>
      </w:pPr>
      <w:r>
        <w:t xml:space="preserve">Poyet, M., Groussin, M., Gibbons, S. M., Avila-Pacheco, J., Jiang, X., Kearney, S. M., Perrotta, A. R., Berdy, B., Zhao, S., Lieberman, T. D., Swanson, P. K., Smith, M., Roesemann, S., Alexander, J. E., Rich, S. A., Livny, J., Vlamakis, H., Clish, C., Bullock, K., … Alm, E. J. (2019). A library of human gut bacterial isolates paired with longitudinal multiomics data enables mechanistic microbiome research. </w:t>
      </w:r>
      <w:r>
        <w:rPr>
          <w:i/>
          <w:iCs/>
        </w:rPr>
        <w:t>Nature Medicine</w:t>
      </w:r>
      <w:r>
        <w:t xml:space="preserve">, </w:t>
      </w:r>
      <w:r>
        <w:rPr>
          <w:i/>
          <w:iCs/>
        </w:rPr>
        <w:t>25</w:t>
      </w:r>
      <w:r>
        <w:t>(9), 1442–1452. https://doi.org/10.1038/s41591-019-0559-3</w:t>
      </w:r>
    </w:p>
    <w:p w14:paraId="6BEB1FA4" w14:textId="77777777" w:rsidR="001C2A55" w:rsidRDefault="001C2A55" w:rsidP="001C2A55">
      <w:pPr>
        <w:pStyle w:val="Bibliografija"/>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https://doi.org/10.1039/C5AY02550H</w:t>
      </w:r>
    </w:p>
    <w:p w14:paraId="3629C459" w14:textId="77777777" w:rsidR="001C2A55" w:rsidRDefault="001C2A55" w:rsidP="001C2A55">
      <w:pPr>
        <w:pStyle w:val="Bibliografija"/>
      </w:pPr>
      <w:r>
        <w:t xml:space="preserve">Prjibelski, A., Antipov, D., Meleshko, D., Lapidus, A., &amp; Korobeynikov, A. (2020). Using SPAdes De Novo Assembler. </w:t>
      </w:r>
      <w:r>
        <w:rPr>
          <w:i/>
          <w:iCs/>
        </w:rPr>
        <w:t>Current Protocols in Bioinformatics</w:t>
      </w:r>
      <w:r>
        <w:t xml:space="preserve">, </w:t>
      </w:r>
      <w:r>
        <w:rPr>
          <w:i/>
          <w:iCs/>
        </w:rPr>
        <w:t>70</w:t>
      </w:r>
      <w:r>
        <w:t>(1), e102. https://doi.org/10.1002/cpbi.102</w:t>
      </w:r>
    </w:p>
    <w:p w14:paraId="7B5E6837" w14:textId="77777777" w:rsidR="001C2A55" w:rsidRDefault="001C2A55" w:rsidP="001C2A55">
      <w:pPr>
        <w:pStyle w:val="Bibliografija"/>
      </w:pPr>
      <w:r>
        <w:rPr>
          <w:i/>
          <w:iCs/>
        </w:rPr>
        <w:t>Project Environments</w:t>
      </w:r>
      <w:r>
        <w:t>. (n.d.). Retrieved November 7, 2025, from https://rstudio.github.io/renv/</w:t>
      </w:r>
    </w:p>
    <w:p w14:paraId="6FD0F6AC" w14:textId="77777777" w:rsidR="001C2A55" w:rsidRDefault="001C2A55" w:rsidP="001C2A55">
      <w:pPr>
        <w:pStyle w:val="Bibliografija"/>
      </w:pPr>
      <w:r>
        <w:t xml:space="preserve">Pruesse, E., Quast, C., Knittel, K., Fuchs, B. M., Ludwig, W., Peplies,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https://doi.org/10.1093/nar/gkm864</w:t>
      </w:r>
    </w:p>
    <w:p w14:paraId="3E940584" w14:textId="77777777" w:rsidR="001C2A55" w:rsidRDefault="001C2A55" w:rsidP="001C2A55">
      <w:pPr>
        <w:pStyle w:val="Bibliografija"/>
      </w:pPr>
      <w:r>
        <w:rPr>
          <w:i/>
          <w:iCs/>
        </w:rPr>
        <w:t>Quinlan AR and Hall IM, 2010. BEDTools: A flexible suite of utilities for comparing genomic features. Bioinformatics. 26, 6, pp. 841–842. - Google Search</w:t>
      </w:r>
      <w:r>
        <w:t>. (n.d.). Retrieved November 10, 2025, from https://www.google.com/search?q=Quinlan+AR+and+Hall+IM%2C+2010.+BEDTools%</w:t>
      </w:r>
      <w:r>
        <w:lastRenderedPageBreak/>
        <w:t>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4FA47B7C" w14:textId="77777777" w:rsidR="001C2A55" w:rsidRDefault="001C2A55" w:rsidP="001C2A55">
      <w:pPr>
        <w:pStyle w:val="Bibliografija"/>
      </w:pPr>
      <w:r>
        <w:rPr>
          <w:i/>
          <w:iCs/>
        </w:rPr>
        <w:t>R: The R Project for Statistical Computing</w:t>
      </w:r>
      <w:r>
        <w:t>. (n.d.). Retrieved October 21, 2025, from https://www.r-project.org/</w:t>
      </w:r>
    </w:p>
    <w:p w14:paraId="7422186A" w14:textId="77777777" w:rsidR="001C2A55" w:rsidRDefault="001C2A55" w:rsidP="001C2A55">
      <w:pPr>
        <w:pStyle w:val="Bibliografija"/>
      </w:pPr>
      <w:r w:rsidRPr="001C2A55">
        <w:rPr>
          <w:lang w:val="es-ES"/>
          <w:rPrChange w:id="1261" w:author="Urša Miklavčič" w:date="2026-04-28T11:18:00Z" w16du:dateUtc="2026-04-28T09:18:00Z">
            <w:rPr/>
          </w:rPrChange>
        </w:rPr>
        <w:t xml:space="preserve">Rajilić-Stojanović, M., &amp; de Vos, W. M. (2014). </w:t>
      </w:r>
      <w:r>
        <w:t xml:space="preserve">The first 1000 cultured species of the human gastrointestinal microbiota. </w:t>
      </w:r>
      <w:r>
        <w:rPr>
          <w:i/>
          <w:iCs/>
        </w:rPr>
        <w:t>FEMS Microbiology Reviews</w:t>
      </w:r>
      <w:r>
        <w:t xml:space="preserve">, </w:t>
      </w:r>
      <w:r>
        <w:rPr>
          <w:i/>
          <w:iCs/>
        </w:rPr>
        <w:t>38</w:t>
      </w:r>
      <w:r>
        <w:t>(5), 996–1047. https://doi.org/10.1111/1574-6976.12075</w:t>
      </w:r>
    </w:p>
    <w:p w14:paraId="5B0F8893" w14:textId="77777777" w:rsidR="001C2A55" w:rsidRDefault="001C2A55" w:rsidP="001C2A55">
      <w:pPr>
        <w:pStyle w:val="Bibliografija"/>
      </w:pPr>
      <w:r>
        <w:t xml:space="preserve">Rajilić-Stojanović, M., Heilig, H. G. H. J., Tims, S., Zoetendal, E. G., &amp; de Vos, W. M. (2013). Long-term monitoring of the human intestinal microbiota composition. </w:t>
      </w:r>
      <w:r>
        <w:rPr>
          <w:i/>
          <w:iCs/>
        </w:rPr>
        <w:t>Environmental Microbiology</w:t>
      </w:r>
      <w:r>
        <w:t xml:space="preserve">, </w:t>
      </w:r>
      <w:r>
        <w:rPr>
          <w:i/>
          <w:iCs/>
        </w:rPr>
        <w:t>15</w:t>
      </w:r>
      <w:r>
        <w:t>(4), 1146–1159. https://doi.org/10.1111/1462-2920.12023</w:t>
      </w:r>
    </w:p>
    <w:p w14:paraId="7DF76928" w14:textId="77777777" w:rsidR="001C2A55" w:rsidRDefault="001C2A55" w:rsidP="001C2A55">
      <w:pPr>
        <w:pStyle w:val="Bibliografija"/>
      </w:pPr>
      <w:r w:rsidRPr="001C2A55">
        <w:rPr>
          <w:lang w:val="es-ES"/>
          <w:rPrChange w:id="1262" w:author="Urša Miklavčič" w:date="2026-04-28T11:18:00Z" w16du:dateUtc="2026-04-28T09:18:00Z">
            <w:rPr/>
          </w:rPrChange>
        </w:rPr>
        <w:t xml:space="preserve">Ramos-Silva, P., Serrano, M., &amp; Henriques, A. O. (2019). </w:t>
      </w:r>
      <w:r>
        <w:t xml:space="preserve">From Root to Tips: Sporulation Evolution and Specialization in Bacillus subtilis and the Intestinal Pathogen Clostridioides difficile. </w:t>
      </w:r>
      <w:r>
        <w:rPr>
          <w:i/>
          <w:iCs/>
        </w:rPr>
        <w:t>Molecular Biology and Evolution</w:t>
      </w:r>
      <w:r>
        <w:t xml:space="preserve">, </w:t>
      </w:r>
      <w:r>
        <w:rPr>
          <w:i/>
          <w:iCs/>
        </w:rPr>
        <w:t>36</w:t>
      </w:r>
      <w:r>
        <w:t>(12), 2714–2736. https://doi.org/10.1093/molbev/msz175</w:t>
      </w:r>
    </w:p>
    <w:p w14:paraId="178A2A1B" w14:textId="77777777" w:rsidR="001C2A55" w:rsidRDefault="001C2A55" w:rsidP="001C2A55">
      <w:pPr>
        <w:pStyle w:val="Bibliografija"/>
      </w:pPr>
      <w:r>
        <w:t xml:space="preserve">Rampelli, S., Schnorr, S. L., Consolandi, C., Turroni, S., Severgnini, M., Peano, C., Brigidi, P., Crittenden, A. N., Henry, A. G., &amp; Candela, M. (2015). Metagenome Sequencing of the Hadza Hunter-Gatherer Gut Microbiota. </w:t>
      </w:r>
      <w:r>
        <w:rPr>
          <w:i/>
          <w:iCs/>
        </w:rPr>
        <w:t>Current Biology</w:t>
      </w:r>
      <w:r>
        <w:t xml:space="preserve">, </w:t>
      </w:r>
      <w:r>
        <w:rPr>
          <w:i/>
          <w:iCs/>
        </w:rPr>
        <w:t>25</w:t>
      </w:r>
      <w:r>
        <w:t>(13), 1682–1693. https://doi.org/10.1016/j.cub.2015.04.055</w:t>
      </w:r>
    </w:p>
    <w:p w14:paraId="2A7E09FA" w14:textId="77777777" w:rsidR="001C2A55" w:rsidRDefault="001C2A55" w:rsidP="001C2A55">
      <w:pPr>
        <w:pStyle w:val="Bibliografija"/>
      </w:pPr>
      <w:r>
        <w:rPr>
          <w:i/>
          <w:iCs/>
        </w:rPr>
        <w:t>Read Excel Files</w:t>
      </w:r>
      <w:r>
        <w:t>. (n.d.). Retrieved November 7, 2025, from https://readxl.tidyverse.org/</w:t>
      </w:r>
    </w:p>
    <w:p w14:paraId="40519031" w14:textId="77777777" w:rsidR="001C2A55" w:rsidRDefault="001C2A55" w:rsidP="001C2A55">
      <w:pPr>
        <w:pStyle w:val="Bibliografija"/>
      </w:pPr>
      <w:r>
        <w:lastRenderedPageBreak/>
        <w:t xml:space="preserve">Salvage, R., Hull, C. M., Kelly, D. E., &amp; Kelly, S. L. (2014). Use of 70% alcohol for the routine removal of microbial hard surface bioburden in life science cleanrooms. </w:t>
      </w:r>
      <w:r>
        <w:rPr>
          <w:i/>
          <w:iCs/>
        </w:rPr>
        <w:t>Future Microbiology</w:t>
      </w:r>
      <w:r>
        <w:t xml:space="preserve">, </w:t>
      </w:r>
      <w:r>
        <w:rPr>
          <w:i/>
          <w:iCs/>
        </w:rPr>
        <w:t>9</w:t>
      </w:r>
      <w:r>
        <w:t>(10), 1123–1130. https://doi.org/10.2217/fmb.14.73</w:t>
      </w:r>
    </w:p>
    <w:p w14:paraId="14156F83" w14:textId="77777777" w:rsidR="001C2A55" w:rsidRDefault="001C2A55" w:rsidP="001C2A55">
      <w:pPr>
        <w:pStyle w:val="Bibliografija"/>
      </w:pPr>
      <w:r>
        <w:t xml:space="preserve">Sayers, E. W., Beck, J., Bolton, E. E., Brister, J. R., Chan, J., Connor, R., Feldgarden, M., Fine, A. M., Funk, K., Hoffman, J., Kannan, S., Kelly, C., Klimke, W., Kim, S., Lathrop, S., Marchler-Bauer, A., Murphy, T. D., O’Sullivan, C., Schmieder, E., … Pruitt, K. D. (2024). Database resources of the National Center for Biotechnology Information in 2025. </w:t>
      </w:r>
      <w:r>
        <w:rPr>
          <w:i/>
          <w:iCs/>
        </w:rPr>
        <w:t>Nucleic Acids Research</w:t>
      </w:r>
      <w:r>
        <w:t xml:space="preserve">, </w:t>
      </w:r>
      <w:r>
        <w:rPr>
          <w:i/>
          <w:iCs/>
        </w:rPr>
        <w:t>53</w:t>
      </w:r>
      <w:r>
        <w:t>(D1), D20–D29. https://doi.org/10.1093/nar/gkae979</w:t>
      </w:r>
    </w:p>
    <w:p w14:paraId="1563A18D" w14:textId="77777777" w:rsidR="001C2A55" w:rsidRDefault="001C2A55" w:rsidP="001C2A55">
      <w:pPr>
        <w:pStyle w:val="Bibliografija"/>
      </w:pPr>
      <w:r>
        <w:rPr>
          <w:i/>
          <w:iCs/>
        </w:rPr>
        <w:t>Scale Functions for Visualization</w:t>
      </w:r>
      <w:r>
        <w:t>. (n.d.). Retrieved November 7, 2025, from https://scales.r-lib.org/</w:t>
      </w:r>
    </w:p>
    <w:p w14:paraId="2A39511A" w14:textId="77777777" w:rsidR="001C2A55" w:rsidRDefault="001C2A55" w:rsidP="001C2A55">
      <w:pPr>
        <w:pStyle w:val="Bibliografija"/>
      </w:pPr>
      <w:r>
        <w:t xml:space="preserve">Schlomann, B. H., &amp; Parthasarathy, R. (2019). Timescales of gut microbiome dynamics. </w:t>
      </w:r>
      <w:r>
        <w:rPr>
          <w:i/>
          <w:iCs/>
        </w:rPr>
        <w:t>Current Opinion in Microbiology, Microbiota</w:t>
      </w:r>
      <w:r>
        <w:t xml:space="preserve">, </w:t>
      </w:r>
      <w:r>
        <w:rPr>
          <w:i/>
          <w:iCs/>
        </w:rPr>
        <w:t>50</w:t>
      </w:r>
      <w:r>
        <w:t>, 56–63. https://doi.org/10.1016/j.mib.2019.09.011</w:t>
      </w:r>
    </w:p>
    <w:p w14:paraId="73E912BB" w14:textId="77777777" w:rsidR="001C2A55" w:rsidRDefault="001C2A55" w:rsidP="001C2A55">
      <w:pPr>
        <w:pStyle w:val="Bibliografija"/>
      </w:pPr>
      <w: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Pr>
          <w:i/>
          <w:iCs/>
        </w:rPr>
        <w:t>Applied and Environmental Microbiology</w:t>
      </w:r>
      <w:r>
        <w:t xml:space="preserve">, </w:t>
      </w:r>
      <w:r>
        <w:rPr>
          <w:i/>
          <w:iCs/>
        </w:rPr>
        <w:t>75</w:t>
      </w:r>
      <w:r>
        <w:t>(23), 7537–7541. https://doi.org/10.1128/AEM.01541-09</w:t>
      </w:r>
    </w:p>
    <w:p w14:paraId="4F808A4A" w14:textId="77777777" w:rsidR="001C2A55" w:rsidRDefault="001C2A55" w:rsidP="001C2A55">
      <w:pPr>
        <w:pStyle w:val="Bibliografija"/>
      </w:pPr>
      <w:r>
        <w:t xml:space="preserve">Schwartz, D. A., Lehmkuhl, B. K., &amp; Lennon, J. T. (2022). Phage-Encoded Sigma Factors Alter Bacterial Dormancy. </w:t>
      </w:r>
      <w:r>
        <w:rPr>
          <w:i/>
          <w:iCs/>
        </w:rPr>
        <w:t>mSphere</w:t>
      </w:r>
      <w:r>
        <w:t xml:space="preserve">, </w:t>
      </w:r>
      <w:r>
        <w:rPr>
          <w:i/>
          <w:iCs/>
        </w:rPr>
        <w:t>0</w:t>
      </w:r>
      <w:r>
        <w:t>(0), e00297-22. https://doi.org/10.1128/msphere.00297-22</w:t>
      </w:r>
    </w:p>
    <w:p w14:paraId="11462A8D" w14:textId="77777777" w:rsidR="001C2A55" w:rsidRDefault="001C2A55" w:rsidP="001C2A55">
      <w:pPr>
        <w:pStyle w:val="Bibliografija"/>
      </w:pPr>
      <w:r>
        <w:t xml:space="preserve">Seemann, T. (2014). Prokka: Rapid prokaryotic genome annotation. </w:t>
      </w:r>
      <w:r>
        <w:rPr>
          <w:i/>
          <w:iCs/>
        </w:rPr>
        <w:t>Bioinformatics</w:t>
      </w:r>
      <w:r>
        <w:t xml:space="preserve">, </w:t>
      </w:r>
      <w:r>
        <w:rPr>
          <w:i/>
          <w:iCs/>
        </w:rPr>
        <w:t>30</w:t>
      </w:r>
      <w:r>
        <w:t>(14), 2068–2069. https://doi.org/10.1093/bioinformatics/btu153</w:t>
      </w:r>
    </w:p>
    <w:p w14:paraId="4BDB2BC1" w14:textId="77777777" w:rsidR="001C2A55" w:rsidRDefault="001C2A55" w:rsidP="001C2A55">
      <w:pPr>
        <w:pStyle w:val="Bibliografija"/>
      </w:pPr>
      <w:r>
        <w:lastRenderedPageBreak/>
        <w:t xml:space="preserve">Seemann, T. (2022). </w:t>
      </w:r>
      <w:r>
        <w:rPr>
          <w:i/>
          <w:iCs/>
        </w:rPr>
        <w:t>Snippy</w:t>
      </w:r>
      <w:r>
        <w:t xml:space="preserve"> [Perl]. https://github.com/tseemann/snippy (Original work published 2014)</w:t>
      </w:r>
    </w:p>
    <w:p w14:paraId="322A5E5C" w14:textId="77777777" w:rsidR="001C2A55" w:rsidRDefault="001C2A55" w:rsidP="001C2A55">
      <w:pPr>
        <w:pStyle w:val="Bibliografija"/>
      </w:pPr>
      <w:r>
        <w:t xml:space="preserve">Setlow, P. (2006). Spores of Bacillus subtilis: Their resistance to and killing by radiation, heat and chemicals. </w:t>
      </w:r>
      <w:r>
        <w:rPr>
          <w:i/>
          <w:iCs/>
        </w:rPr>
        <w:t>Journal of Applied Microbiology</w:t>
      </w:r>
      <w:r>
        <w:t xml:space="preserve">, </w:t>
      </w:r>
      <w:r>
        <w:rPr>
          <w:i/>
          <w:iCs/>
        </w:rPr>
        <w:t>101</w:t>
      </w:r>
      <w:r>
        <w:t>(3), 514–525. https://doi.org/10.1111/j.1365-2672.2005.02736.x</w:t>
      </w:r>
    </w:p>
    <w:p w14:paraId="1E72C1B2" w14:textId="77777777" w:rsidR="001C2A55" w:rsidRDefault="001C2A55" w:rsidP="001C2A55">
      <w:pPr>
        <w:pStyle w:val="Bibliografija"/>
      </w:pPr>
      <w:r>
        <w:t xml:space="preserve">Setlow, P. (2014). Spore Resistance Properties. </w:t>
      </w:r>
      <w:r>
        <w:rPr>
          <w:i/>
          <w:iCs/>
        </w:rPr>
        <w:t>Microbiology Spectrum</w:t>
      </w:r>
      <w:r>
        <w:t xml:space="preserve">, </w:t>
      </w:r>
      <w:r>
        <w:rPr>
          <w:i/>
          <w:iCs/>
        </w:rPr>
        <w:t>2</w:t>
      </w:r>
      <w:r>
        <w:t>(5), 10.1128/microbiolspec.tbs-0003–2012. https://doi.org/10.1128/microbiolspec.tbs-0003-2012</w:t>
      </w:r>
    </w:p>
    <w:p w14:paraId="337D8E13" w14:textId="77777777" w:rsidR="001C2A55" w:rsidRDefault="001C2A55" w:rsidP="001C2A55">
      <w:pPr>
        <w:pStyle w:val="Bibliografija"/>
      </w:pPr>
      <w:r>
        <w:t xml:space="preserve">Setlow, P. (2019). Observations on research with spores of Bacillales and Clostridiales species. </w:t>
      </w:r>
      <w:r>
        <w:rPr>
          <w:i/>
          <w:iCs/>
        </w:rPr>
        <w:t>Journal of Applied Microbiology</w:t>
      </w:r>
      <w:r>
        <w:t xml:space="preserve">, </w:t>
      </w:r>
      <w:r>
        <w:rPr>
          <w:i/>
          <w:iCs/>
        </w:rPr>
        <w:t>126</w:t>
      </w:r>
      <w:r>
        <w:t>(2), 348–358. https://doi.org/10.1111/jam.14067</w:t>
      </w:r>
    </w:p>
    <w:p w14:paraId="72C04285" w14:textId="77777777" w:rsidR="001C2A55" w:rsidRDefault="001C2A55" w:rsidP="001C2A55">
      <w:pPr>
        <w:pStyle w:val="Bibliografija"/>
      </w:pPr>
      <w:r>
        <w:t xml:space="preserve">Setlow, P., Wang, S., &amp; Li, Y.-Q. (2017). Germination of Spores of the Orders Bacillales and Clostridiales. </w:t>
      </w:r>
      <w:r>
        <w:rPr>
          <w:i/>
          <w:iCs/>
        </w:rPr>
        <w:t>Annual Review of Microbiology</w:t>
      </w:r>
      <w:r>
        <w:t xml:space="preserve">, </w:t>
      </w:r>
      <w:r>
        <w:rPr>
          <w:i/>
          <w:iCs/>
        </w:rPr>
        <w:t>71</w:t>
      </w:r>
      <w:r>
        <w:t>, 459–477. https://doi.org/10.1146/annurev-micro-090816-093558</w:t>
      </w:r>
    </w:p>
    <w:p w14:paraId="54C4DD6E" w14:textId="77777777" w:rsidR="001C2A55" w:rsidRDefault="001C2A55" w:rsidP="001C2A55">
      <w:pPr>
        <w:pStyle w:val="Bibliografija"/>
      </w:pPr>
      <w:r>
        <w:t xml:space="preserve">Shade, A., Peter, H., Allison, S. D., Baho, D., Berga, M., Buergmann, H., Huber, D. H., Langenheder, S., Lennon, J. T., Martiny, J. B., Matulich, K. L., Schmidt, T. M., &amp; Handelsman, J. (2012). Fundamentals of Microbial Community Resistance and Resilience. </w:t>
      </w:r>
      <w:r>
        <w:rPr>
          <w:i/>
          <w:iCs/>
        </w:rPr>
        <w:t>Frontiers in Microbiology</w:t>
      </w:r>
      <w:r>
        <w:t xml:space="preserve">, </w:t>
      </w:r>
      <w:r>
        <w:rPr>
          <w:i/>
          <w:iCs/>
        </w:rPr>
        <w:t>3</w:t>
      </w:r>
      <w:r>
        <w:t>. https://doi.org/10.3389/fmicb.2012.00417</w:t>
      </w:r>
    </w:p>
    <w:p w14:paraId="1F6F9B35" w14:textId="77777777" w:rsidR="001C2A55" w:rsidRDefault="001C2A55" w:rsidP="001C2A55">
      <w:pPr>
        <w:pStyle w:val="Bibliografija"/>
      </w:pPr>
      <w:r>
        <w:t xml:space="preserve">Shkoporov, A. N., Clooney, A. G., Sutton, T. D. S., Ryan, F. J., Daly, K. M., Nolan, J. A., McDonnell, S. A., Khokhlova, E. V., Draper, L. A., Forde, A., Guerin, E., Velayudhan, V., Ross, R. P., &amp; Hill, C. (2019). The Human Gut Virome Is Highly Diverse, Stable, and Individual Specific. </w:t>
      </w:r>
      <w:r>
        <w:rPr>
          <w:i/>
          <w:iCs/>
        </w:rPr>
        <w:t>Cell Host &amp; Microbe</w:t>
      </w:r>
      <w:r>
        <w:t xml:space="preserve">, </w:t>
      </w:r>
      <w:r>
        <w:rPr>
          <w:i/>
          <w:iCs/>
        </w:rPr>
        <w:t>26</w:t>
      </w:r>
      <w:r>
        <w:t>(4), 527-541.e5. https://doi.org/10.1016/j.chom.2019.09.009</w:t>
      </w:r>
    </w:p>
    <w:p w14:paraId="17A1F65B" w14:textId="77777777" w:rsidR="001C2A55" w:rsidRDefault="001C2A55" w:rsidP="001C2A55">
      <w:pPr>
        <w:pStyle w:val="Bibliografija"/>
      </w:pPr>
      <w:r>
        <w:t xml:space="preserve">Sinha, T., Vich Vila, A., Garmaeva, S., Jankipersadsing, S. A., Imhann, F., Collij, V., Bonder, M. J., Jiang, X., Gurry, T., Alm, E. J., D’Amato, M., Weersma, R. K., Scherjon, S., Wijmenga, </w:t>
      </w:r>
      <w:r>
        <w:lastRenderedPageBreak/>
        <w:t xml:space="preserve">C., Fu, J., Kurilshikov, A., &amp; Zhernakova, A. (2018). Analysis of 1135 gut metagenomes identifies sex-specific resistome profiles. </w:t>
      </w:r>
      <w:r>
        <w:rPr>
          <w:i/>
          <w:iCs/>
        </w:rPr>
        <w:t>Gut Microbes</w:t>
      </w:r>
      <w:r>
        <w:t xml:space="preserve">, </w:t>
      </w:r>
      <w:r>
        <w:rPr>
          <w:i/>
          <w:iCs/>
        </w:rPr>
        <w:t>10</w:t>
      </w:r>
      <w:r>
        <w:t>(3), 358–366. https://doi.org/10.1080/19490976.2018.1528822</w:t>
      </w:r>
    </w:p>
    <w:p w14:paraId="3B74BA14" w14:textId="77777777" w:rsidR="001C2A55" w:rsidRDefault="001C2A55" w:rsidP="001C2A55">
      <w:pPr>
        <w:pStyle w:val="Bibliografija"/>
      </w:pPr>
      <w:r>
        <w:rPr>
          <w:i/>
          <w:iCs/>
        </w:rPr>
        <w:t>Slovenia: National One Health strategy for the management of microbial resistance 2019-2024 (Slovenian)</w:t>
      </w:r>
      <w:r>
        <w:t>. (n.d.). Retrieved January 19, 2026, from https://www.who.int/publications/m/item/slovenia-national-one-health-strategy-for-the-management-of-microbial-resistance-2019-2024</w:t>
      </w:r>
    </w:p>
    <w:p w14:paraId="081373E0" w14:textId="77777777" w:rsidR="001C2A55" w:rsidRDefault="001C2A55" w:rsidP="001C2A55">
      <w:pPr>
        <w:pStyle w:val="Bibliografija"/>
      </w:pPr>
      <w:r>
        <w:t xml:space="preserve">Soavelomandroso, A. P., Gaudin, F., Hoys, S., Nicolas, V., Vedantam, G., Janoir, C., &amp; Bouttier, S. (2017). Biofilm Structures in a Mono-Associated Mouse Model of Clostridium difficile Infection. </w:t>
      </w:r>
      <w:r>
        <w:rPr>
          <w:i/>
          <w:iCs/>
        </w:rPr>
        <w:t>Frontiers in Microbiology</w:t>
      </w:r>
      <w:r>
        <w:t xml:space="preserve">, </w:t>
      </w:r>
      <w:r>
        <w:rPr>
          <w:i/>
          <w:iCs/>
        </w:rPr>
        <w:t>8</w:t>
      </w:r>
      <w:r>
        <w:t>, 2086. https://doi.org/10.3389/fmicb.2017.02086</w:t>
      </w:r>
    </w:p>
    <w:p w14:paraId="6D510D59" w14:textId="77777777" w:rsidR="001C2A55" w:rsidRDefault="001C2A55" w:rsidP="001C2A55">
      <w:pPr>
        <w:pStyle w:val="Bibliografija"/>
      </w:pPr>
      <w:r>
        <w:t xml:space="preserve">Song, H. S., Kim, Y. B., Kim, J. Y., Roh, S. W., &amp; Whon, T. W. (2024). </w:t>
      </w:r>
      <w:r>
        <w:rPr>
          <w:i/>
          <w:iCs/>
        </w:rPr>
        <w:t>Advances in Culturomics Research on the Human Gut Microbiome: Optimizing Medium Composition and Culture Techniques for Enhanced Microbial Discovery</w:t>
      </w:r>
      <w:r>
        <w:t xml:space="preserve">. </w:t>
      </w:r>
      <w:r>
        <w:rPr>
          <w:i/>
          <w:iCs/>
        </w:rPr>
        <w:t>34</w:t>
      </w:r>
      <w:r>
        <w:t>(4), 757–764. https://doi.org/10.4014/jmb.2311.11024</w:t>
      </w:r>
    </w:p>
    <w:p w14:paraId="5979F948" w14:textId="77777777" w:rsidR="001C2A55" w:rsidRDefault="001C2A55" w:rsidP="001C2A55">
      <w:pPr>
        <w:pStyle w:val="Bibliografija"/>
      </w:pPr>
      <w:r>
        <w:t xml:space="preserve">Sun, Y., Zuo, T., Cheung, C. P., Gu, W., Wan, Y., Zhang, F., Chen, N., Zhan, H., Yeoh, Y. K., Niu, J., Du, Y., Zhang, F., Wen, Y., Yu, J., Sung, J. J. Y., Chan, P. K. S., Chan, F. K. L., Wang, K., Ng, S. C., &amp; Miao, Y. (2021). Population-Level Configurations of Gut Mycobiome Across 6 Ethnicities in Urban and Rural China. </w:t>
      </w:r>
      <w:r>
        <w:rPr>
          <w:i/>
          <w:iCs/>
        </w:rPr>
        <w:t>Gastroenterology</w:t>
      </w:r>
      <w:r>
        <w:t xml:space="preserve">, </w:t>
      </w:r>
      <w:r>
        <w:rPr>
          <w:i/>
          <w:iCs/>
        </w:rPr>
        <w:t>160</w:t>
      </w:r>
      <w:r>
        <w:t>(1), 272-286.e11. https://doi.org/10.1053/j.gastro.2020.09.014</w:t>
      </w:r>
    </w:p>
    <w:p w14:paraId="375D1300" w14:textId="77777777" w:rsidR="001C2A55" w:rsidRDefault="001C2A55" w:rsidP="001C2A55">
      <w:pPr>
        <w:pStyle w:val="Bibliografija"/>
      </w:pPr>
      <w:r>
        <w:t xml:space="preserve">Sunde, E. P., Setlow, P., Hederstedt, L., &amp; Halle, B. (2009). The physical state of water in bacterial spores. </w:t>
      </w:r>
      <w:r>
        <w:rPr>
          <w:i/>
          <w:iCs/>
        </w:rPr>
        <w:t>Proceedings of the National Academy of Sciences</w:t>
      </w:r>
      <w:r>
        <w:t xml:space="preserve">, </w:t>
      </w:r>
      <w:r>
        <w:rPr>
          <w:i/>
          <w:iCs/>
        </w:rPr>
        <w:t>106</w:t>
      </w:r>
      <w:r>
        <w:t>(46), 19334–19339. https://doi.org/10.1073/pnas.0908712106</w:t>
      </w:r>
    </w:p>
    <w:p w14:paraId="08AECAA9" w14:textId="77777777" w:rsidR="001C2A55" w:rsidRDefault="001C2A55" w:rsidP="001C2A55">
      <w:pPr>
        <w:pStyle w:val="Bibliografija"/>
      </w:pPr>
      <w:r>
        <w:lastRenderedPageBreak/>
        <w:t xml:space="preserve">Swick, M. C., Koehler, T. M., &amp; Driks, A. (2016). Surviving Between Hosts: Sporulation and Transmission. </w:t>
      </w:r>
      <w:r>
        <w:rPr>
          <w:i/>
          <w:iCs/>
        </w:rPr>
        <w:t>Microbiology Spectrum</w:t>
      </w:r>
      <w:r>
        <w:t xml:space="preserve">, </w:t>
      </w:r>
      <w:r>
        <w:rPr>
          <w:i/>
          <w:iCs/>
        </w:rPr>
        <w:t>4</w:t>
      </w:r>
      <w:r>
        <w:t>(4), 10.1128/microbiolspec.VMBF-0029–2015. https://doi.org/10.1128/microbiolspec.VMBF-0029-2015</w:t>
      </w:r>
    </w:p>
    <w:p w14:paraId="34A158D6" w14:textId="77777777" w:rsidR="001C2A55" w:rsidRDefault="001C2A55" w:rsidP="001C2A55">
      <w:pPr>
        <w:pStyle w:val="Bibliografija"/>
      </w:pPr>
      <w:r>
        <w:t xml:space="preserve">Tamura, K., Stecher, G., &amp; Kumar, S. (2021). MEGA11: Molecular Evolutionary Genetics Analysis Version 11. </w:t>
      </w:r>
      <w:r>
        <w:rPr>
          <w:i/>
          <w:iCs/>
        </w:rPr>
        <w:t>Molecular Biology and Evolution</w:t>
      </w:r>
      <w:r>
        <w:t xml:space="preserve">, </w:t>
      </w:r>
      <w:r>
        <w:rPr>
          <w:i/>
          <w:iCs/>
        </w:rPr>
        <w:t>38</w:t>
      </w:r>
      <w:r>
        <w:t>(7), 3022–3027. https://doi.org/10.1093/molbev/msab120</w:t>
      </w:r>
    </w:p>
    <w:p w14:paraId="2CD9E05C" w14:textId="77777777" w:rsidR="001C2A55" w:rsidRDefault="001C2A55" w:rsidP="001C2A55">
      <w:pPr>
        <w:pStyle w:val="Bibliografija"/>
      </w:pPr>
      <w:r>
        <w:t xml:space="preserve">Tanaka, M., Onizuka, S., Mishima, R., &amp; Nakayama, J. (2020). Cultural isolation of spore-forming bacteria in human feces using bile acids. </w:t>
      </w:r>
      <w:r>
        <w:rPr>
          <w:i/>
          <w:iCs/>
        </w:rPr>
        <w:t>Scientific Reports</w:t>
      </w:r>
      <w:r>
        <w:t xml:space="preserve">, </w:t>
      </w:r>
      <w:r>
        <w:rPr>
          <w:i/>
          <w:iCs/>
        </w:rPr>
        <w:t>10</w:t>
      </w:r>
      <w:r>
        <w:t>, 15041. https://doi.org/10.1038/s41598-020-71883-1</w:t>
      </w:r>
    </w:p>
    <w:p w14:paraId="3D81025D" w14:textId="77777777" w:rsidR="001C2A55" w:rsidRDefault="001C2A55" w:rsidP="001C2A55">
      <w:pPr>
        <w:pStyle w:val="Bibliografija"/>
      </w:pPr>
      <w:r>
        <w:t xml:space="preserve">Tetz, G., &amp; Tetz, V. (2017). Introducing the sporobiota and sporobiome. </w:t>
      </w:r>
      <w:r>
        <w:rPr>
          <w:i/>
          <w:iCs/>
        </w:rPr>
        <w:t>Gut Pathogens</w:t>
      </w:r>
      <w:r>
        <w:t xml:space="preserve">, </w:t>
      </w:r>
      <w:r>
        <w:rPr>
          <w:i/>
          <w:iCs/>
        </w:rPr>
        <w:t>9</w:t>
      </w:r>
      <w:r>
        <w:t>(1), 38. https://doi.org/10.1186/s13099-017-0187-8</w:t>
      </w:r>
    </w:p>
    <w:p w14:paraId="19447491" w14:textId="77777777" w:rsidR="001C2A55" w:rsidRDefault="001C2A55" w:rsidP="001C2A55">
      <w:pPr>
        <w:pStyle w:val="Bibliografija"/>
      </w:pPr>
      <w:r>
        <w:t xml:space="preserve">Thomas, P. (2012). Long-term survival of Bacillus spores in alcohol and identification of 90% ethanol as relatively more spori/bactericidal. </w:t>
      </w:r>
      <w:r>
        <w:rPr>
          <w:i/>
          <w:iCs/>
        </w:rPr>
        <w:t>Current Microbiology</w:t>
      </w:r>
      <w:r>
        <w:t xml:space="preserve">, </w:t>
      </w:r>
      <w:r>
        <w:rPr>
          <w:i/>
          <w:iCs/>
        </w:rPr>
        <w:t>64</w:t>
      </w:r>
      <w:r>
        <w:t>(2), 130–139. https://doi.org/10.1007/s00284-011-0040-0</w:t>
      </w:r>
    </w:p>
    <w:p w14:paraId="72389CCA" w14:textId="77777777" w:rsidR="001C2A55" w:rsidRDefault="001C2A55" w:rsidP="001C2A55">
      <w:pPr>
        <w:pStyle w:val="Bibliografija"/>
      </w:pPr>
      <w:r>
        <w:t xml:space="preserve">Thursby, E., &amp; Juge, N. (2017). Introduction to the human gut microbiota. </w:t>
      </w:r>
      <w:r>
        <w:rPr>
          <w:i/>
          <w:iCs/>
        </w:rPr>
        <w:t>Biochemical Journal</w:t>
      </w:r>
      <w:r>
        <w:t xml:space="preserve">, </w:t>
      </w:r>
      <w:r>
        <w:rPr>
          <w:i/>
          <w:iCs/>
        </w:rPr>
        <w:t>474</w:t>
      </w:r>
      <w:r>
        <w:t>(11), 1823–1836. https://doi.org/10.1042/BCJ20160510</w:t>
      </w:r>
    </w:p>
    <w:p w14:paraId="00E3E17B" w14:textId="77777777" w:rsidR="001C2A55" w:rsidRDefault="001C2A55" w:rsidP="001C2A55">
      <w:pPr>
        <w:pStyle w:val="Bibliografija"/>
      </w:pPr>
      <w:r>
        <w:t xml:space="preserve">Tidjani Alou, M., Naud, S., Khelaifia, S., Bonnet, M., Lagier, J.-C., &amp; Raoult, D. (2020). State of the Art in the Culture of the Human Microbiota: New Interests and Strategies. </w:t>
      </w:r>
      <w:r>
        <w:rPr>
          <w:i/>
          <w:iCs/>
        </w:rPr>
        <w:t>Clinical Microbiology Reviews</w:t>
      </w:r>
      <w:r>
        <w:t xml:space="preserve">, </w:t>
      </w:r>
      <w:r>
        <w:rPr>
          <w:i/>
          <w:iCs/>
        </w:rPr>
        <w:t>34</w:t>
      </w:r>
      <w:r>
        <w:t>(1), 10.1128/cmr.00129-19. https://doi.org/10.1128/cmr.00129-19</w:t>
      </w:r>
    </w:p>
    <w:p w14:paraId="414DD4F8" w14:textId="77777777" w:rsidR="001C2A55" w:rsidRDefault="001C2A55" w:rsidP="001C2A55">
      <w:pPr>
        <w:pStyle w:val="Bibliografija"/>
      </w:pPr>
      <w:r>
        <w:t xml:space="preserve">tidyverse. (2025). </w:t>
      </w:r>
      <w:r>
        <w:rPr>
          <w:i/>
          <w:iCs/>
        </w:rPr>
        <w:t>Tidyverse/glue</w:t>
      </w:r>
      <w:r>
        <w:t xml:space="preserve"> [R]. https://github.com/tidyverse/glue (Original work published 2016)</w:t>
      </w:r>
    </w:p>
    <w:p w14:paraId="61F00B27" w14:textId="77777777" w:rsidR="001C2A55" w:rsidRDefault="001C2A55" w:rsidP="001C2A55">
      <w:pPr>
        <w:pStyle w:val="Bibliografija"/>
      </w:pPr>
      <w:r w:rsidRPr="001C2A55">
        <w:rPr>
          <w:lang w:val="es-ES"/>
          <w:rPrChange w:id="1263" w:author="Urša Miklavčič" w:date="2026-04-28T11:18:00Z" w16du:dateUtc="2026-04-28T09:18:00Z">
            <w:rPr/>
          </w:rPrChange>
        </w:rPr>
        <w:t xml:space="preserve">Turroni, S., Rampelli, S., Biagi, E., Consolandi, C., Severgnini, M., Peano, C., Quercia, S., Soverini, M., Carbonero, F. G., Bianconi, G., Rettberg, P., Canganella, F., Brigidi, P., &amp; </w:t>
      </w:r>
      <w:r w:rsidRPr="001C2A55">
        <w:rPr>
          <w:lang w:val="es-ES"/>
          <w:rPrChange w:id="1264" w:author="Urša Miklavčič" w:date="2026-04-28T11:18:00Z" w16du:dateUtc="2026-04-28T09:18:00Z">
            <w:rPr/>
          </w:rPrChange>
        </w:rPr>
        <w:lastRenderedPageBreak/>
        <w:t xml:space="preserve">Candela, M. (2017). </w:t>
      </w:r>
      <w:r>
        <w:t xml:space="preserve">Temporal dynamics of the gut microbiota in people sharing a confined environment, a 520-day ground-based space simulation, MARS500. </w:t>
      </w:r>
      <w:r>
        <w:rPr>
          <w:i/>
          <w:iCs/>
        </w:rPr>
        <w:t>Microbiome</w:t>
      </w:r>
      <w:r>
        <w:t xml:space="preserve">, </w:t>
      </w:r>
      <w:r>
        <w:rPr>
          <w:i/>
          <w:iCs/>
        </w:rPr>
        <w:t>5</w:t>
      </w:r>
      <w:r>
        <w:t>(1), 39. https://doi.org/10.1186/s40168-017-0256-8</w:t>
      </w:r>
    </w:p>
    <w:p w14:paraId="50E8D366" w14:textId="77777777" w:rsidR="001C2A55" w:rsidRDefault="001C2A55" w:rsidP="001C2A55">
      <w:pPr>
        <w:pStyle w:val="Bibliografija"/>
      </w:pPr>
      <w:r>
        <w:t xml:space="preserve">Valles-Colomer, M., Blanco-Míguez, A., Manghi, P., Asnicar, F., Dubois, L., Golzato, D., Armanini, F., Cumbo, F., Huang, K. D., Manara, S., Masetti, G., Pinto, F., Piperni, E., Punčochář, M., Ricci, L., Zolfo, M., Farrant, O., Goncalves, A., Selma-Royo, M., … Segata, N. (2023). The person-to-person transmission landscape of the gut and oral microbiomes. </w:t>
      </w:r>
      <w:r>
        <w:rPr>
          <w:i/>
          <w:iCs/>
        </w:rPr>
        <w:t>Nature</w:t>
      </w:r>
      <w:r>
        <w:t xml:space="preserve">, </w:t>
      </w:r>
      <w:r>
        <w:rPr>
          <w:i/>
          <w:iCs/>
        </w:rPr>
        <w:t>614</w:t>
      </w:r>
      <w:r>
        <w:t>(7946), Article 7946. https://doi.org/10.1038/s41586-022-05620-1</w:t>
      </w:r>
    </w:p>
    <w:p w14:paraId="0F02D00B" w14:textId="77777777" w:rsidR="001C2A55" w:rsidRDefault="001C2A55" w:rsidP="001C2A55">
      <w:pPr>
        <w:pStyle w:val="Bibliografija"/>
      </w:pPr>
      <w:r>
        <w:t xml:space="preserve">Van Rossum, T., Ferretti, P., Maistrenko, O. M., &amp; Bork, P. (2020). Diversity within species: Interpreting strains in microbiomes. </w:t>
      </w:r>
      <w:r>
        <w:rPr>
          <w:i/>
          <w:iCs/>
        </w:rPr>
        <w:t>Nature Reviews Microbiology</w:t>
      </w:r>
      <w:r>
        <w:t xml:space="preserve">, </w:t>
      </w:r>
      <w:r>
        <w:rPr>
          <w:i/>
          <w:iCs/>
        </w:rPr>
        <w:t>18</w:t>
      </w:r>
      <w:r>
        <w:t>(9), 491–506. https://doi.org/10.1038/s41579-020-0368-1</w:t>
      </w:r>
    </w:p>
    <w:p w14:paraId="79F3DD41" w14:textId="77777777" w:rsidR="001C2A55" w:rsidRDefault="001C2A55" w:rsidP="001C2A55">
      <w:pPr>
        <w:pStyle w:val="Bibliografija"/>
      </w:pPr>
      <w:r>
        <w:t xml:space="preserve">Wickham, H., Averick, M., Bryan, J., Chang, W., McGowan, L., François, R., Grolemund, G., Hayes, A., Henry, L., Hester, J., Kuhn, M., Pedersen, T., Miller, E., Bache, S., Müller, K., Ooms, J., Robinson, D., Seidel, D., Spinu, V., … Yutani, H. (2019). Welcome to the Tidyverse. </w:t>
      </w:r>
      <w:r>
        <w:rPr>
          <w:i/>
          <w:iCs/>
        </w:rPr>
        <w:t>Journal of Open Source Software</w:t>
      </w:r>
      <w:r>
        <w:t xml:space="preserve">, </w:t>
      </w:r>
      <w:r>
        <w:rPr>
          <w:i/>
          <w:iCs/>
        </w:rPr>
        <w:t>4</w:t>
      </w:r>
      <w:r>
        <w:t>(43), 1686. https://doi.org/10.21105/joss.01686</w:t>
      </w:r>
    </w:p>
    <w:p w14:paraId="1B7C0DB6" w14:textId="77777777" w:rsidR="001C2A55" w:rsidRDefault="001C2A55" w:rsidP="001C2A55">
      <w:pPr>
        <w:pStyle w:val="Bibliografija"/>
      </w:pPr>
      <w:r>
        <w:t xml:space="preserve">Willmann, M., Vehreschild, M. J. G. T., Biehl, L. M., Vogel, W., Dörfel, D., Hamprecht, A., Seifert, H., Autenrieth, I. B., &amp; Peter, S. (2019). Distinct impact of antibiotics on the gut microbiome and resistome: A longitudinal multicenter cohort study. </w:t>
      </w:r>
      <w:r>
        <w:rPr>
          <w:i/>
          <w:iCs/>
        </w:rPr>
        <w:t>BMC Biology</w:t>
      </w:r>
      <w:r>
        <w:t xml:space="preserve">, </w:t>
      </w:r>
      <w:r>
        <w:rPr>
          <w:i/>
          <w:iCs/>
        </w:rPr>
        <w:t>17</w:t>
      </w:r>
      <w:r>
        <w:t>(1), 76. https://doi.org/10.1186/s12915-019-0692-y</w:t>
      </w:r>
    </w:p>
    <w:p w14:paraId="0126C5C7" w14:textId="77777777" w:rsidR="001C2A55" w:rsidRDefault="001C2A55" w:rsidP="001C2A55">
      <w:pPr>
        <w:pStyle w:val="Bibliografija"/>
      </w:pPr>
      <w:r>
        <w:t xml:space="preserve">Wolff, R., Shoemaker, W., &amp; Garud, N. (2023). Ecological Stability Emerges at the Level of Strains in the Human Gut Microbiome. </w:t>
      </w:r>
      <w:r>
        <w:rPr>
          <w:i/>
          <w:iCs/>
        </w:rPr>
        <w:t>mBio</w:t>
      </w:r>
      <w:r>
        <w:t xml:space="preserve">, </w:t>
      </w:r>
      <w:r>
        <w:rPr>
          <w:i/>
          <w:iCs/>
        </w:rPr>
        <w:t>14</w:t>
      </w:r>
      <w:r>
        <w:t>(2), e02502-22. https://doi.org/10.1128/mbio.02502-22</w:t>
      </w:r>
    </w:p>
    <w:p w14:paraId="477E21C8" w14:textId="77777777" w:rsidR="001C2A55" w:rsidRDefault="001C2A55" w:rsidP="001C2A55">
      <w:pPr>
        <w:pStyle w:val="Bibliografija"/>
      </w:pPr>
      <w:r>
        <w:lastRenderedPageBreak/>
        <w:t xml:space="preserve">Worby, C. J., Schreiber, H. L., Straub, T. J., van Dijk, L. R., Bronson, R. A., Olson, B. S., Pinkner, J. S., Obernuefemann, C. L. P., Muñoz, V. L., Paharik, A. E., Azimzadeh, P. N., Walker, B. J., Desjardins, C. A., Chou, W.-C., Bergeron, K., Chapman, S. B., Klim, A., Manson, A. L., Hannan, T. J., … Earl, A. M. (2022). Longitudinal multi-omics analyses link gut microbiome dysbiosis with recurrent urinary tract infections in women. </w:t>
      </w:r>
      <w:r>
        <w:rPr>
          <w:i/>
          <w:iCs/>
        </w:rPr>
        <w:t>Nature Microbiology</w:t>
      </w:r>
      <w:r>
        <w:t xml:space="preserve">, </w:t>
      </w:r>
      <w:r>
        <w:rPr>
          <w:i/>
          <w:iCs/>
        </w:rPr>
        <w:t>7</w:t>
      </w:r>
      <w:r>
        <w:t>(5), Article 5. https://doi.org/10.1038/s41564-022-01107-x</w:t>
      </w:r>
    </w:p>
    <w:p w14:paraId="4CE2E23A" w14:textId="77777777" w:rsidR="001C2A55" w:rsidRDefault="001C2A55" w:rsidP="001C2A55">
      <w:pPr>
        <w:pStyle w:val="Bibliografija"/>
      </w:pPr>
      <w:r>
        <w:t xml:space="preserve">Wuethrich, I., W. Pelzer, B., Khodamoradi, Y., &amp; Vehreschild, M. J. G. T. (2021). The role of the human gut microbiota in colonization and infection with multidrug-resistant bacteria. </w:t>
      </w:r>
      <w:r>
        <w:rPr>
          <w:i/>
          <w:iCs/>
        </w:rPr>
        <w:t>Gut Microbes</w:t>
      </w:r>
      <w:r>
        <w:t xml:space="preserve">, </w:t>
      </w:r>
      <w:r>
        <w:rPr>
          <w:i/>
          <w:iCs/>
        </w:rPr>
        <w:t>13</w:t>
      </w:r>
      <w:r>
        <w:t>(1), 1911279. https://doi.org/10.1080/19490976.2021.1911279</w:t>
      </w:r>
    </w:p>
    <w:p w14:paraId="370DB7F1" w14:textId="77777777" w:rsidR="001C2A55" w:rsidRDefault="001C2A55" w:rsidP="001C2A55">
      <w:pPr>
        <w:pStyle w:val="Bibliografija"/>
      </w:pPr>
      <w:r>
        <w:t xml:space="preserve">Wylie, K. M., Mihindukulasuriya, K. A., Zhou, Y., Sodergren, E., Storch, G. A., &amp; Weinstock, G. M. (2014). Metagenomic analysis of double-stranded DNA viruses in healthy adults. </w:t>
      </w:r>
      <w:r>
        <w:rPr>
          <w:i/>
          <w:iCs/>
        </w:rPr>
        <w:t>BMC Biology</w:t>
      </w:r>
      <w:r>
        <w:t xml:space="preserve">, </w:t>
      </w:r>
      <w:r>
        <w:rPr>
          <w:i/>
          <w:iCs/>
        </w:rPr>
        <w:t>12</w:t>
      </w:r>
      <w:r>
        <w:t>, 71. https://doi.org/10.1186/s12915-014-0071-7</w:t>
      </w:r>
    </w:p>
    <w:p w14:paraId="24566F78" w14:textId="77777777" w:rsidR="001C2A55" w:rsidRDefault="001C2A55" w:rsidP="001C2A55">
      <w:pPr>
        <w:pStyle w:val="Bibliografija"/>
      </w:pPr>
      <w:r>
        <w:t xml:space="preserve">Xia, Y., Zhu, Y., Li, Q., &amp; Lu, J. (2019). Human gut resistome can be country-specific. </w:t>
      </w:r>
      <w:r>
        <w:rPr>
          <w:i/>
          <w:iCs/>
        </w:rPr>
        <w:t>PeerJ</w:t>
      </w:r>
      <w:r>
        <w:t xml:space="preserve">, </w:t>
      </w:r>
      <w:r>
        <w:rPr>
          <w:i/>
          <w:iCs/>
        </w:rPr>
        <w:t>7</w:t>
      </w:r>
      <w:r>
        <w:t>, e6389. https://doi.org/10.7717/peerj.6389</w:t>
      </w:r>
    </w:p>
    <w:p w14:paraId="22FF1D0C" w14:textId="77777777" w:rsidR="001C2A55" w:rsidRDefault="001C2A55" w:rsidP="001C2A55">
      <w:pPr>
        <w:pStyle w:val="Bibliografija"/>
      </w:pPr>
      <w:r>
        <w:t xml:space="preserve">Yassour, M., Jason, E., Hogstrom, L. J., Arthur, T. D., Tripathi, S., Siljander, H., Selvenius, J., Oikarinen, S., Hyöty, H., Virtanen, S. M., Ilonen, J., Ferretti, P., Pasolli, E., Tett, A., Asnicar, F., Segata, N., Vlamakis, H., Lander, E. S., Huttenhower, C., … Xavier, R. J. (2018). Strain-Level Analysis of Mother-to-Child Bacterial Transmission during the First Few Months of Life. </w:t>
      </w:r>
      <w:r>
        <w:rPr>
          <w:i/>
          <w:iCs/>
        </w:rPr>
        <w:t>Cell Host &amp; Microbe</w:t>
      </w:r>
      <w:r>
        <w:t xml:space="preserve">, </w:t>
      </w:r>
      <w:r>
        <w:rPr>
          <w:i/>
          <w:iCs/>
        </w:rPr>
        <w:t>24</w:t>
      </w:r>
      <w:r>
        <w:t>(1), 146-154.e4. https://doi.org/10.1016/j.chom.2018.06.007</w:t>
      </w:r>
    </w:p>
    <w:p w14:paraId="300A0FA8" w14:textId="77777777" w:rsidR="001C2A55" w:rsidRDefault="001C2A55" w:rsidP="001C2A55">
      <w:pPr>
        <w:pStyle w:val="Bibliografija"/>
      </w:pPr>
      <w:r>
        <w:t xml:space="preserve">Zeevi, D., Korem, T., Zmora, N., Israeli, D., Rothschild, D., Weinberger, A., Ben-Yacov, O., Lador, D., Avnit-Sagi, T., Lotan-Pompan, M., Suez, J., Mahdi, J. A., Matot, E., Malka, G., Kosower, N., Rein, M., Zilberman-Schapira, G., Dohnalová, L., Pevsner-Fischer, M., … </w:t>
      </w:r>
      <w:r>
        <w:lastRenderedPageBreak/>
        <w:t xml:space="preserve">Segal, E. (2015). Personalized Nutrition by Prediction of Glycemic Responses. </w:t>
      </w:r>
      <w:r>
        <w:rPr>
          <w:i/>
          <w:iCs/>
        </w:rPr>
        <w:t>Cell</w:t>
      </w:r>
      <w:r>
        <w:t xml:space="preserve">, </w:t>
      </w:r>
      <w:r>
        <w:rPr>
          <w:i/>
          <w:iCs/>
        </w:rPr>
        <w:t>163</w:t>
      </w:r>
      <w:r>
        <w:t>(5), 1079–1094. https://doi.org/10.1016/j.cell.2015.11.001</w:t>
      </w:r>
    </w:p>
    <w:p w14:paraId="0D075FA6" w14:textId="77777777" w:rsidR="001C2A55" w:rsidRDefault="001C2A55" w:rsidP="001C2A55">
      <w:pPr>
        <w:pStyle w:val="Bibliografija"/>
      </w:pPr>
      <w:r w:rsidRPr="001C2A55">
        <w:rPr>
          <w:lang w:val="es-ES"/>
          <w:rPrChange w:id="1265" w:author="Urša Miklavčič" w:date="2026-04-28T11:18:00Z" w16du:dateUtc="2026-04-28T09:18:00Z">
            <w:rPr/>
          </w:rPrChange>
        </w:rPr>
        <w:t xml:space="preserve">Zheludev, I. N., Edgar, R. C., Lopez-Galiano, M. J., de la Peña, M., Babaian, A., Bhatt, A. S., &amp; Fire, A. Z. (2024). </w:t>
      </w:r>
      <w:r>
        <w:t xml:space="preserve">Viroid-like colonists of human microbiomes. </w:t>
      </w:r>
      <w:r>
        <w:rPr>
          <w:i/>
          <w:iCs/>
        </w:rPr>
        <w:t>bioRxiv: The Preprint Server for Biology</w:t>
      </w:r>
      <w:r>
        <w:t>, 2024.01.20.576352. https://doi.org/10.1101/2024.01.20.576352</w:t>
      </w:r>
    </w:p>
    <w:p w14:paraId="6EED1EF2" w14:textId="77777777" w:rsidR="001C2A55" w:rsidRDefault="001C2A55" w:rsidP="001C2A55">
      <w:pPr>
        <w:pStyle w:val="Bibliografija"/>
      </w:pPr>
      <w:r>
        <w:t xml:space="preserve">Zhou, X., Shen, X., Johnson, J. S., Spakowicz, D. J., Agnello, M., Zhou, W., Avina, M., Honkala, A., Chleilat, F., Chen, S. J., Cha, K., Leopold, S., Zhu, C., Chen, L., Lyu, L., Hornburg, D., Wu, S., Zhang, X., Jiang, C., … Snyder, M. P. (2024). Longitudinal profiling of the microbiome at four body sites reveals core stability and individualized dynamics during health and disease. </w:t>
      </w:r>
      <w:r>
        <w:rPr>
          <w:i/>
          <w:iCs/>
        </w:rPr>
        <w:t>Cell Host &amp; Microbe</w:t>
      </w:r>
      <w:r>
        <w:t xml:space="preserve">, </w:t>
      </w:r>
      <w:r>
        <w:rPr>
          <w:i/>
          <w:iCs/>
        </w:rPr>
        <w:t>32</w:t>
      </w:r>
      <w:r>
        <w:t>(4), 506-526.e9. https://doi.org/10.1016/j.chom.2024.02.012</w:t>
      </w:r>
    </w:p>
    <w:p w14:paraId="553D497D" w14:textId="53002E10" w:rsidR="00A24687" w:rsidRPr="00DA42F5" w:rsidRDefault="001B10A8" w:rsidP="00657A77">
      <w:pPr>
        <w:rPr>
          <w:szCs w:val="24"/>
        </w:rPr>
      </w:pPr>
      <w:r w:rsidRPr="00D93D74">
        <w:rPr>
          <w:szCs w:val="24"/>
        </w:rPr>
        <w:fldChar w:fldCharType="end"/>
      </w:r>
    </w:p>
    <w:sectPr w:rsidR="00A24687" w:rsidRPr="00DA42F5" w:rsidSect="00327FF2">
      <w:footerReference w:type="default" r:id="rId38"/>
      <w:pgSz w:w="12240" w:h="15840"/>
      <w:pgMar w:top="1417" w:right="1417" w:bottom="1417" w:left="1417"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1" w:author="Denis Kutnjak" w:date="2026-04-01T11:13:00Z" w:initials="DK">
    <w:p w14:paraId="36D4517C" w14:textId="77777777" w:rsidR="001528FF" w:rsidRPr="00D93D74" w:rsidRDefault="001528FF" w:rsidP="001528FF">
      <w:pPr>
        <w:pStyle w:val="Pripombabesedilo"/>
        <w:jc w:val="left"/>
      </w:pPr>
      <w:r w:rsidRPr="00D93D74">
        <w:rPr>
          <w:rStyle w:val="Pripombasklic"/>
        </w:rPr>
        <w:annotationRef/>
      </w:r>
      <w:r w:rsidRPr="00D93D74">
        <w:t>Not totally clear from this sentence what was correlated with what</w:t>
      </w:r>
    </w:p>
  </w:comment>
  <w:comment w:id="62" w:author="Denis Kutnjak" w:date="2026-04-01T11:17:00Z" w:initials="DK">
    <w:p w14:paraId="0A46C8A2" w14:textId="77777777" w:rsidR="001528FF" w:rsidRPr="00D93D74" w:rsidRDefault="001528FF" w:rsidP="001528FF">
      <w:pPr>
        <w:pStyle w:val="Pripombabesedilo"/>
        <w:jc w:val="left"/>
      </w:pPr>
      <w:r w:rsidRPr="00D93D74">
        <w:rPr>
          <w:rStyle w:val="Pripombasklic"/>
        </w:rPr>
        <w:annotationRef/>
      </w:r>
      <w:r w:rsidRPr="00D93D74">
        <w:t>What is meant by environment here: gut?</w:t>
      </w:r>
    </w:p>
  </w:comment>
  <w:comment w:id="70" w:author="Urša Miklavčič [2]" w:date="2026-04-22T15:05:00Z" w:initials="UM">
    <w:p w14:paraId="6EA443D0" w14:textId="77777777" w:rsidR="00497A2F" w:rsidRDefault="00BE1C36" w:rsidP="00497A2F">
      <w:pPr>
        <w:pStyle w:val="Pripombabesedilo"/>
        <w:jc w:val="left"/>
      </w:pPr>
      <w:r>
        <w:rPr>
          <w:rStyle w:val="Pripombasklic"/>
        </w:rPr>
        <w:annotationRef/>
      </w:r>
      <w:r w:rsidR="00497A2F">
        <w:t xml:space="preserve">Ali smem zamenjati Goal 2 v Goal 3, da si tudi hipoteze lepše sledijo in tako predstavljam tudi rezultate in kasneje diskusijo. </w:t>
      </w:r>
    </w:p>
  </w:comment>
  <w:comment w:id="88" w:author="Denis Kutnjak" w:date="2026-04-01T11:27:00Z" w:initials="DK">
    <w:p w14:paraId="14A1AFCA" w14:textId="1A8C65DF" w:rsidR="001528FF" w:rsidRPr="00D93D74" w:rsidRDefault="001528FF" w:rsidP="001528FF">
      <w:pPr>
        <w:pStyle w:val="Pripombabesedilo"/>
        <w:jc w:val="left"/>
      </w:pPr>
      <w:r w:rsidRPr="00D93D74">
        <w:rPr>
          <w:rStyle w:val="Pripombasklic"/>
        </w:rPr>
        <w:annotationRef/>
      </w:r>
      <w:r w:rsidRPr="00D93D74">
        <w:t>In this part I miss explanation of why you postulated these hypotheses in the first place - you must have had some starting points from the literature and your understanding of the system to put forward the hypotheses - would expect this logic explained here rather than just the ourcome of hypothesis testing (which is also ok be explained here, but for sure also discussed in the discussion section)</w:t>
      </w:r>
    </w:p>
  </w:comment>
  <w:comment w:id="89" w:author="Urša Miklavčič" w:date="2026-04-28T11:19:00Z" w:initials="UM">
    <w:p w14:paraId="7B451BA9" w14:textId="77777777" w:rsidR="001C2A55" w:rsidRDefault="001C2A55" w:rsidP="001C2A55">
      <w:pPr>
        <w:pStyle w:val="Pripombabesedilo"/>
        <w:jc w:val="left"/>
      </w:pPr>
      <w:r>
        <w:rPr>
          <w:rStyle w:val="Pripombasklic"/>
        </w:rPr>
        <w:annotationRef/>
      </w:r>
      <w:r>
        <w:t xml:space="preserve">K vsaki hipotezi sem dodala še nek 'rationale' zakaj smo se jo odločili tako postaviti. </w:t>
      </w:r>
    </w:p>
  </w:comment>
  <w:comment w:id="90" w:author="Denis Kutnjak" w:date="2026-04-01T11:30:00Z" w:initials="DK">
    <w:p w14:paraId="19E196CD" w14:textId="77777777" w:rsidR="001528FF" w:rsidRPr="00D93D74" w:rsidRDefault="001528FF" w:rsidP="001528FF">
      <w:pPr>
        <w:pStyle w:val="Pripombabesedilo"/>
        <w:jc w:val="left"/>
      </w:pPr>
      <w:r w:rsidRPr="00D93D74">
        <w:rPr>
          <w:rStyle w:val="Pripombasklic"/>
        </w:rPr>
        <w:annotationRef/>
      </w:r>
      <w:r w:rsidRPr="00D93D74">
        <w:t>If I understand it correctly the seed bank theory introduced above would somehow "contradict" this hypothesis? Which is also ok, we just need to know the rationale of setting these specific hypotheses</w:t>
      </w:r>
    </w:p>
  </w:comment>
  <w:comment w:id="134" w:author="Denis Kutnjak" w:date="2026-04-01T11:23:00Z" w:initials="DK">
    <w:p w14:paraId="7E62F5B5" w14:textId="77777777" w:rsidR="001528FF" w:rsidRPr="00D93D74" w:rsidRDefault="001528FF" w:rsidP="001528FF">
      <w:pPr>
        <w:pStyle w:val="Pripombabesedilo"/>
        <w:jc w:val="left"/>
      </w:pPr>
      <w:r w:rsidRPr="00D93D74">
        <w:rPr>
          <w:rStyle w:val="Pripombasklic"/>
        </w:rPr>
        <w:annotationRef/>
      </w:r>
      <w:r w:rsidRPr="00D93D74">
        <w:t>See my comments in Supp regarding this conclusion, I dont think it is justified, I would suggest removing these analyses altogether, i believe the thisesi would be better this way</w:t>
      </w:r>
    </w:p>
  </w:comment>
  <w:comment w:id="161" w:author="Urša Miklavčič" w:date="2026-04-28T11:20:00Z" w:initials="UM">
    <w:p w14:paraId="116E0728" w14:textId="77777777" w:rsidR="001C2A55" w:rsidRDefault="001C2A55" w:rsidP="001C2A55">
      <w:pPr>
        <w:pStyle w:val="Pripombabesedilo"/>
        <w:jc w:val="left"/>
      </w:pPr>
      <w:r>
        <w:rPr>
          <w:rStyle w:val="Pripombasklic"/>
        </w:rPr>
        <w:annotationRef/>
      </w:r>
      <w:r>
        <w:t xml:space="preserve">Načeloma smo se pogovarjali da sedaj ta del popolnoma izpustim iz doktorata ali da zgolj ne delam zaključkov na podlagi teh analiz? </w:t>
      </w:r>
    </w:p>
  </w:comment>
  <w:comment w:id="280" w:author="Maja Rupnik" w:date="2025-12-12T09:47:00Z" w:initials="MR">
    <w:p w14:paraId="3B2526BE" w14:textId="0EC1B525" w:rsidR="00E95D46" w:rsidRPr="00D93D74" w:rsidRDefault="00E95D46" w:rsidP="00E95D46">
      <w:pPr>
        <w:pStyle w:val="Pripombabesedilo"/>
        <w:jc w:val="left"/>
      </w:pPr>
      <w:r w:rsidRPr="00D93D74">
        <w:rPr>
          <w:rStyle w:val="Pripombasklic"/>
        </w:rPr>
        <w:annotationRef/>
      </w:r>
      <w:r w:rsidRPr="00D93D74">
        <w:t>Lahko uporabljaš pre-determined and predefined</w:t>
      </w:r>
    </w:p>
  </w:comment>
  <w:comment w:id="293" w:author="Maja Rupnik" w:date="2026-01-08T13:07:00Z" w:initials="MR">
    <w:p w14:paraId="65EE8D7D" w14:textId="77777777" w:rsidR="00702F47" w:rsidRPr="00D93D74" w:rsidRDefault="00702F47" w:rsidP="00702F47">
      <w:pPr>
        <w:pStyle w:val="Pripombabesedilo"/>
        <w:jc w:val="left"/>
      </w:pPr>
      <w:r w:rsidRPr="00D93D74">
        <w:rPr>
          <w:rStyle w:val="Pripombasklic"/>
        </w:rPr>
        <w:annotationRef/>
      </w:r>
      <w:r w:rsidRPr="00D93D74">
        <w:t>To pomeni dva vzorca, vsak v duplikatu? Potem nekje dodaj 'each'</w:t>
      </w:r>
    </w:p>
    <w:p w14:paraId="0BB6CEB4" w14:textId="77777777" w:rsidR="00702F47" w:rsidRPr="00D93D74" w:rsidRDefault="00702F47" w:rsidP="00702F47">
      <w:pPr>
        <w:pStyle w:val="Pripombabesedilo"/>
        <w:jc w:val="left"/>
      </w:pPr>
    </w:p>
    <w:p w14:paraId="184CB7FF" w14:textId="77777777" w:rsidR="00702F47" w:rsidRPr="00D93D74" w:rsidRDefault="00702F47" w:rsidP="00702F47">
      <w:pPr>
        <w:pStyle w:val="Pripombabesedilo"/>
        <w:jc w:val="left"/>
      </w:pPr>
      <w:r w:rsidRPr="00D93D74">
        <w:t>Drugače popravi in izbriši 'Two'</w:t>
      </w:r>
    </w:p>
  </w:comment>
  <w:comment w:id="294" w:author="Maja Rupnik" w:date="2026-01-08T13:08:00Z" w:initials="MR">
    <w:p w14:paraId="6C521379" w14:textId="36083878" w:rsidR="00702F47" w:rsidRPr="00D93D74" w:rsidRDefault="00702F47" w:rsidP="00702F47">
      <w:pPr>
        <w:pStyle w:val="Pripombabesedilo"/>
        <w:jc w:val="left"/>
      </w:pPr>
      <w:r w:rsidRPr="00D93D74">
        <w:rPr>
          <w:rStyle w:val="Pripombasklic"/>
        </w:rPr>
        <w:annotationRef/>
      </w:r>
      <w:r w:rsidRPr="00D93D74">
        <w:t>Ali pa je samo 'duplicates' odveč?</w:t>
      </w:r>
    </w:p>
  </w:comment>
  <w:comment w:id="305" w:author="Maja Rupnik" w:date="2026-01-08T13:11:00Z" w:initials="MR">
    <w:p w14:paraId="42DF52FB" w14:textId="77777777" w:rsidR="00702F47" w:rsidRPr="00D93D74" w:rsidRDefault="00702F47" w:rsidP="00702F47">
      <w:pPr>
        <w:pStyle w:val="Pripombabesedilo"/>
        <w:jc w:val="left"/>
      </w:pPr>
      <w:r w:rsidRPr="00D93D74">
        <w:rPr>
          <w:rStyle w:val="Pripombasklic"/>
        </w:rPr>
        <w:annotationRef/>
      </w:r>
      <w:r w:rsidRPr="00D93D74">
        <w:t>Tu ni selekcija za microbial/nonmicrobial</w:t>
      </w:r>
    </w:p>
  </w:comment>
  <w:comment w:id="313" w:author="Maja Rupnik" w:date="2026-01-08T13:14:00Z" w:initials="MR">
    <w:p w14:paraId="4B77A110" w14:textId="77777777" w:rsidR="00306439" w:rsidRPr="00D93D74" w:rsidRDefault="00306439" w:rsidP="00306439">
      <w:pPr>
        <w:pStyle w:val="Pripombabesedilo"/>
        <w:jc w:val="left"/>
      </w:pPr>
      <w:r w:rsidRPr="00D93D74">
        <w:rPr>
          <w:rStyle w:val="Pripombasklic"/>
        </w:rPr>
        <w:annotationRef/>
      </w:r>
      <w:r w:rsidRPr="00D93D74">
        <w:t>Je mogoče bolje dati 'x' namesto pike?</w:t>
      </w:r>
    </w:p>
  </w:comment>
  <w:comment w:id="314" w:author="Urša Miklavčič [2]" w:date="2026-01-21T09:41:00Z" w:initials="UM">
    <w:p w14:paraId="4EDAFAAD" w14:textId="77777777" w:rsidR="00DA42F5" w:rsidRPr="00D93D74" w:rsidRDefault="00DA42F5" w:rsidP="00DA42F5">
      <w:pPr>
        <w:pStyle w:val="Pripombabesedilo"/>
        <w:jc w:val="left"/>
      </w:pPr>
      <w:r w:rsidRPr="00D93D74">
        <w:rPr>
          <w:rStyle w:val="Pripombasklic"/>
        </w:rPr>
        <w:annotationRef/>
      </w:r>
      <w:r w:rsidRPr="00D93D74">
        <w:t xml:space="preserve">Navodila BF navajajo uporabo pike v enačbah, kjer se ne množijo vektorji. </w:t>
      </w:r>
    </w:p>
  </w:comment>
  <w:comment w:id="338" w:author="Maja Rupnik" w:date="2026-01-08T13:18:00Z" w:initials="MR">
    <w:p w14:paraId="30CD4DA9" w14:textId="59714A15" w:rsidR="00227E0D" w:rsidRPr="00D93D74" w:rsidRDefault="00227E0D" w:rsidP="00227E0D">
      <w:pPr>
        <w:pStyle w:val="Pripombabesedilo"/>
        <w:jc w:val="left"/>
      </w:pPr>
      <w:r w:rsidRPr="00D93D74">
        <w:rPr>
          <w:rStyle w:val="Pripombasklic"/>
        </w:rPr>
        <w:annotationRef/>
      </w:r>
      <w:r w:rsidRPr="00D93D74">
        <w:t>Sem to prav popravila?</w:t>
      </w:r>
    </w:p>
  </w:comment>
  <w:comment w:id="363" w:author="Maja Rupnik" w:date="2026-01-08T13:25:00Z" w:initials="MR">
    <w:p w14:paraId="64962785" w14:textId="30B6BA56" w:rsidR="00227E0D" w:rsidRPr="00D93D74" w:rsidRDefault="00227E0D" w:rsidP="00227E0D">
      <w:pPr>
        <w:pStyle w:val="Pripombabesedilo"/>
        <w:jc w:val="left"/>
      </w:pPr>
      <w:r w:rsidRPr="00D93D74">
        <w:rPr>
          <w:rStyle w:val="Pripombasklic"/>
        </w:rPr>
        <w:annotationRef/>
      </w:r>
      <w:r w:rsidRPr="00D93D74">
        <w:t>Je tukaj 'and' ali 'or'?</w:t>
      </w:r>
    </w:p>
    <w:p w14:paraId="44A14786" w14:textId="77777777" w:rsidR="00227E0D" w:rsidRPr="00D93D74" w:rsidRDefault="00227E0D" w:rsidP="00227E0D">
      <w:pPr>
        <w:pStyle w:val="Pripombabesedilo"/>
        <w:jc w:val="left"/>
      </w:pPr>
      <w:r w:rsidRPr="00D93D74">
        <w:t>Glede na to, da imaš pod 2) še pogoj, da je kriterij 1) moral biti izpolnjen</w:t>
      </w:r>
    </w:p>
  </w:comment>
  <w:comment w:id="364" w:author="Urša Miklavčič [2]" w:date="2026-01-21T09:42:00Z" w:initials="UM">
    <w:p w14:paraId="7ADB3F4F" w14:textId="77777777" w:rsidR="00DA42F5" w:rsidRPr="00D93D74" w:rsidRDefault="00DA42F5" w:rsidP="00DA42F5">
      <w:pPr>
        <w:pStyle w:val="Pripombabesedilo"/>
        <w:jc w:val="left"/>
      </w:pPr>
      <w:r w:rsidRPr="00D93D74">
        <w:rPr>
          <w:rStyle w:val="Pripombasklic"/>
        </w:rPr>
        <w:annotationRef/>
      </w:r>
      <w:r w:rsidRPr="00D93D74">
        <w:t xml:space="preserve">And je tu pravilno, saj je pod 2) pogoj 5%, kjer 1) velja. </w:t>
      </w:r>
    </w:p>
  </w:comment>
  <w:comment w:id="465" w:author="Maja Rupnik" w:date="2026-01-08T13:40:00Z" w:initials="MR">
    <w:p w14:paraId="536B54A1" w14:textId="77777777" w:rsidR="003031E8" w:rsidRPr="00D93D74" w:rsidRDefault="003031E8" w:rsidP="003031E8">
      <w:pPr>
        <w:pStyle w:val="Pripombabesedilo"/>
        <w:jc w:val="left"/>
      </w:pPr>
      <w:r w:rsidRPr="00D93D74">
        <w:rPr>
          <w:rStyle w:val="Pripombasklic"/>
        </w:rPr>
        <w:annotationRef/>
      </w:r>
      <w:r w:rsidRPr="00D93D74">
        <w:t>Predlagam, da je ta nivo naslovov tudi v krepki pisavi</w:t>
      </w:r>
    </w:p>
  </w:comment>
  <w:comment w:id="466" w:author="Urša Miklavčič [2]" w:date="2026-01-21T09:49:00Z" w:initials="UM">
    <w:p w14:paraId="090CA2B4" w14:textId="77777777" w:rsidR="00494014" w:rsidRPr="00D93D74" w:rsidRDefault="00494014" w:rsidP="00494014">
      <w:pPr>
        <w:pStyle w:val="Pripombabesedilo"/>
        <w:jc w:val="left"/>
      </w:pPr>
      <w:r w:rsidRPr="00D93D74">
        <w:rPr>
          <w:rStyle w:val="Pripombasklic"/>
        </w:rPr>
        <w:annotationRef/>
      </w:r>
      <w:r w:rsidRPr="00D93D74">
        <w:t xml:space="preserve">Tu se držim navodil za oblikovanje zaključnih del BF. </w:t>
      </w:r>
    </w:p>
  </w:comment>
  <w:comment w:id="467" w:author="Maja Rupnik" w:date="2026-01-15T10:15:00Z" w:initials="MR">
    <w:p w14:paraId="597F50D7" w14:textId="13D34713" w:rsidR="0024495C" w:rsidRPr="00D93D74" w:rsidRDefault="0024495C" w:rsidP="0024495C">
      <w:pPr>
        <w:pStyle w:val="Pripombabesedilo"/>
        <w:jc w:val="left"/>
      </w:pPr>
      <w:r w:rsidRPr="00D93D74">
        <w:rPr>
          <w:rStyle w:val="Pripombasklic"/>
        </w:rPr>
        <w:annotationRef/>
      </w:r>
      <w:r w:rsidRPr="00D93D74">
        <w:t>Tabele ni v poslani verziji datoteke s suplementom</w:t>
      </w:r>
    </w:p>
  </w:comment>
  <w:comment w:id="468" w:author="Maja Rupnik" w:date="2026-01-15T10:16:00Z" w:initials="MR">
    <w:p w14:paraId="73199B79" w14:textId="77777777" w:rsidR="0024495C" w:rsidRPr="00D93D74" w:rsidRDefault="0024495C" w:rsidP="0024495C">
      <w:pPr>
        <w:pStyle w:val="Pripombabesedilo"/>
        <w:jc w:val="left"/>
      </w:pPr>
      <w:r w:rsidRPr="00D93D74">
        <w:rPr>
          <w:rStyle w:val="Pripombasklic"/>
        </w:rPr>
        <w:annotationRef/>
      </w:r>
      <w:r w:rsidRPr="00D93D74">
        <w:t>Ali je mišljena Suppl Table 3?</w:t>
      </w:r>
    </w:p>
  </w:comment>
  <w:comment w:id="482" w:author="Urša Miklavčič [2]" w:date="2026-04-15T16:02:00Z" w:initials="UM">
    <w:p w14:paraId="687AAD48" w14:textId="77777777" w:rsidR="0034031C" w:rsidRPr="00D93D74" w:rsidRDefault="0034031C" w:rsidP="0034031C">
      <w:pPr>
        <w:pStyle w:val="Pripombabesedilo"/>
        <w:jc w:val="left"/>
      </w:pPr>
      <w:r w:rsidRPr="00D93D74">
        <w:rPr>
          <w:rStyle w:val="Pripombasklic"/>
        </w:rPr>
        <w:annotationRef/>
      </w:r>
      <w:r w:rsidRPr="00D93D74">
        <w:t xml:space="preserve">DK: Spell out all index names! </w:t>
      </w:r>
    </w:p>
  </w:comment>
  <w:comment w:id="493" w:author="Urša Miklavčič [2]" w:date="2026-04-15T16:01:00Z" w:initials="UM">
    <w:p w14:paraId="3636CCE4" w14:textId="77777777" w:rsidR="00DE02A8" w:rsidRPr="00D93D74" w:rsidRDefault="00DE02A8" w:rsidP="00DE02A8">
      <w:pPr>
        <w:pStyle w:val="Pripombabesedilo"/>
        <w:jc w:val="left"/>
      </w:pPr>
      <w:r w:rsidRPr="00D93D74">
        <w:rPr>
          <w:rStyle w:val="Pripombasklic"/>
        </w:rPr>
        <w:annotationRef/>
      </w:r>
      <w:r w:rsidRPr="00D93D74">
        <w:t>DK: Any other factors of interest - such as weight, age, use of supplements etc?</w:t>
      </w:r>
    </w:p>
  </w:comment>
  <w:comment w:id="496" w:author="Urša Miklavčič [2]" w:date="2026-04-15T16:03:00Z" w:initials="UM">
    <w:p w14:paraId="5A6649DA" w14:textId="77777777" w:rsidR="0034031C" w:rsidRPr="00D93D74" w:rsidRDefault="0034031C" w:rsidP="0034031C">
      <w:pPr>
        <w:pStyle w:val="Pripombabesedilo"/>
        <w:jc w:val="left"/>
      </w:pPr>
      <w:r w:rsidRPr="00D93D74">
        <w:rPr>
          <w:rStyle w:val="Pripombasklic"/>
        </w:rPr>
        <w:annotationRef/>
      </w:r>
      <w:r w:rsidRPr="00D93D74">
        <w:t>DK: Is A from 16S AS and B from shotgun metagenomics? Not clear from description</w:t>
      </w:r>
    </w:p>
    <w:p w14:paraId="212C13C7" w14:textId="77777777" w:rsidR="0034031C" w:rsidRPr="00D93D74" w:rsidRDefault="0034031C" w:rsidP="0034031C">
      <w:pPr>
        <w:pStyle w:val="Pripombabesedilo"/>
        <w:jc w:val="left"/>
      </w:pPr>
    </w:p>
    <w:p w14:paraId="32FF7C21" w14:textId="77777777" w:rsidR="0034031C" w:rsidRPr="00D93D74" w:rsidRDefault="0034031C" w:rsidP="0034031C">
      <w:pPr>
        <w:pStyle w:val="Pripombabesedilo"/>
        <w:jc w:val="left"/>
      </w:pPr>
      <w:r w:rsidRPr="00D93D74">
        <w:t>DK2: Also would be nice to have metadata of all the participants (the ones that can be given) collected in atable together. E.g., is there sth different with participant E comapred to others, since it shows much higher variability. Are there any links between participants that expalin some of the clusterings (if these are known)?</w:t>
      </w:r>
    </w:p>
    <w:p w14:paraId="0E49D8BB" w14:textId="77777777" w:rsidR="0034031C" w:rsidRPr="00D93D74" w:rsidRDefault="0034031C" w:rsidP="0034031C">
      <w:pPr>
        <w:pStyle w:val="Pripombabesedilo"/>
        <w:jc w:val="left"/>
      </w:pPr>
    </w:p>
    <w:p w14:paraId="7F397917" w14:textId="77777777" w:rsidR="0034031C" w:rsidRPr="00D93D74" w:rsidRDefault="0034031C" w:rsidP="0034031C">
      <w:pPr>
        <w:pStyle w:val="Pripombabesedilo"/>
        <w:jc w:val="left"/>
      </w:pPr>
      <w:r w:rsidRPr="00D93D74">
        <w:t>DK3: What about time signature - can you see any influence of season on the bacteria populations?</w:t>
      </w:r>
    </w:p>
  </w:comment>
  <w:comment w:id="498" w:author="Urša Miklavčič [2]" w:date="2026-04-15T16:03:00Z" w:initials="UM">
    <w:p w14:paraId="3CCF5226" w14:textId="17B00465" w:rsidR="0034031C" w:rsidRPr="00D93D74" w:rsidRDefault="0034031C" w:rsidP="0034031C">
      <w:pPr>
        <w:pStyle w:val="Pripombabesedilo"/>
        <w:jc w:val="left"/>
      </w:pPr>
      <w:r w:rsidRPr="00D93D74">
        <w:rPr>
          <w:rStyle w:val="Pripombasklic"/>
        </w:rPr>
        <w:annotationRef/>
      </w:r>
      <w:r w:rsidRPr="00D93D74">
        <w:t>DK: Use consistent naming for the types of analysis (16S AS vs shotgun metagenomics) across all text and figures</w:t>
      </w:r>
    </w:p>
  </w:comment>
  <w:comment w:id="504" w:author="Urša Miklavčič [2]" w:date="2026-04-15T16:12:00Z" w:initials="UM">
    <w:p w14:paraId="1083C056" w14:textId="77777777" w:rsidR="00C64662" w:rsidRPr="00D93D74" w:rsidRDefault="00C64662" w:rsidP="00C64662">
      <w:pPr>
        <w:pStyle w:val="Pripombabesedilo"/>
        <w:jc w:val="left"/>
      </w:pPr>
      <w:r w:rsidRPr="00D93D74">
        <w:rPr>
          <w:rStyle w:val="Pripombasklic"/>
        </w:rPr>
        <w:annotationRef/>
      </w:r>
      <w:r w:rsidRPr="00D93D74">
        <w:t>DK: : As we discussed during the presentation - please be careful not to overinterpret these data and rather present it in a high-level descriptive manner</w:t>
      </w:r>
    </w:p>
  </w:comment>
  <w:comment w:id="506" w:author="Urša Miklavčič [2]" w:date="2026-04-15T16:11:00Z" w:initials="UM">
    <w:p w14:paraId="72225E10" w14:textId="0A251FFA" w:rsidR="00C64662" w:rsidRPr="00D93D74" w:rsidRDefault="00C64662" w:rsidP="00C64662">
      <w:pPr>
        <w:pStyle w:val="Pripombabesedilo"/>
        <w:jc w:val="left"/>
      </w:pPr>
      <w:r w:rsidRPr="00D93D74">
        <w:rPr>
          <w:rStyle w:val="Pripombasklic"/>
        </w:rPr>
        <w:annotationRef/>
      </w:r>
      <w:r w:rsidRPr="00D93D74">
        <w:t>DK: From which analysis?</w:t>
      </w:r>
    </w:p>
  </w:comment>
  <w:comment w:id="507" w:author="Urša Miklavčič [2]" w:date="2026-04-15T16:12:00Z" w:initials="UM">
    <w:p w14:paraId="7DECCFEA" w14:textId="77777777" w:rsidR="00C64662" w:rsidRPr="00D93D74" w:rsidRDefault="00C64662" w:rsidP="00C64662">
      <w:pPr>
        <w:pStyle w:val="Pripombabesedilo"/>
        <w:jc w:val="left"/>
      </w:pPr>
      <w:r w:rsidRPr="00D93D74">
        <w:rPr>
          <w:rStyle w:val="Pripombasklic"/>
        </w:rPr>
        <w:annotationRef/>
      </w:r>
      <w:r w:rsidRPr="00D93D74">
        <w:t>DK: The contig % does not tell us anything about abundance of the taxa, good to note that</w:t>
      </w:r>
    </w:p>
  </w:comment>
  <w:comment w:id="516" w:author="Urša Miklavčič [2]" w:date="2026-04-15T16:12:00Z" w:initials="UM">
    <w:p w14:paraId="34A20F46" w14:textId="77777777" w:rsidR="00C64662" w:rsidRPr="00D93D74" w:rsidRDefault="00C64662" w:rsidP="00C64662">
      <w:pPr>
        <w:pStyle w:val="Pripombabesedilo"/>
        <w:jc w:val="left"/>
      </w:pPr>
      <w:r w:rsidRPr="00D93D74">
        <w:rPr>
          <w:rStyle w:val="Pripombasklic"/>
        </w:rPr>
        <w:annotationRef/>
      </w:r>
      <w:r w:rsidRPr="00D93D74">
        <w:t>DK: Main point is that counting contigs is not anyhow related with taxa abundance more contigs does not mean more taxa</w:t>
      </w:r>
    </w:p>
  </w:comment>
  <w:comment w:id="518" w:author="Urša Miklavčič [2]" w:date="2026-04-15T16:12:00Z" w:initials="UM">
    <w:p w14:paraId="166CB31C" w14:textId="77777777" w:rsidR="00C64662" w:rsidRPr="00D93D74" w:rsidRDefault="00C64662" w:rsidP="00C64662">
      <w:pPr>
        <w:pStyle w:val="Pripombabesedilo"/>
        <w:jc w:val="left"/>
      </w:pPr>
      <w:r w:rsidRPr="00D93D74">
        <w:rPr>
          <w:rStyle w:val="Pripombasklic"/>
        </w:rPr>
        <w:annotationRef/>
      </w:r>
      <w:r w:rsidRPr="00D93D74">
        <w:t>DK: Which database of NCBI?</w:t>
      </w:r>
    </w:p>
  </w:comment>
  <w:comment w:id="521" w:author="Maja Rupnik" w:date="2026-01-20T15:06:00Z" w:initials="MR">
    <w:p w14:paraId="09324A54" w14:textId="34F7E695" w:rsidR="00962877" w:rsidRPr="00D93D74" w:rsidRDefault="00962877" w:rsidP="00962877">
      <w:pPr>
        <w:pStyle w:val="Pripombabesedilo"/>
        <w:jc w:val="left"/>
      </w:pPr>
      <w:r w:rsidRPr="00D93D74">
        <w:rPr>
          <w:rStyle w:val="Pripombasklic"/>
        </w:rPr>
        <w:annotationRef/>
      </w:r>
      <w:r w:rsidRPr="00D93D74">
        <w:t>Zelo malo imaš o evkariontih. Tudi gliv je presenetljivo malo.</w:t>
      </w:r>
    </w:p>
    <w:p w14:paraId="26C6BCB8" w14:textId="77777777" w:rsidR="00962877" w:rsidRPr="00D93D74" w:rsidRDefault="00962877" w:rsidP="00962877">
      <w:pPr>
        <w:pStyle w:val="Pripombabesedilo"/>
        <w:jc w:val="left"/>
      </w:pPr>
      <w:r w:rsidRPr="00D93D74">
        <w:t>Tukaj predlagam število različnih zaznanih vrst gliv skupaj v vseh vzorcih in potem variacije v posameznikih. Potem pa še isto za ostale evkarionte.</w:t>
      </w:r>
    </w:p>
  </w:comment>
  <w:comment w:id="522" w:author="Maja Rupnik" w:date="2026-01-20T15:08:00Z" w:initials="MR">
    <w:p w14:paraId="6F9E13A6" w14:textId="77777777" w:rsidR="00962877" w:rsidRPr="00D93D74" w:rsidRDefault="00962877" w:rsidP="00962877">
      <w:pPr>
        <w:pStyle w:val="Pripombabesedilo"/>
        <w:jc w:val="left"/>
      </w:pPr>
      <w:r w:rsidRPr="00D93D74">
        <w:rPr>
          <w:rStyle w:val="Pripombasklic"/>
        </w:rPr>
        <w:annotationRef/>
      </w:r>
      <w:r w:rsidRPr="00D93D74">
        <w:t>V bistvu bi si za evkarionte predstavljala nekaj podobnega kot imaš spodaj za bakterije.</w:t>
      </w:r>
    </w:p>
  </w:comment>
  <w:comment w:id="523" w:author="Urša Miklavčič [2]" w:date="2026-01-28T15:40:00Z" w:initials="UM">
    <w:p w14:paraId="27C6399D" w14:textId="77777777" w:rsidR="00F950DC" w:rsidRPr="00D93D74" w:rsidRDefault="00F950DC" w:rsidP="00F950DC">
      <w:pPr>
        <w:pStyle w:val="Pripombabesedilo"/>
        <w:jc w:val="left"/>
      </w:pPr>
      <w:r w:rsidRPr="00D93D74">
        <w:rPr>
          <w:rStyle w:val="Pripombasklic"/>
        </w:rPr>
        <w:annotationRef/>
      </w:r>
      <w:r w:rsidRPr="00D93D74">
        <w:t xml:space="preserve">Shotgun metagenomsko sekvenciranje je slabo za glive, ker so prisotne v tako malem deležu črevesne mikrobiote jih le to tudi pogosto spregleda (10.1186/s40168-017-0373-4), kljub uporabi specializiranih databaz in orodij direktno za glive in ostale evkarionte (10.1186/s40168-025-02048-3).. </w:t>
      </w:r>
    </w:p>
  </w:comment>
  <w:comment w:id="642" w:author="Urša Miklavčič [2]" w:date="2026-04-15T16:13:00Z" w:initials="UM">
    <w:p w14:paraId="1499AA5A" w14:textId="77777777" w:rsidR="00C64662" w:rsidRPr="00D93D74" w:rsidRDefault="00C64662" w:rsidP="00C64662">
      <w:pPr>
        <w:pStyle w:val="Pripombabesedilo"/>
        <w:jc w:val="left"/>
      </w:pPr>
      <w:r w:rsidRPr="00D93D74">
        <w:rPr>
          <w:rStyle w:val="Pripombasklic"/>
        </w:rPr>
        <w:annotationRef/>
      </w:r>
      <w:r w:rsidRPr="00D93D74">
        <w:t>DK: Are you sure this is true? I think only eucaryotes, can you please double check?</w:t>
      </w:r>
    </w:p>
  </w:comment>
  <w:comment w:id="648" w:author="Urša Miklavčič [2]" w:date="2026-04-15T16:14:00Z" w:initials="UM">
    <w:p w14:paraId="7C57DD7C" w14:textId="77777777" w:rsidR="00C64662" w:rsidRPr="00D93D74" w:rsidRDefault="00C64662" w:rsidP="00C64662">
      <w:pPr>
        <w:pStyle w:val="Pripombabesedilo"/>
        <w:jc w:val="left"/>
      </w:pPr>
      <w:r w:rsidRPr="00D93D74">
        <w:rPr>
          <w:rStyle w:val="Pripombasklic"/>
        </w:rPr>
        <w:annotationRef/>
      </w:r>
      <w:r w:rsidRPr="00D93D74">
        <w:t>DK: Where can we see this? (v osnutku, ni bilo te supplement slike)</w:t>
      </w:r>
    </w:p>
  </w:comment>
  <w:comment w:id="651" w:author="Urša Miklavčič [2]" w:date="2026-04-15T16:14:00Z" w:initials="UM">
    <w:p w14:paraId="0116CDC1" w14:textId="77777777" w:rsidR="00C64662" w:rsidRPr="00D93D74" w:rsidRDefault="00C64662" w:rsidP="00C64662">
      <w:pPr>
        <w:pStyle w:val="Pripombabesedilo"/>
        <w:jc w:val="left"/>
      </w:pPr>
      <w:r w:rsidRPr="00D93D74">
        <w:rPr>
          <w:rStyle w:val="Pripombasklic"/>
        </w:rPr>
        <w:annotationRef/>
      </w:r>
      <w:r w:rsidRPr="00D93D74">
        <w:t>DK1: Viral classes, but also: not true for H?</w:t>
      </w:r>
    </w:p>
    <w:p w14:paraId="62E008B4" w14:textId="77777777" w:rsidR="00C64662" w:rsidRPr="00D93D74" w:rsidRDefault="00C64662" w:rsidP="00C64662">
      <w:pPr>
        <w:pStyle w:val="Pripombabesedilo"/>
        <w:jc w:val="left"/>
      </w:pPr>
    </w:p>
    <w:p w14:paraId="4B2CFE22" w14:textId="77777777" w:rsidR="00C64662" w:rsidRPr="00D93D74" w:rsidRDefault="00C64662" w:rsidP="00C64662">
      <w:pPr>
        <w:pStyle w:val="Pripombabesedilo"/>
        <w:jc w:val="left"/>
      </w:pPr>
      <w:r w:rsidRPr="00D93D74">
        <w:t>DK2: Also hard to notice dynamics on such a high taxonomic levels, vOTUs at e.g., 90% level might have great dynamics</w:t>
      </w:r>
    </w:p>
  </w:comment>
  <w:comment w:id="714" w:author="Urša Miklavčič [2]" w:date="2026-04-15T16:04:00Z" w:initials="UM">
    <w:p w14:paraId="5573D7D7" w14:textId="6348B113" w:rsidR="0034031C" w:rsidRPr="00D93D74" w:rsidRDefault="0034031C" w:rsidP="0034031C">
      <w:pPr>
        <w:pStyle w:val="Pripombabesedilo"/>
        <w:jc w:val="left"/>
      </w:pPr>
      <w:r w:rsidRPr="00D93D74">
        <w:rPr>
          <w:rStyle w:val="Pripombasklic"/>
        </w:rPr>
        <w:annotationRef/>
      </w:r>
      <w:r w:rsidRPr="00D93D74">
        <w:t>DK: what would be expected?</w:t>
      </w:r>
    </w:p>
  </w:comment>
  <w:comment w:id="787" w:author="Urša Miklavčič [2]" w:date="2026-04-15T16:04:00Z" w:initials="UM">
    <w:p w14:paraId="0D4B5A82" w14:textId="281B50D6" w:rsidR="0034031C" w:rsidRPr="00D93D74" w:rsidRDefault="0034031C" w:rsidP="0034031C">
      <w:pPr>
        <w:pStyle w:val="Pripombabesedilo"/>
        <w:jc w:val="left"/>
      </w:pPr>
      <w:r w:rsidRPr="00D93D74">
        <w:rPr>
          <w:rStyle w:val="Pripombasklic"/>
        </w:rPr>
        <w:annotationRef/>
      </w:r>
      <w:r w:rsidRPr="00D93D74">
        <w:t>DK: Dont understand this explanation? In general panel B needs better description of all the elements on the figure</w:t>
      </w:r>
    </w:p>
  </w:comment>
  <w:comment w:id="796" w:author="Urša Miklavčič [2]" w:date="2026-04-15T16:05:00Z" w:initials="UM">
    <w:p w14:paraId="3061E07C" w14:textId="77777777" w:rsidR="0034031C" w:rsidRPr="00D93D74" w:rsidRDefault="0034031C" w:rsidP="0034031C">
      <w:pPr>
        <w:pStyle w:val="Pripombabesedilo"/>
        <w:jc w:val="left"/>
      </w:pPr>
      <w:r w:rsidRPr="00D93D74">
        <w:rPr>
          <w:rStyle w:val="Pripombasklic"/>
        </w:rPr>
        <w:annotationRef/>
      </w:r>
      <w:r w:rsidRPr="00D93D74">
        <w:t>We determined the abundance of all microbial species in metagenomic samples using MetaPhlAn, EukDetect, and GeNomad (see Supplementary File). Here, we present results for bacterial species identified with MetaPhlAn. Using the same criteria as for the 16S amplicon dataset, we identified the ethanol-resistant community of species, although 33 out of 117 ethanol treated samples failed metagenomic sequencing due to low DNA concentration.</w:t>
      </w:r>
    </w:p>
    <w:p w14:paraId="35EDBCC1" w14:textId="77777777" w:rsidR="0034031C" w:rsidRPr="00D93D74" w:rsidRDefault="0034031C" w:rsidP="0034031C">
      <w:pPr>
        <w:pStyle w:val="Pripombabesedilo"/>
        <w:jc w:val="left"/>
      </w:pPr>
    </w:p>
    <w:p w14:paraId="79DB0065" w14:textId="77777777" w:rsidR="0034031C" w:rsidRPr="00D93D74" w:rsidRDefault="0034031C" w:rsidP="0034031C">
      <w:pPr>
        <w:pStyle w:val="Pripombabesedilo"/>
        <w:jc w:val="left"/>
      </w:pPr>
      <w:r w:rsidRPr="00D93D74">
        <w:t>DK: I miss results for this later on? Seems important to see % of spore-forming species (by gene content) in total vs in ethanol-treated fraction. To be able to compare two different ways of inferring sporobiota.</w:t>
      </w:r>
    </w:p>
  </w:comment>
  <w:comment w:id="805" w:author="Urša Miklavčič [2]" w:date="2026-04-15T16:05:00Z" w:initials="UM">
    <w:p w14:paraId="50C4644F" w14:textId="77777777" w:rsidR="0034031C" w:rsidRPr="00D93D74" w:rsidRDefault="0034031C" w:rsidP="0034031C">
      <w:pPr>
        <w:pStyle w:val="Pripombabesedilo"/>
        <w:jc w:val="left"/>
      </w:pPr>
      <w:r w:rsidRPr="00D93D74">
        <w:rPr>
          <w:rStyle w:val="Pripombasklic"/>
        </w:rPr>
        <w:annotationRef/>
      </w:r>
      <w:r w:rsidRPr="00D93D74">
        <w:t>DK: What is the unclassified Bacteria category, a bit confusing, since you say above: The remaining species (n = 500) could not be assigned to a species-level name and were excluded from further analysis. Or is this sth else?</w:t>
      </w:r>
    </w:p>
  </w:comment>
  <w:comment w:id="809" w:author="Maja Rupnik" w:date="2026-03-06T10:09:00Z" w:initials="MR">
    <w:p w14:paraId="4E311F11" w14:textId="6502B5B3" w:rsidR="00CA07DF" w:rsidRPr="00D93D74" w:rsidRDefault="00CA07DF" w:rsidP="00CA07DF">
      <w:pPr>
        <w:pStyle w:val="Pripombabesedilo"/>
        <w:jc w:val="left"/>
      </w:pPr>
      <w:r w:rsidRPr="00D93D74">
        <w:rPr>
          <w:rStyle w:val="Pripombasklic"/>
        </w:rPr>
        <w:annotationRef/>
      </w:r>
      <w:r w:rsidRPr="00D93D74">
        <w:t>Popravi številko pri oranžnem stolpci, zdaj se vidi samo 2</w:t>
      </w:r>
    </w:p>
  </w:comment>
  <w:comment w:id="816" w:author="Maja Rupnik" w:date="2026-01-20T16:15:00Z" w:initials="MR">
    <w:p w14:paraId="1AD2E250" w14:textId="00065637" w:rsidR="002A3EFB" w:rsidRPr="00D93D74" w:rsidRDefault="002A3EFB" w:rsidP="002A3EFB">
      <w:pPr>
        <w:pStyle w:val="Pripombabesedilo"/>
        <w:jc w:val="left"/>
      </w:pPr>
      <w:r w:rsidRPr="00D93D74">
        <w:rPr>
          <w:rStyle w:val="Pripombasklic"/>
        </w:rPr>
        <w:annotationRef/>
      </w:r>
      <w:r w:rsidRPr="00D93D74">
        <w:t>Ali hočeš s tem stavkom povedati, da si sporobioto analizirala na dva načina. Enkrat si jo definirala glede na vrste (???) iz amplikon sekvenciranja  (ln 776-780) in enkrat glede na gene za sporulacijo (ln 770-775)? - to sprašujem glede na tekst v zadnjem odstavku (781-784)</w:t>
      </w:r>
    </w:p>
  </w:comment>
  <w:comment w:id="825" w:author="Urša Miklavčič [2]" w:date="2026-04-15T16:06:00Z" w:initials="UM">
    <w:p w14:paraId="70A85C0A" w14:textId="77777777" w:rsidR="0034031C" w:rsidRPr="00D93D74" w:rsidRDefault="0034031C" w:rsidP="0034031C">
      <w:pPr>
        <w:pStyle w:val="Pripombabesedilo"/>
        <w:jc w:val="left"/>
      </w:pPr>
      <w:r w:rsidRPr="00D93D74">
        <w:rPr>
          <w:rStyle w:val="Pripombasklic"/>
        </w:rPr>
        <w:annotationRef/>
      </w:r>
      <w:r w:rsidRPr="00D93D74">
        <w:t>DK: Are these all the ethanol resistant species from shotgun metagenomics analysis that also have sporulation genes? We are missing explanation of this concepts above and also results - numbers for these categories?</w:t>
      </w:r>
    </w:p>
    <w:p w14:paraId="05DFCCD2" w14:textId="77777777" w:rsidR="0034031C" w:rsidRPr="00D93D74" w:rsidRDefault="0034031C" w:rsidP="0034031C">
      <w:pPr>
        <w:pStyle w:val="Pripombabesedilo"/>
        <w:jc w:val="left"/>
      </w:pPr>
    </w:p>
    <w:p w14:paraId="5FCFE9E3" w14:textId="77777777" w:rsidR="0034031C" w:rsidRPr="00D93D74" w:rsidRDefault="0034031C" w:rsidP="0034031C">
      <w:pPr>
        <w:pStyle w:val="Pripombabesedilo"/>
        <w:jc w:val="left"/>
      </w:pPr>
      <w:r w:rsidRPr="00D93D74">
        <w:t>Where can we see these results?</w:t>
      </w:r>
    </w:p>
  </w:comment>
  <w:comment w:id="830" w:author="Urša Miklavčič [2]" w:date="2026-04-15T16:07:00Z" w:initials="UM">
    <w:p w14:paraId="144A1CF4" w14:textId="77777777" w:rsidR="002F7108" w:rsidRDefault="0034031C" w:rsidP="002F7108">
      <w:pPr>
        <w:pStyle w:val="Pripombabesedilo"/>
        <w:jc w:val="left"/>
      </w:pPr>
      <w:r w:rsidRPr="00D93D74">
        <w:rPr>
          <w:rStyle w:val="Pripombasklic"/>
        </w:rPr>
        <w:annotationRef/>
      </w:r>
      <w:r w:rsidR="002F7108">
        <w:t>DK1: For C and E I think line plot is not the best descision, since, as I understand, it is not representing temoprally subsequent data, but rather separate count categories</w:t>
      </w:r>
    </w:p>
  </w:comment>
  <w:comment w:id="831" w:author="Urša Miklavčič [2]" w:date="2026-04-20T12:59:00Z" w:initials="UM">
    <w:p w14:paraId="378A1F22" w14:textId="77777777" w:rsidR="00DE18CC" w:rsidRDefault="00DE18CC" w:rsidP="00DE18CC">
      <w:pPr>
        <w:pStyle w:val="Pripombabesedilo"/>
        <w:jc w:val="left"/>
      </w:pPr>
      <w:r>
        <w:rPr>
          <w:rStyle w:val="Pripombasklic"/>
        </w:rPr>
        <w:annotationRef/>
      </w:r>
      <w:r>
        <w:t xml:space="preserve">Here as we are representing a slope (mediana) of 9 individuals, if we show this with points it will not be as clear (plot gets messy) </w:t>
      </w:r>
    </w:p>
  </w:comment>
  <w:comment w:id="848" w:author="Urša Miklavčič [2]" w:date="2026-04-15T16:07:00Z" w:initials="UM">
    <w:p w14:paraId="50E96FB6" w14:textId="2FB373DD" w:rsidR="0034031C" w:rsidRPr="00D93D74" w:rsidRDefault="0034031C" w:rsidP="0034031C">
      <w:pPr>
        <w:pStyle w:val="Pripombabesedilo"/>
        <w:jc w:val="left"/>
      </w:pPr>
      <w:r w:rsidRPr="00D93D74">
        <w:rPr>
          <w:rStyle w:val="Pripombasklic"/>
        </w:rPr>
        <w:annotationRef/>
      </w:r>
      <w:r w:rsidRPr="00D93D74">
        <w:t>DK: Somewhwere below you mention the travel did not play any role?</w:t>
      </w:r>
    </w:p>
  </w:comment>
  <w:comment w:id="859" w:author="Sandra Janežič" w:date="2026-03-06T14:31:00Z" w:initials="SJ">
    <w:p w14:paraId="14F8684A" w14:textId="77777777" w:rsidR="00211C72" w:rsidRPr="00D93D74" w:rsidRDefault="00211C72" w:rsidP="00211C72">
      <w:pPr>
        <w:pStyle w:val="Pripombabesedilo"/>
        <w:jc w:val="left"/>
      </w:pPr>
      <w:r w:rsidRPr="00D93D74">
        <w:rPr>
          <w:rStyle w:val="Pripombasklic"/>
        </w:rPr>
        <w:annotationRef/>
      </w:r>
      <w:r w:rsidRPr="00D93D74">
        <w:t>Geni se pišejo v italic</w:t>
      </w:r>
    </w:p>
  </w:comment>
  <w:comment w:id="874" w:author="Maja Rupnik" w:date="2026-01-20T16:47:00Z" w:initials="MR">
    <w:p w14:paraId="18C5A099" w14:textId="77777777" w:rsidR="00211C72" w:rsidRPr="00D93D74" w:rsidRDefault="00211C72" w:rsidP="00211C72">
      <w:pPr>
        <w:pStyle w:val="Pripombabesedilo"/>
        <w:jc w:val="left"/>
      </w:pPr>
      <w:r w:rsidRPr="00D93D74">
        <w:rPr>
          <w:rStyle w:val="Pripombasklic"/>
        </w:rPr>
        <w:annotationRef/>
      </w:r>
      <w:r w:rsidRPr="00D93D74">
        <w:t>Kaj si tukaj mislila kot naslov - individual level?</w:t>
      </w:r>
    </w:p>
  </w:comment>
  <w:comment w:id="876" w:author="Maja Rupnik" w:date="2026-01-20T16:48:00Z" w:initials="MR">
    <w:p w14:paraId="70AECC85" w14:textId="77777777" w:rsidR="00211C72" w:rsidRPr="00D93D74" w:rsidRDefault="00211C72" w:rsidP="00211C72">
      <w:pPr>
        <w:pStyle w:val="Pripombabesedilo"/>
        <w:jc w:val="left"/>
      </w:pPr>
      <w:r w:rsidRPr="00D93D74">
        <w:rPr>
          <w:rStyle w:val="Pripombasklic"/>
        </w:rPr>
        <w:annotationRef/>
      </w:r>
      <w:r w:rsidRPr="00D93D74">
        <w:t>Računano glede na kaj? Celokupno število pri posamezniku?</w:t>
      </w:r>
    </w:p>
  </w:comment>
  <w:comment w:id="1044" w:author="Maja Rupnik" w:date="2026-01-20T16:27:00Z" w:initials="MR">
    <w:p w14:paraId="75600F0A" w14:textId="625C436E" w:rsidR="008B2A44" w:rsidRPr="00D93D74" w:rsidRDefault="008B2A44" w:rsidP="008B2A44">
      <w:pPr>
        <w:pStyle w:val="Pripombabesedilo"/>
        <w:jc w:val="left"/>
      </w:pPr>
      <w:r w:rsidRPr="00D93D74">
        <w:rPr>
          <w:rStyle w:val="Pripombasklic"/>
        </w:rPr>
        <w:annotationRef/>
      </w:r>
      <w:r w:rsidRPr="00D93D74">
        <w:t>Je to res? Od 87 sevov jih polovica potem ni porasla po precepljanju?</w:t>
      </w:r>
    </w:p>
  </w:comment>
  <w:comment w:id="1127" w:author="Sandra Janežič" w:date="2026-03-06T13:40:00Z" w:initials="SJ">
    <w:p w14:paraId="0E0B51E9" w14:textId="7C916FEA" w:rsidR="00007F32" w:rsidRPr="00D93D74" w:rsidRDefault="00007F32" w:rsidP="00007F32">
      <w:pPr>
        <w:pStyle w:val="Pripombabesedilo"/>
        <w:jc w:val="left"/>
      </w:pPr>
      <w:r w:rsidRPr="00D93D74">
        <w:rPr>
          <w:rStyle w:val="Pripombasklic"/>
        </w:rPr>
        <w:annotationRef/>
      </w:r>
      <w:r w:rsidRPr="00D93D74">
        <w:t>Na sliki 16 niso vsi, ker si že izključila dva, ki nista saudijca.</w:t>
      </w:r>
    </w:p>
  </w:comment>
  <w:comment w:id="1176" w:author="Urša Miklavčič [2]" w:date="2026-04-15T16:08:00Z" w:initials="UM">
    <w:p w14:paraId="79C69120" w14:textId="77777777" w:rsidR="00E979C6" w:rsidRPr="00D93D74" w:rsidRDefault="00E979C6" w:rsidP="00E979C6">
      <w:pPr>
        <w:pStyle w:val="Pripombabesedilo"/>
        <w:jc w:val="left"/>
      </w:pPr>
      <w:r w:rsidRPr="00D93D74">
        <w:rPr>
          <w:rStyle w:val="Pripombasklic"/>
        </w:rPr>
        <w:annotationRef/>
      </w:r>
      <w:r w:rsidRPr="00D93D74">
        <w:t>DK: Would need more info to be able to intepret this dendrogram; where is the root? What are the distances? Is there any statistical support for the clusters available?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D4517C" w15:done="1"/>
  <w15:commentEx w15:paraId="0A46C8A2" w15:done="1"/>
  <w15:commentEx w15:paraId="6EA443D0" w15:done="0"/>
  <w15:commentEx w15:paraId="14A1AFCA" w15:done="0"/>
  <w15:commentEx w15:paraId="7B451BA9" w15:paraIdParent="14A1AFCA" w15:done="0"/>
  <w15:commentEx w15:paraId="19E196CD" w15:done="0"/>
  <w15:commentEx w15:paraId="7E62F5B5" w15:done="1"/>
  <w15:commentEx w15:paraId="116E0728" w15:done="0"/>
  <w15:commentEx w15:paraId="3B2526BE" w15:done="1"/>
  <w15:commentEx w15:paraId="184CB7FF" w15:done="1"/>
  <w15:commentEx w15:paraId="6C521379" w15:paraIdParent="184CB7FF" w15:done="1"/>
  <w15:commentEx w15:paraId="42DF52FB" w15:done="1"/>
  <w15:commentEx w15:paraId="4B77A110" w15:done="1"/>
  <w15:commentEx w15:paraId="4EDAFAAD" w15:paraIdParent="4B77A110" w15:done="1"/>
  <w15:commentEx w15:paraId="30CD4DA9" w15:done="1"/>
  <w15:commentEx w15:paraId="44A14786" w15:done="0"/>
  <w15:commentEx w15:paraId="7ADB3F4F" w15:paraIdParent="44A14786" w15:done="0"/>
  <w15:commentEx w15:paraId="536B54A1" w15:done="1"/>
  <w15:commentEx w15:paraId="090CA2B4" w15:paraIdParent="536B54A1" w15:done="1"/>
  <w15:commentEx w15:paraId="597F50D7" w15:done="1"/>
  <w15:commentEx w15:paraId="73199B79" w15:paraIdParent="597F50D7" w15:done="1"/>
  <w15:commentEx w15:paraId="687AAD48" w15:done="1"/>
  <w15:commentEx w15:paraId="3636CCE4" w15:done="1"/>
  <w15:commentEx w15:paraId="7F397917" w15:done="1"/>
  <w15:commentEx w15:paraId="3CCF5226" w15:done="1"/>
  <w15:commentEx w15:paraId="1083C056" w15:done="0"/>
  <w15:commentEx w15:paraId="72225E10" w15:done="1"/>
  <w15:commentEx w15:paraId="7DECCFEA" w15:done="1"/>
  <w15:commentEx w15:paraId="34A20F46" w15:done="1"/>
  <w15:commentEx w15:paraId="166CB31C" w15:done="1"/>
  <w15:commentEx w15:paraId="26C6BCB8" w15:done="0"/>
  <w15:commentEx w15:paraId="6F9E13A6" w15:paraIdParent="26C6BCB8" w15:done="0"/>
  <w15:commentEx w15:paraId="27C6399D" w15:paraIdParent="26C6BCB8" w15:done="0"/>
  <w15:commentEx w15:paraId="1499AA5A" w15:done="1"/>
  <w15:commentEx w15:paraId="7C57DD7C" w15:done="1"/>
  <w15:commentEx w15:paraId="4B2CFE22" w15:done="1"/>
  <w15:commentEx w15:paraId="5573D7D7" w15:done="0"/>
  <w15:commentEx w15:paraId="0D4B5A82" w15:done="1"/>
  <w15:commentEx w15:paraId="79DB0065" w15:done="0"/>
  <w15:commentEx w15:paraId="50C4644F" w15:done="0"/>
  <w15:commentEx w15:paraId="4E311F11" w15:done="1"/>
  <w15:commentEx w15:paraId="1AD2E250" w15:done="1"/>
  <w15:commentEx w15:paraId="5FCFE9E3" w15:done="0"/>
  <w15:commentEx w15:paraId="144A1CF4" w15:done="0"/>
  <w15:commentEx w15:paraId="378A1F22" w15:paraIdParent="144A1CF4" w15:done="0"/>
  <w15:commentEx w15:paraId="50E96FB6" w15:done="0"/>
  <w15:commentEx w15:paraId="14F8684A" w15:done="1"/>
  <w15:commentEx w15:paraId="18C5A099" w15:done="1"/>
  <w15:commentEx w15:paraId="70AECC85" w15:done="1"/>
  <w15:commentEx w15:paraId="75600F0A" w15:done="1"/>
  <w15:commentEx w15:paraId="0E0B51E9" w15:done="1"/>
  <w15:commentEx w15:paraId="79C691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91EB33" w16cex:dateUtc="2026-04-01T09:13:00Z"/>
  <w16cex:commentExtensible w16cex:durableId="3074EE26" w16cex:dateUtc="2026-04-01T09:17:00Z"/>
  <w16cex:commentExtensible w16cex:durableId="7DB29870" w16cex:dateUtc="2026-04-22T13:05:00Z"/>
  <w16cex:commentExtensible w16cex:durableId="1B1A5D11" w16cex:dateUtc="2026-04-01T09:27:00Z"/>
  <w16cex:commentExtensible w16cex:durableId="5F159928" w16cex:dateUtc="2026-04-28T09:19:00Z"/>
  <w16cex:commentExtensible w16cex:durableId="666CB1A6" w16cex:dateUtc="2026-04-01T09:30:00Z"/>
  <w16cex:commentExtensible w16cex:durableId="1DB8E2C6" w16cex:dateUtc="2026-04-01T09:23:00Z"/>
  <w16cex:commentExtensible w16cex:durableId="3902B26D" w16cex:dateUtc="2026-04-28T09:20:00Z"/>
  <w16cex:commentExtensible w16cex:durableId="50FEC30B" w16cex:dateUtc="2025-12-12T08:47:00Z"/>
  <w16cex:commentExtensible w16cex:durableId="00D1A76F" w16cex:dateUtc="2026-01-08T12:07:00Z"/>
  <w16cex:commentExtensible w16cex:durableId="1ACC92A0" w16cex:dateUtc="2026-01-08T12:08:00Z"/>
  <w16cex:commentExtensible w16cex:durableId="75C4DC14" w16cex:dateUtc="2026-01-08T12:11:00Z"/>
  <w16cex:commentExtensible w16cex:durableId="324372EF" w16cex:dateUtc="2026-01-08T12:14:00Z"/>
  <w16cex:commentExtensible w16cex:durableId="28DD9B02" w16cex:dateUtc="2026-01-21T08:41:00Z"/>
  <w16cex:commentExtensible w16cex:durableId="44F66FCA" w16cex:dateUtc="2026-01-08T12:18:00Z"/>
  <w16cex:commentExtensible w16cex:durableId="58573444" w16cex:dateUtc="2026-01-08T12:25:00Z"/>
  <w16cex:commentExtensible w16cex:durableId="19041C43" w16cex:dateUtc="2026-01-21T08:42:00Z"/>
  <w16cex:commentExtensible w16cex:durableId="27EEECB8" w16cex:dateUtc="2026-01-08T12:40:00Z"/>
  <w16cex:commentExtensible w16cex:durableId="3099319D" w16cex:dateUtc="2026-01-21T08:49:00Z"/>
  <w16cex:commentExtensible w16cex:durableId="1F94A847" w16cex:dateUtc="2026-01-15T09:15:00Z"/>
  <w16cex:commentExtensible w16cex:durableId="5C11E0B0" w16cex:dateUtc="2026-01-15T09:16:00Z"/>
  <w16cex:commentExtensible w16cex:durableId="74507F83" w16cex:dateUtc="2026-04-15T14:02:00Z"/>
  <w16cex:commentExtensible w16cex:durableId="72E3D0C0" w16cex:dateUtc="2026-04-15T14:01:00Z"/>
  <w16cex:commentExtensible w16cex:durableId="2175CA16" w16cex:dateUtc="2026-04-15T14:03:00Z"/>
  <w16cex:commentExtensible w16cex:durableId="7F58D507" w16cex:dateUtc="2026-04-15T14:03:00Z"/>
  <w16cex:commentExtensible w16cex:durableId="69F9B7C8" w16cex:dateUtc="2026-04-15T14:12:00Z"/>
  <w16cex:commentExtensible w16cex:durableId="1C541A1E" w16cex:dateUtc="2026-04-15T14:11:00Z"/>
  <w16cex:commentExtensible w16cex:durableId="4A0D72D4" w16cex:dateUtc="2026-04-15T14:12:00Z"/>
  <w16cex:commentExtensible w16cex:durableId="1B452EFB" w16cex:dateUtc="2026-04-15T14:12:00Z"/>
  <w16cex:commentExtensible w16cex:durableId="51D2954D" w16cex:dateUtc="2026-04-15T14:12:00Z"/>
  <w16cex:commentExtensible w16cex:durableId="6871D821" w16cex:dateUtc="2026-01-20T14:06:00Z"/>
  <w16cex:commentExtensible w16cex:durableId="7DC39BB4" w16cex:dateUtc="2026-01-20T14:08:00Z"/>
  <w16cex:commentExtensible w16cex:durableId="165078B4" w16cex:dateUtc="2026-01-28T14:40:00Z"/>
  <w16cex:commentExtensible w16cex:durableId="6028E3A9" w16cex:dateUtc="2026-04-15T14:13:00Z"/>
  <w16cex:commentExtensible w16cex:durableId="4666BCE5" w16cex:dateUtc="2026-04-15T14:14:00Z"/>
  <w16cex:commentExtensible w16cex:durableId="56853D06" w16cex:dateUtc="2026-04-15T14:14:00Z"/>
  <w16cex:commentExtensible w16cex:durableId="732B6B0B" w16cex:dateUtc="2026-04-15T14:04:00Z"/>
  <w16cex:commentExtensible w16cex:durableId="6330DC1B" w16cex:dateUtc="2026-04-15T14:04:00Z"/>
  <w16cex:commentExtensible w16cex:durableId="2A8752CD" w16cex:dateUtc="2026-04-15T14:05:00Z"/>
  <w16cex:commentExtensible w16cex:durableId="4EB9361F" w16cex:dateUtc="2026-04-15T14:05:00Z"/>
  <w16cex:commentExtensible w16cex:durableId="3C0A6F66" w16cex:dateUtc="2026-03-06T09:09:00Z"/>
  <w16cex:commentExtensible w16cex:durableId="1DC78CDC" w16cex:dateUtc="2026-04-15T14:06:00Z"/>
  <w16cex:commentExtensible w16cex:durableId="1BE973FE" w16cex:dateUtc="2026-04-15T14:07:00Z"/>
  <w16cex:commentExtensible w16cex:durableId="33BB6A9F" w16cex:dateUtc="2026-04-20T10:59:00Z"/>
  <w16cex:commentExtensible w16cex:durableId="6D679D1D" w16cex:dateUtc="2026-04-15T14:07:00Z"/>
  <w16cex:commentExtensible w16cex:durableId="5262CFD0" w16cex:dateUtc="2026-03-06T13:31:00Z"/>
  <w16cex:commentExtensible w16cex:durableId="5A725A8C" w16cex:dateUtc="2026-01-20T15:47:00Z"/>
  <w16cex:commentExtensible w16cex:durableId="48CCA0FA" w16cex:dateUtc="2026-01-20T15:48:00Z"/>
  <w16cex:commentExtensible w16cex:durableId="00B1FF32" w16cex:dateUtc="2026-01-20T15:27:00Z"/>
  <w16cex:commentExtensible w16cex:durableId="7FF3E18C" w16cex:dateUtc="2026-03-06T12:40:00Z"/>
  <w16cex:commentExtensible w16cex:durableId="515E0FB8" w16cex:dateUtc="2026-04-15T14: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D4517C" w16cid:durableId="2591EB33"/>
  <w16cid:commentId w16cid:paraId="0A46C8A2" w16cid:durableId="3074EE26"/>
  <w16cid:commentId w16cid:paraId="6EA443D0" w16cid:durableId="7DB29870"/>
  <w16cid:commentId w16cid:paraId="14A1AFCA" w16cid:durableId="1B1A5D11"/>
  <w16cid:commentId w16cid:paraId="7B451BA9" w16cid:durableId="5F159928"/>
  <w16cid:commentId w16cid:paraId="19E196CD" w16cid:durableId="666CB1A6"/>
  <w16cid:commentId w16cid:paraId="7E62F5B5" w16cid:durableId="1DB8E2C6"/>
  <w16cid:commentId w16cid:paraId="116E0728" w16cid:durableId="3902B26D"/>
  <w16cid:commentId w16cid:paraId="3B2526BE" w16cid:durableId="50FEC30B"/>
  <w16cid:commentId w16cid:paraId="184CB7FF" w16cid:durableId="00D1A76F"/>
  <w16cid:commentId w16cid:paraId="6C521379" w16cid:durableId="1ACC92A0"/>
  <w16cid:commentId w16cid:paraId="42DF52FB" w16cid:durableId="75C4DC14"/>
  <w16cid:commentId w16cid:paraId="4B77A110" w16cid:durableId="324372EF"/>
  <w16cid:commentId w16cid:paraId="4EDAFAAD" w16cid:durableId="28DD9B02"/>
  <w16cid:commentId w16cid:paraId="30CD4DA9" w16cid:durableId="44F66FCA"/>
  <w16cid:commentId w16cid:paraId="44A14786" w16cid:durableId="58573444"/>
  <w16cid:commentId w16cid:paraId="7ADB3F4F" w16cid:durableId="19041C43"/>
  <w16cid:commentId w16cid:paraId="536B54A1" w16cid:durableId="27EEECB8"/>
  <w16cid:commentId w16cid:paraId="090CA2B4" w16cid:durableId="3099319D"/>
  <w16cid:commentId w16cid:paraId="597F50D7" w16cid:durableId="1F94A847"/>
  <w16cid:commentId w16cid:paraId="73199B79" w16cid:durableId="5C11E0B0"/>
  <w16cid:commentId w16cid:paraId="687AAD48" w16cid:durableId="74507F83"/>
  <w16cid:commentId w16cid:paraId="3636CCE4" w16cid:durableId="72E3D0C0"/>
  <w16cid:commentId w16cid:paraId="7F397917" w16cid:durableId="2175CA16"/>
  <w16cid:commentId w16cid:paraId="3CCF5226" w16cid:durableId="7F58D507"/>
  <w16cid:commentId w16cid:paraId="1083C056" w16cid:durableId="69F9B7C8"/>
  <w16cid:commentId w16cid:paraId="72225E10" w16cid:durableId="1C541A1E"/>
  <w16cid:commentId w16cid:paraId="7DECCFEA" w16cid:durableId="4A0D72D4"/>
  <w16cid:commentId w16cid:paraId="34A20F46" w16cid:durableId="1B452EFB"/>
  <w16cid:commentId w16cid:paraId="166CB31C" w16cid:durableId="51D2954D"/>
  <w16cid:commentId w16cid:paraId="26C6BCB8" w16cid:durableId="6871D821"/>
  <w16cid:commentId w16cid:paraId="6F9E13A6" w16cid:durableId="7DC39BB4"/>
  <w16cid:commentId w16cid:paraId="27C6399D" w16cid:durableId="165078B4"/>
  <w16cid:commentId w16cid:paraId="1499AA5A" w16cid:durableId="6028E3A9"/>
  <w16cid:commentId w16cid:paraId="7C57DD7C" w16cid:durableId="4666BCE5"/>
  <w16cid:commentId w16cid:paraId="4B2CFE22" w16cid:durableId="56853D06"/>
  <w16cid:commentId w16cid:paraId="5573D7D7" w16cid:durableId="732B6B0B"/>
  <w16cid:commentId w16cid:paraId="0D4B5A82" w16cid:durableId="6330DC1B"/>
  <w16cid:commentId w16cid:paraId="79DB0065" w16cid:durableId="2A8752CD"/>
  <w16cid:commentId w16cid:paraId="50C4644F" w16cid:durableId="4EB9361F"/>
  <w16cid:commentId w16cid:paraId="4E311F11" w16cid:durableId="3C0A6F66"/>
  <w16cid:commentId w16cid:paraId="1AD2E250" w16cid:durableId="1AD2E250"/>
  <w16cid:commentId w16cid:paraId="5FCFE9E3" w16cid:durableId="1DC78CDC"/>
  <w16cid:commentId w16cid:paraId="144A1CF4" w16cid:durableId="1BE973FE"/>
  <w16cid:commentId w16cid:paraId="378A1F22" w16cid:durableId="33BB6A9F"/>
  <w16cid:commentId w16cid:paraId="50E96FB6" w16cid:durableId="6D679D1D"/>
  <w16cid:commentId w16cid:paraId="14F8684A" w16cid:durableId="5262CFD0"/>
  <w16cid:commentId w16cid:paraId="18C5A099" w16cid:durableId="5A725A8C"/>
  <w16cid:commentId w16cid:paraId="70AECC85" w16cid:durableId="48CCA0FA"/>
  <w16cid:commentId w16cid:paraId="75600F0A" w16cid:durableId="00B1FF32"/>
  <w16cid:commentId w16cid:paraId="0E0B51E9" w16cid:durableId="7FF3E18C"/>
  <w16cid:commentId w16cid:paraId="79C69120" w16cid:durableId="515E0F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C3D01" w14:textId="77777777" w:rsidR="00EE1AF5" w:rsidRPr="00D93D74" w:rsidRDefault="00EE1AF5" w:rsidP="001C483B">
      <w:pPr>
        <w:spacing w:after="0" w:line="240" w:lineRule="auto"/>
      </w:pPr>
      <w:r w:rsidRPr="00D93D74">
        <w:separator/>
      </w:r>
    </w:p>
  </w:endnote>
  <w:endnote w:type="continuationSeparator" w:id="0">
    <w:p w14:paraId="672A7949" w14:textId="77777777" w:rsidR="00EE1AF5" w:rsidRPr="00D93D74" w:rsidRDefault="00EE1AF5" w:rsidP="001C483B">
      <w:pPr>
        <w:spacing w:after="0" w:line="240" w:lineRule="auto"/>
      </w:pPr>
      <w:r w:rsidRPr="00D93D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Pr="00D93D74" w:rsidRDefault="00C018F8">
        <w:pPr>
          <w:pStyle w:val="Noga"/>
          <w:jc w:val="center"/>
        </w:pPr>
        <w:r w:rsidRPr="00D93D74">
          <w:fldChar w:fldCharType="begin"/>
        </w:r>
        <w:r w:rsidRPr="00D93D74">
          <w:instrText>PAGE   \* MERGEFORMAT</w:instrText>
        </w:r>
        <w:r w:rsidRPr="00D93D74">
          <w:fldChar w:fldCharType="separate"/>
        </w:r>
        <w:r w:rsidRPr="00D93D74">
          <w:t>2</w:t>
        </w:r>
        <w:r w:rsidRPr="00D93D74">
          <w:fldChar w:fldCharType="end"/>
        </w:r>
      </w:p>
    </w:sdtContent>
  </w:sdt>
  <w:p w14:paraId="73C8954F" w14:textId="77777777" w:rsidR="00C018F8" w:rsidRPr="00D93D74" w:rsidRDefault="00C018F8">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2E641" w14:textId="77777777" w:rsidR="00EE1AF5" w:rsidRPr="00D93D74" w:rsidRDefault="00EE1AF5" w:rsidP="001C483B">
      <w:pPr>
        <w:spacing w:after="0" w:line="240" w:lineRule="auto"/>
      </w:pPr>
      <w:r w:rsidRPr="00D93D74">
        <w:separator/>
      </w:r>
    </w:p>
  </w:footnote>
  <w:footnote w:type="continuationSeparator" w:id="0">
    <w:p w14:paraId="4DD12248" w14:textId="77777777" w:rsidR="00EE1AF5" w:rsidRPr="00D93D74" w:rsidRDefault="00EE1AF5" w:rsidP="001C483B">
      <w:pPr>
        <w:spacing w:after="0" w:line="240" w:lineRule="auto"/>
      </w:pPr>
      <w:r w:rsidRPr="00D93D7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0E16"/>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49D5F3B"/>
    <w:multiLevelType w:val="hybridMultilevel"/>
    <w:tmpl w:val="89DC57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9393982"/>
    <w:multiLevelType w:val="hybridMultilevel"/>
    <w:tmpl w:val="F914186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Naslov2"/>
      <w:lvlText w:val="%1.%2"/>
      <w:lvlJc w:val="left"/>
      <w:pPr>
        <w:ind w:left="360" w:hanging="360"/>
      </w:p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7A4402"/>
    <w:multiLevelType w:val="multilevel"/>
    <w:tmpl w:val="77D46FF4"/>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C07084C"/>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41017820">
    <w:abstractNumId w:val="3"/>
  </w:num>
  <w:num w:numId="2" w16cid:durableId="662660751">
    <w:abstractNumId w:val="4"/>
  </w:num>
  <w:num w:numId="3" w16cid:durableId="1109929845">
    <w:abstractNumId w:val="6"/>
  </w:num>
  <w:num w:numId="4" w16cid:durableId="366758951">
    <w:abstractNumId w:val="0"/>
  </w:num>
  <w:num w:numId="5" w16cid:durableId="108670300">
    <w:abstractNumId w:val="7"/>
  </w:num>
  <w:num w:numId="6" w16cid:durableId="568808107">
    <w:abstractNumId w:val="5"/>
  </w:num>
  <w:num w:numId="7" w16cid:durableId="1364478394">
    <w:abstractNumId w:val="2"/>
  </w:num>
  <w:num w:numId="8" w16cid:durableId="753015406">
    <w:abstractNumId w:val="1"/>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None" w15:userId="Urša Miklavčič"/>
  </w15:person>
  <w15:person w15:author="Denis Kutnjak">
    <w15:presenceInfo w15:providerId="AD" w15:userId="S::Denis.Kutnjak@nib.si::485a6d39-6eb7-4013-a6c2-288f61aaf6bc"/>
  </w15:person>
  <w15:person w15:author="Urša Miklavčič [2]">
    <w15:presenceInfo w15:providerId="AD" w15:userId="S::ursmik1@nlzoh.si::af19374f-5d67-4657-95f7-ec706852ae27"/>
  </w15:person>
  <w15:person w15:author="Maja Rupnik">
    <w15:presenceInfo w15:providerId="AD" w15:userId="S::majrup1@nlzoh.si::9c649c64-3e54-4fcf-aa28-f6dc27760469"/>
  </w15:person>
  <w15:person w15:author="Sandra Janežič">
    <w15:presenceInfo w15:providerId="AD" w15:userId="S::sanjan1@nlzoh.si::1e3a5b37-220f-41b3-9552-580d046945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3AFB"/>
    <w:rsid w:val="00003DA5"/>
    <w:rsid w:val="000042D2"/>
    <w:rsid w:val="00005F8F"/>
    <w:rsid w:val="00006D53"/>
    <w:rsid w:val="00007F32"/>
    <w:rsid w:val="00011261"/>
    <w:rsid w:val="0001187C"/>
    <w:rsid w:val="00011B48"/>
    <w:rsid w:val="00012422"/>
    <w:rsid w:val="00012777"/>
    <w:rsid w:val="000171B3"/>
    <w:rsid w:val="00017479"/>
    <w:rsid w:val="00020125"/>
    <w:rsid w:val="0002070C"/>
    <w:rsid w:val="000209F9"/>
    <w:rsid w:val="00021A32"/>
    <w:rsid w:val="00022E19"/>
    <w:rsid w:val="00022EC9"/>
    <w:rsid w:val="00025252"/>
    <w:rsid w:val="0002799D"/>
    <w:rsid w:val="00031A12"/>
    <w:rsid w:val="00032A34"/>
    <w:rsid w:val="0003311C"/>
    <w:rsid w:val="000376D2"/>
    <w:rsid w:val="000427D9"/>
    <w:rsid w:val="00043055"/>
    <w:rsid w:val="0004536B"/>
    <w:rsid w:val="00050E50"/>
    <w:rsid w:val="00051895"/>
    <w:rsid w:val="00051E9D"/>
    <w:rsid w:val="00055253"/>
    <w:rsid w:val="00057201"/>
    <w:rsid w:val="00057C98"/>
    <w:rsid w:val="00065D29"/>
    <w:rsid w:val="00067043"/>
    <w:rsid w:val="00072104"/>
    <w:rsid w:val="00072780"/>
    <w:rsid w:val="000738DE"/>
    <w:rsid w:val="000749BD"/>
    <w:rsid w:val="0007616D"/>
    <w:rsid w:val="00076E6F"/>
    <w:rsid w:val="00080C98"/>
    <w:rsid w:val="00083237"/>
    <w:rsid w:val="00084538"/>
    <w:rsid w:val="000848F8"/>
    <w:rsid w:val="00084C7B"/>
    <w:rsid w:val="00084C85"/>
    <w:rsid w:val="000868BE"/>
    <w:rsid w:val="00086BD2"/>
    <w:rsid w:val="0008793C"/>
    <w:rsid w:val="00092E4B"/>
    <w:rsid w:val="000944EF"/>
    <w:rsid w:val="00095B2E"/>
    <w:rsid w:val="000A1A74"/>
    <w:rsid w:val="000A2821"/>
    <w:rsid w:val="000A5BE2"/>
    <w:rsid w:val="000A6741"/>
    <w:rsid w:val="000A70B1"/>
    <w:rsid w:val="000B4DCB"/>
    <w:rsid w:val="000B5BBF"/>
    <w:rsid w:val="000B67DB"/>
    <w:rsid w:val="000B6F47"/>
    <w:rsid w:val="000C0183"/>
    <w:rsid w:val="000C1C7D"/>
    <w:rsid w:val="000C2140"/>
    <w:rsid w:val="000C3819"/>
    <w:rsid w:val="000C68C6"/>
    <w:rsid w:val="000C6FD6"/>
    <w:rsid w:val="000D1D0F"/>
    <w:rsid w:val="000D29DB"/>
    <w:rsid w:val="000D604A"/>
    <w:rsid w:val="000D6641"/>
    <w:rsid w:val="000E06DF"/>
    <w:rsid w:val="000E1AE7"/>
    <w:rsid w:val="000E3CA2"/>
    <w:rsid w:val="000E42D3"/>
    <w:rsid w:val="000E4869"/>
    <w:rsid w:val="000E6005"/>
    <w:rsid w:val="000E622D"/>
    <w:rsid w:val="000E6AE5"/>
    <w:rsid w:val="000F25B4"/>
    <w:rsid w:val="000F4465"/>
    <w:rsid w:val="000F530F"/>
    <w:rsid w:val="000F6514"/>
    <w:rsid w:val="00100A45"/>
    <w:rsid w:val="00101B9D"/>
    <w:rsid w:val="00102874"/>
    <w:rsid w:val="00104BF2"/>
    <w:rsid w:val="00106D8C"/>
    <w:rsid w:val="00107195"/>
    <w:rsid w:val="00110468"/>
    <w:rsid w:val="0011188E"/>
    <w:rsid w:val="00112248"/>
    <w:rsid w:val="0011488B"/>
    <w:rsid w:val="00121C08"/>
    <w:rsid w:val="0012203D"/>
    <w:rsid w:val="0012562B"/>
    <w:rsid w:val="00126668"/>
    <w:rsid w:val="001312F2"/>
    <w:rsid w:val="001315DC"/>
    <w:rsid w:val="00133BF6"/>
    <w:rsid w:val="00134763"/>
    <w:rsid w:val="00135024"/>
    <w:rsid w:val="001368E2"/>
    <w:rsid w:val="00137ABE"/>
    <w:rsid w:val="00140C71"/>
    <w:rsid w:val="00141EED"/>
    <w:rsid w:val="00143307"/>
    <w:rsid w:val="00144661"/>
    <w:rsid w:val="00150795"/>
    <w:rsid w:val="001517B9"/>
    <w:rsid w:val="00151D64"/>
    <w:rsid w:val="001528FF"/>
    <w:rsid w:val="00154FC5"/>
    <w:rsid w:val="0015693A"/>
    <w:rsid w:val="00161462"/>
    <w:rsid w:val="00162CD1"/>
    <w:rsid w:val="00164B48"/>
    <w:rsid w:val="00164DF8"/>
    <w:rsid w:val="001722C1"/>
    <w:rsid w:val="001730BD"/>
    <w:rsid w:val="00173621"/>
    <w:rsid w:val="001747D4"/>
    <w:rsid w:val="00174EE7"/>
    <w:rsid w:val="001750A0"/>
    <w:rsid w:val="00176D51"/>
    <w:rsid w:val="00180BB8"/>
    <w:rsid w:val="001855E8"/>
    <w:rsid w:val="001863D6"/>
    <w:rsid w:val="00186AC8"/>
    <w:rsid w:val="00187D61"/>
    <w:rsid w:val="00187EA7"/>
    <w:rsid w:val="001916C4"/>
    <w:rsid w:val="00191EE6"/>
    <w:rsid w:val="0019387B"/>
    <w:rsid w:val="001977D3"/>
    <w:rsid w:val="001A194A"/>
    <w:rsid w:val="001A4A52"/>
    <w:rsid w:val="001A73FB"/>
    <w:rsid w:val="001B10A8"/>
    <w:rsid w:val="001C2A55"/>
    <w:rsid w:val="001C3E9E"/>
    <w:rsid w:val="001C483B"/>
    <w:rsid w:val="001C5848"/>
    <w:rsid w:val="001C76BD"/>
    <w:rsid w:val="001D04C4"/>
    <w:rsid w:val="001E1E8D"/>
    <w:rsid w:val="001E2632"/>
    <w:rsid w:val="001E2B98"/>
    <w:rsid w:val="001E7E71"/>
    <w:rsid w:val="001F0078"/>
    <w:rsid w:val="001F0ABA"/>
    <w:rsid w:val="001F1052"/>
    <w:rsid w:val="001F2954"/>
    <w:rsid w:val="001F3066"/>
    <w:rsid w:val="00201CA6"/>
    <w:rsid w:val="00202238"/>
    <w:rsid w:val="002079AE"/>
    <w:rsid w:val="00207CEB"/>
    <w:rsid w:val="00210890"/>
    <w:rsid w:val="00211C72"/>
    <w:rsid w:val="00213B80"/>
    <w:rsid w:val="0021580C"/>
    <w:rsid w:val="00216A2B"/>
    <w:rsid w:val="00216C48"/>
    <w:rsid w:val="002203AC"/>
    <w:rsid w:val="00221812"/>
    <w:rsid w:val="00222AC0"/>
    <w:rsid w:val="002233FE"/>
    <w:rsid w:val="00227CBB"/>
    <w:rsid w:val="00227E0D"/>
    <w:rsid w:val="0023210F"/>
    <w:rsid w:val="00232291"/>
    <w:rsid w:val="00236DBE"/>
    <w:rsid w:val="00242307"/>
    <w:rsid w:val="00243146"/>
    <w:rsid w:val="00243EFE"/>
    <w:rsid w:val="0024464E"/>
    <w:rsid w:val="0024495C"/>
    <w:rsid w:val="0024637F"/>
    <w:rsid w:val="002463D5"/>
    <w:rsid w:val="00246A46"/>
    <w:rsid w:val="002471F9"/>
    <w:rsid w:val="0025151E"/>
    <w:rsid w:val="00251869"/>
    <w:rsid w:val="00251B17"/>
    <w:rsid w:val="00252644"/>
    <w:rsid w:val="00253CCD"/>
    <w:rsid w:val="002544F0"/>
    <w:rsid w:val="00255949"/>
    <w:rsid w:val="00256ADF"/>
    <w:rsid w:val="00256C1A"/>
    <w:rsid w:val="00256E34"/>
    <w:rsid w:val="00257385"/>
    <w:rsid w:val="0026081B"/>
    <w:rsid w:val="00261A17"/>
    <w:rsid w:val="00262A46"/>
    <w:rsid w:val="00264B2F"/>
    <w:rsid w:val="002667B7"/>
    <w:rsid w:val="00270202"/>
    <w:rsid w:val="00270620"/>
    <w:rsid w:val="00270E34"/>
    <w:rsid w:val="00272292"/>
    <w:rsid w:val="002731BF"/>
    <w:rsid w:val="00274417"/>
    <w:rsid w:val="00274F2E"/>
    <w:rsid w:val="00276690"/>
    <w:rsid w:val="00281737"/>
    <w:rsid w:val="00281EC3"/>
    <w:rsid w:val="002827F5"/>
    <w:rsid w:val="002838D6"/>
    <w:rsid w:val="0028419B"/>
    <w:rsid w:val="002845D3"/>
    <w:rsid w:val="002846F5"/>
    <w:rsid w:val="00285B3F"/>
    <w:rsid w:val="00287EE1"/>
    <w:rsid w:val="0029292D"/>
    <w:rsid w:val="00293187"/>
    <w:rsid w:val="0029340C"/>
    <w:rsid w:val="00293919"/>
    <w:rsid w:val="00295BDE"/>
    <w:rsid w:val="00297072"/>
    <w:rsid w:val="002A0EC3"/>
    <w:rsid w:val="002A1897"/>
    <w:rsid w:val="002A1DCD"/>
    <w:rsid w:val="002A35FA"/>
    <w:rsid w:val="002A37BB"/>
    <w:rsid w:val="002A3EFB"/>
    <w:rsid w:val="002A4196"/>
    <w:rsid w:val="002A4813"/>
    <w:rsid w:val="002A56A0"/>
    <w:rsid w:val="002A6D9A"/>
    <w:rsid w:val="002B142C"/>
    <w:rsid w:val="002B1950"/>
    <w:rsid w:val="002B27A3"/>
    <w:rsid w:val="002C2833"/>
    <w:rsid w:val="002D20E5"/>
    <w:rsid w:val="002D3B69"/>
    <w:rsid w:val="002D42E9"/>
    <w:rsid w:val="002D4A40"/>
    <w:rsid w:val="002D7072"/>
    <w:rsid w:val="002D7A83"/>
    <w:rsid w:val="002E03C9"/>
    <w:rsid w:val="002E26D9"/>
    <w:rsid w:val="002E2F25"/>
    <w:rsid w:val="002E5ABF"/>
    <w:rsid w:val="002E5BE1"/>
    <w:rsid w:val="002E735E"/>
    <w:rsid w:val="002F04A2"/>
    <w:rsid w:val="002F0700"/>
    <w:rsid w:val="002F2009"/>
    <w:rsid w:val="002F295F"/>
    <w:rsid w:val="002F7108"/>
    <w:rsid w:val="002F7332"/>
    <w:rsid w:val="00301C1C"/>
    <w:rsid w:val="003031E8"/>
    <w:rsid w:val="003044D0"/>
    <w:rsid w:val="00305C9E"/>
    <w:rsid w:val="00306439"/>
    <w:rsid w:val="003125AC"/>
    <w:rsid w:val="003128AF"/>
    <w:rsid w:val="00317674"/>
    <w:rsid w:val="00320506"/>
    <w:rsid w:val="003212BA"/>
    <w:rsid w:val="00322ACD"/>
    <w:rsid w:val="0032396E"/>
    <w:rsid w:val="00327FF2"/>
    <w:rsid w:val="0033022E"/>
    <w:rsid w:val="00330798"/>
    <w:rsid w:val="003307B5"/>
    <w:rsid w:val="003314EC"/>
    <w:rsid w:val="00331E34"/>
    <w:rsid w:val="00332ADB"/>
    <w:rsid w:val="00333FFC"/>
    <w:rsid w:val="00335EC2"/>
    <w:rsid w:val="00335FC4"/>
    <w:rsid w:val="00336811"/>
    <w:rsid w:val="00336D1E"/>
    <w:rsid w:val="0034031C"/>
    <w:rsid w:val="00343B66"/>
    <w:rsid w:val="0034458E"/>
    <w:rsid w:val="00344DEE"/>
    <w:rsid w:val="00345882"/>
    <w:rsid w:val="00345C53"/>
    <w:rsid w:val="003467DA"/>
    <w:rsid w:val="00347E56"/>
    <w:rsid w:val="003511E9"/>
    <w:rsid w:val="00351ADF"/>
    <w:rsid w:val="00352514"/>
    <w:rsid w:val="0035266B"/>
    <w:rsid w:val="00354218"/>
    <w:rsid w:val="00355F88"/>
    <w:rsid w:val="00356DB2"/>
    <w:rsid w:val="00356FB6"/>
    <w:rsid w:val="00362926"/>
    <w:rsid w:val="00362AC5"/>
    <w:rsid w:val="00363C22"/>
    <w:rsid w:val="00364428"/>
    <w:rsid w:val="0036448E"/>
    <w:rsid w:val="00364E5F"/>
    <w:rsid w:val="00364FD6"/>
    <w:rsid w:val="0036785E"/>
    <w:rsid w:val="0037043C"/>
    <w:rsid w:val="003749A2"/>
    <w:rsid w:val="00381BFC"/>
    <w:rsid w:val="00386B8B"/>
    <w:rsid w:val="00386EAD"/>
    <w:rsid w:val="0039162A"/>
    <w:rsid w:val="003933CC"/>
    <w:rsid w:val="003966C4"/>
    <w:rsid w:val="003A4BED"/>
    <w:rsid w:val="003A7C1F"/>
    <w:rsid w:val="003A7F9D"/>
    <w:rsid w:val="003B0038"/>
    <w:rsid w:val="003B1BF2"/>
    <w:rsid w:val="003B772A"/>
    <w:rsid w:val="003B7D22"/>
    <w:rsid w:val="003D065A"/>
    <w:rsid w:val="003D12EB"/>
    <w:rsid w:val="003D1BF1"/>
    <w:rsid w:val="003D5A85"/>
    <w:rsid w:val="003D6A58"/>
    <w:rsid w:val="003E0743"/>
    <w:rsid w:val="003E1CA6"/>
    <w:rsid w:val="003E26C9"/>
    <w:rsid w:val="003E4B71"/>
    <w:rsid w:val="003E5633"/>
    <w:rsid w:val="003E6A03"/>
    <w:rsid w:val="003F2EB4"/>
    <w:rsid w:val="003F3118"/>
    <w:rsid w:val="003F41CC"/>
    <w:rsid w:val="003F7CF9"/>
    <w:rsid w:val="004031A0"/>
    <w:rsid w:val="0041006B"/>
    <w:rsid w:val="00412F1B"/>
    <w:rsid w:val="0041313D"/>
    <w:rsid w:val="00415800"/>
    <w:rsid w:val="00415F70"/>
    <w:rsid w:val="00416D96"/>
    <w:rsid w:val="0042160E"/>
    <w:rsid w:val="00422B36"/>
    <w:rsid w:val="0042372E"/>
    <w:rsid w:val="004241D9"/>
    <w:rsid w:val="004247C3"/>
    <w:rsid w:val="004270CA"/>
    <w:rsid w:val="004271D5"/>
    <w:rsid w:val="0042728C"/>
    <w:rsid w:val="004310E0"/>
    <w:rsid w:val="0043153B"/>
    <w:rsid w:val="004343B2"/>
    <w:rsid w:val="00435A3D"/>
    <w:rsid w:val="00442E69"/>
    <w:rsid w:val="0044464D"/>
    <w:rsid w:val="00445D84"/>
    <w:rsid w:val="004502A6"/>
    <w:rsid w:val="00453A2B"/>
    <w:rsid w:val="004549E4"/>
    <w:rsid w:val="004560F6"/>
    <w:rsid w:val="0045642B"/>
    <w:rsid w:val="00460975"/>
    <w:rsid w:val="00464C8B"/>
    <w:rsid w:val="00466C39"/>
    <w:rsid w:val="00466F33"/>
    <w:rsid w:val="00471671"/>
    <w:rsid w:val="004754D6"/>
    <w:rsid w:val="004774AE"/>
    <w:rsid w:val="00480D11"/>
    <w:rsid w:val="00484C1B"/>
    <w:rsid w:val="00485A0E"/>
    <w:rsid w:val="00486762"/>
    <w:rsid w:val="00490445"/>
    <w:rsid w:val="00492468"/>
    <w:rsid w:val="00494014"/>
    <w:rsid w:val="00494270"/>
    <w:rsid w:val="00496F21"/>
    <w:rsid w:val="00497A2F"/>
    <w:rsid w:val="004A044D"/>
    <w:rsid w:val="004A18D8"/>
    <w:rsid w:val="004A20A8"/>
    <w:rsid w:val="004A376D"/>
    <w:rsid w:val="004A470E"/>
    <w:rsid w:val="004A5599"/>
    <w:rsid w:val="004A6090"/>
    <w:rsid w:val="004A6168"/>
    <w:rsid w:val="004B1311"/>
    <w:rsid w:val="004B16FA"/>
    <w:rsid w:val="004B1C68"/>
    <w:rsid w:val="004B2AFF"/>
    <w:rsid w:val="004B61A2"/>
    <w:rsid w:val="004C129A"/>
    <w:rsid w:val="004C23E9"/>
    <w:rsid w:val="004C2FDD"/>
    <w:rsid w:val="004C4727"/>
    <w:rsid w:val="004C54E4"/>
    <w:rsid w:val="004C6DAB"/>
    <w:rsid w:val="004C7C5A"/>
    <w:rsid w:val="004D0CAC"/>
    <w:rsid w:val="004D2FBF"/>
    <w:rsid w:val="004D391F"/>
    <w:rsid w:val="004D39F4"/>
    <w:rsid w:val="004D77C6"/>
    <w:rsid w:val="004E2BD3"/>
    <w:rsid w:val="004E32B1"/>
    <w:rsid w:val="004E49B9"/>
    <w:rsid w:val="004E5C56"/>
    <w:rsid w:val="004E6707"/>
    <w:rsid w:val="004E7A4E"/>
    <w:rsid w:val="004F09A1"/>
    <w:rsid w:val="004F2442"/>
    <w:rsid w:val="004F43A6"/>
    <w:rsid w:val="004F519F"/>
    <w:rsid w:val="004F668E"/>
    <w:rsid w:val="00503055"/>
    <w:rsid w:val="00503242"/>
    <w:rsid w:val="00504727"/>
    <w:rsid w:val="005063E4"/>
    <w:rsid w:val="00506EB8"/>
    <w:rsid w:val="00506EDA"/>
    <w:rsid w:val="005072EE"/>
    <w:rsid w:val="005076B1"/>
    <w:rsid w:val="00510FF4"/>
    <w:rsid w:val="005113A8"/>
    <w:rsid w:val="005133AD"/>
    <w:rsid w:val="00516068"/>
    <w:rsid w:val="00516519"/>
    <w:rsid w:val="00517AD0"/>
    <w:rsid w:val="00517E20"/>
    <w:rsid w:val="005220ED"/>
    <w:rsid w:val="00522BE9"/>
    <w:rsid w:val="00523199"/>
    <w:rsid w:val="00523722"/>
    <w:rsid w:val="00524225"/>
    <w:rsid w:val="0052596E"/>
    <w:rsid w:val="005268E2"/>
    <w:rsid w:val="00527067"/>
    <w:rsid w:val="00532ABD"/>
    <w:rsid w:val="005330D0"/>
    <w:rsid w:val="00536A0E"/>
    <w:rsid w:val="005370BA"/>
    <w:rsid w:val="0053776A"/>
    <w:rsid w:val="00540583"/>
    <w:rsid w:val="005407B3"/>
    <w:rsid w:val="0054098D"/>
    <w:rsid w:val="00542CC6"/>
    <w:rsid w:val="00542F69"/>
    <w:rsid w:val="00543487"/>
    <w:rsid w:val="00543B19"/>
    <w:rsid w:val="0054400D"/>
    <w:rsid w:val="0054416F"/>
    <w:rsid w:val="00545063"/>
    <w:rsid w:val="00546F35"/>
    <w:rsid w:val="0055077B"/>
    <w:rsid w:val="00550E1B"/>
    <w:rsid w:val="00554309"/>
    <w:rsid w:val="00554CE9"/>
    <w:rsid w:val="00554FAF"/>
    <w:rsid w:val="00555E2B"/>
    <w:rsid w:val="005561A1"/>
    <w:rsid w:val="00560D63"/>
    <w:rsid w:val="005610BB"/>
    <w:rsid w:val="005636B7"/>
    <w:rsid w:val="00563820"/>
    <w:rsid w:val="0056434F"/>
    <w:rsid w:val="00570D04"/>
    <w:rsid w:val="00570DA3"/>
    <w:rsid w:val="00571CB3"/>
    <w:rsid w:val="00571F06"/>
    <w:rsid w:val="0057295E"/>
    <w:rsid w:val="00573083"/>
    <w:rsid w:val="0057379D"/>
    <w:rsid w:val="005745AD"/>
    <w:rsid w:val="00574911"/>
    <w:rsid w:val="00575DD2"/>
    <w:rsid w:val="005820FC"/>
    <w:rsid w:val="005822CC"/>
    <w:rsid w:val="005824BE"/>
    <w:rsid w:val="005834B8"/>
    <w:rsid w:val="005839E7"/>
    <w:rsid w:val="0058476A"/>
    <w:rsid w:val="005860C7"/>
    <w:rsid w:val="00590F08"/>
    <w:rsid w:val="00591EA4"/>
    <w:rsid w:val="0059653E"/>
    <w:rsid w:val="00597322"/>
    <w:rsid w:val="005A2686"/>
    <w:rsid w:val="005A26CA"/>
    <w:rsid w:val="005A3094"/>
    <w:rsid w:val="005A3D03"/>
    <w:rsid w:val="005A4315"/>
    <w:rsid w:val="005A6785"/>
    <w:rsid w:val="005B095C"/>
    <w:rsid w:val="005B0BE4"/>
    <w:rsid w:val="005B18B4"/>
    <w:rsid w:val="005B284E"/>
    <w:rsid w:val="005B2B25"/>
    <w:rsid w:val="005B3602"/>
    <w:rsid w:val="005B5C6B"/>
    <w:rsid w:val="005B6BC0"/>
    <w:rsid w:val="005B7ABD"/>
    <w:rsid w:val="005B7D40"/>
    <w:rsid w:val="005C0775"/>
    <w:rsid w:val="005C4B6B"/>
    <w:rsid w:val="005C7D29"/>
    <w:rsid w:val="005D234B"/>
    <w:rsid w:val="005D2ADA"/>
    <w:rsid w:val="005D64F1"/>
    <w:rsid w:val="005E294F"/>
    <w:rsid w:val="005E3458"/>
    <w:rsid w:val="005E77FD"/>
    <w:rsid w:val="005F1300"/>
    <w:rsid w:val="005F5499"/>
    <w:rsid w:val="00603538"/>
    <w:rsid w:val="00606048"/>
    <w:rsid w:val="00606C72"/>
    <w:rsid w:val="006073F2"/>
    <w:rsid w:val="00607519"/>
    <w:rsid w:val="00610A40"/>
    <w:rsid w:val="00613573"/>
    <w:rsid w:val="00613E64"/>
    <w:rsid w:val="00614C8F"/>
    <w:rsid w:val="00615AC6"/>
    <w:rsid w:val="00615DB7"/>
    <w:rsid w:val="00616AD8"/>
    <w:rsid w:val="00617433"/>
    <w:rsid w:val="00617D6F"/>
    <w:rsid w:val="00620AB8"/>
    <w:rsid w:val="0062134A"/>
    <w:rsid w:val="006215D1"/>
    <w:rsid w:val="0062246A"/>
    <w:rsid w:val="00627D8D"/>
    <w:rsid w:val="00632C63"/>
    <w:rsid w:val="00634C2A"/>
    <w:rsid w:val="0063522F"/>
    <w:rsid w:val="00636461"/>
    <w:rsid w:val="0063651B"/>
    <w:rsid w:val="00641D6A"/>
    <w:rsid w:val="00643FE9"/>
    <w:rsid w:val="00645074"/>
    <w:rsid w:val="006456F0"/>
    <w:rsid w:val="00647F43"/>
    <w:rsid w:val="00651A38"/>
    <w:rsid w:val="00652818"/>
    <w:rsid w:val="0065324A"/>
    <w:rsid w:val="00654C98"/>
    <w:rsid w:val="00655BA6"/>
    <w:rsid w:val="006579F8"/>
    <w:rsid w:val="00657A77"/>
    <w:rsid w:val="00660A10"/>
    <w:rsid w:val="006617EF"/>
    <w:rsid w:val="00661A5E"/>
    <w:rsid w:val="00661D47"/>
    <w:rsid w:val="00663154"/>
    <w:rsid w:val="00665A73"/>
    <w:rsid w:val="00665D44"/>
    <w:rsid w:val="00667D9E"/>
    <w:rsid w:val="0067193B"/>
    <w:rsid w:val="00672271"/>
    <w:rsid w:val="00676AEB"/>
    <w:rsid w:val="00681828"/>
    <w:rsid w:val="00681AD4"/>
    <w:rsid w:val="00683712"/>
    <w:rsid w:val="006868B0"/>
    <w:rsid w:val="00691027"/>
    <w:rsid w:val="00695407"/>
    <w:rsid w:val="00695568"/>
    <w:rsid w:val="006957F1"/>
    <w:rsid w:val="00696238"/>
    <w:rsid w:val="00696A64"/>
    <w:rsid w:val="00696AA7"/>
    <w:rsid w:val="006A08CB"/>
    <w:rsid w:val="006A1174"/>
    <w:rsid w:val="006A25E5"/>
    <w:rsid w:val="006A2FDE"/>
    <w:rsid w:val="006A3531"/>
    <w:rsid w:val="006A4086"/>
    <w:rsid w:val="006B1BE0"/>
    <w:rsid w:val="006B297F"/>
    <w:rsid w:val="006B61F5"/>
    <w:rsid w:val="006B77C8"/>
    <w:rsid w:val="006C2546"/>
    <w:rsid w:val="006C2B2A"/>
    <w:rsid w:val="006C4143"/>
    <w:rsid w:val="006D04A5"/>
    <w:rsid w:val="006D0693"/>
    <w:rsid w:val="006D4605"/>
    <w:rsid w:val="006D6FBD"/>
    <w:rsid w:val="006D7AE1"/>
    <w:rsid w:val="006D7E64"/>
    <w:rsid w:val="006E5902"/>
    <w:rsid w:val="006E64BD"/>
    <w:rsid w:val="006E72D3"/>
    <w:rsid w:val="006F1DCC"/>
    <w:rsid w:val="006F1F1B"/>
    <w:rsid w:val="006F2CC2"/>
    <w:rsid w:val="006F3169"/>
    <w:rsid w:val="006F3192"/>
    <w:rsid w:val="006F4B9C"/>
    <w:rsid w:val="006F5005"/>
    <w:rsid w:val="006F6D96"/>
    <w:rsid w:val="006F7CD1"/>
    <w:rsid w:val="007000F7"/>
    <w:rsid w:val="007001F7"/>
    <w:rsid w:val="00702F47"/>
    <w:rsid w:val="007053B6"/>
    <w:rsid w:val="00707035"/>
    <w:rsid w:val="00707C30"/>
    <w:rsid w:val="00712C14"/>
    <w:rsid w:val="00715E54"/>
    <w:rsid w:val="00715F9C"/>
    <w:rsid w:val="00717053"/>
    <w:rsid w:val="007204D4"/>
    <w:rsid w:val="00721B43"/>
    <w:rsid w:val="007222E1"/>
    <w:rsid w:val="0072261B"/>
    <w:rsid w:val="00723A85"/>
    <w:rsid w:val="00724A8D"/>
    <w:rsid w:val="00724E2C"/>
    <w:rsid w:val="00726C59"/>
    <w:rsid w:val="00726E8C"/>
    <w:rsid w:val="00727CBA"/>
    <w:rsid w:val="00732A5C"/>
    <w:rsid w:val="00734577"/>
    <w:rsid w:val="007361BE"/>
    <w:rsid w:val="00736E33"/>
    <w:rsid w:val="00740663"/>
    <w:rsid w:val="00740BFD"/>
    <w:rsid w:val="0074314C"/>
    <w:rsid w:val="00746CF8"/>
    <w:rsid w:val="00752368"/>
    <w:rsid w:val="00752E77"/>
    <w:rsid w:val="007548FE"/>
    <w:rsid w:val="007601F5"/>
    <w:rsid w:val="0076326D"/>
    <w:rsid w:val="00763C7C"/>
    <w:rsid w:val="007660BE"/>
    <w:rsid w:val="0076647F"/>
    <w:rsid w:val="007674F5"/>
    <w:rsid w:val="00771631"/>
    <w:rsid w:val="007718E5"/>
    <w:rsid w:val="00772FE6"/>
    <w:rsid w:val="007730F9"/>
    <w:rsid w:val="00774DA6"/>
    <w:rsid w:val="00777E42"/>
    <w:rsid w:val="00780B3B"/>
    <w:rsid w:val="00780C9D"/>
    <w:rsid w:val="007861E7"/>
    <w:rsid w:val="00786591"/>
    <w:rsid w:val="00790079"/>
    <w:rsid w:val="007918CE"/>
    <w:rsid w:val="00791A51"/>
    <w:rsid w:val="0079285E"/>
    <w:rsid w:val="0079346F"/>
    <w:rsid w:val="007935A5"/>
    <w:rsid w:val="00794C91"/>
    <w:rsid w:val="00794F93"/>
    <w:rsid w:val="00795B8C"/>
    <w:rsid w:val="007A0B34"/>
    <w:rsid w:val="007A2DC8"/>
    <w:rsid w:val="007A3384"/>
    <w:rsid w:val="007A3B1F"/>
    <w:rsid w:val="007A7341"/>
    <w:rsid w:val="007B182B"/>
    <w:rsid w:val="007B2367"/>
    <w:rsid w:val="007B36A5"/>
    <w:rsid w:val="007B3911"/>
    <w:rsid w:val="007B5403"/>
    <w:rsid w:val="007B5A5E"/>
    <w:rsid w:val="007B7DF4"/>
    <w:rsid w:val="007C0931"/>
    <w:rsid w:val="007C2A7A"/>
    <w:rsid w:val="007C31CB"/>
    <w:rsid w:val="007C636C"/>
    <w:rsid w:val="007D22D2"/>
    <w:rsid w:val="007D46B7"/>
    <w:rsid w:val="007D4BF8"/>
    <w:rsid w:val="007D52EA"/>
    <w:rsid w:val="007D6D0A"/>
    <w:rsid w:val="007D6E4D"/>
    <w:rsid w:val="007E0DCA"/>
    <w:rsid w:val="007E1B93"/>
    <w:rsid w:val="007E2F9D"/>
    <w:rsid w:val="007E4A90"/>
    <w:rsid w:val="007E76E8"/>
    <w:rsid w:val="007F0D93"/>
    <w:rsid w:val="007F1806"/>
    <w:rsid w:val="007F18F0"/>
    <w:rsid w:val="00801198"/>
    <w:rsid w:val="008033F7"/>
    <w:rsid w:val="00804345"/>
    <w:rsid w:val="008062F3"/>
    <w:rsid w:val="0081529F"/>
    <w:rsid w:val="0082264F"/>
    <w:rsid w:val="00822DEC"/>
    <w:rsid w:val="00831021"/>
    <w:rsid w:val="00831145"/>
    <w:rsid w:val="00832312"/>
    <w:rsid w:val="00836D29"/>
    <w:rsid w:val="00840776"/>
    <w:rsid w:val="00840D7D"/>
    <w:rsid w:val="00841F29"/>
    <w:rsid w:val="0084267D"/>
    <w:rsid w:val="008440CD"/>
    <w:rsid w:val="00845DF9"/>
    <w:rsid w:val="0085127D"/>
    <w:rsid w:val="00853AA2"/>
    <w:rsid w:val="00856AD2"/>
    <w:rsid w:val="0085734D"/>
    <w:rsid w:val="00861D2E"/>
    <w:rsid w:val="008624F9"/>
    <w:rsid w:val="00862C36"/>
    <w:rsid w:val="0086438B"/>
    <w:rsid w:val="00866102"/>
    <w:rsid w:val="00870455"/>
    <w:rsid w:val="0087086D"/>
    <w:rsid w:val="008714D7"/>
    <w:rsid w:val="00872DC8"/>
    <w:rsid w:val="00873BF0"/>
    <w:rsid w:val="00875455"/>
    <w:rsid w:val="00875C51"/>
    <w:rsid w:val="00880F2E"/>
    <w:rsid w:val="008813A8"/>
    <w:rsid w:val="00884027"/>
    <w:rsid w:val="00885DDA"/>
    <w:rsid w:val="0089030D"/>
    <w:rsid w:val="00890FB0"/>
    <w:rsid w:val="0089141A"/>
    <w:rsid w:val="008941CE"/>
    <w:rsid w:val="008954D9"/>
    <w:rsid w:val="00895E4C"/>
    <w:rsid w:val="00895EB9"/>
    <w:rsid w:val="008A053A"/>
    <w:rsid w:val="008A07F4"/>
    <w:rsid w:val="008A0D22"/>
    <w:rsid w:val="008A2B5E"/>
    <w:rsid w:val="008A578D"/>
    <w:rsid w:val="008A6903"/>
    <w:rsid w:val="008A73B6"/>
    <w:rsid w:val="008B0133"/>
    <w:rsid w:val="008B01DF"/>
    <w:rsid w:val="008B12ED"/>
    <w:rsid w:val="008B2A44"/>
    <w:rsid w:val="008B500A"/>
    <w:rsid w:val="008B61D2"/>
    <w:rsid w:val="008B70E9"/>
    <w:rsid w:val="008C2245"/>
    <w:rsid w:val="008C2E38"/>
    <w:rsid w:val="008C3AE2"/>
    <w:rsid w:val="008C4B8C"/>
    <w:rsid w:val="008C605B"/>
    <w:rsid w:val="008C7427"/>
    <w:rsid w:val="008D3D63"/>
    <w:rsid w:val="008D548A"/>
    <w:rsid w:val="008E086B"/>
    <w:rsid w:val="008E4A99"/>
    <w:rsid w:val="008E64BE"/>
    <w:rsid w:val="00901D62"/>
    <w:rsid w:val="00902E90"/>
    <w:rsid w:val="009040AD"/>
    <w:rsid w:val="009111B6"/>
    <w:rsid w:val="009114E3"/>
    <w:rsid w:val="00912E97"/>
    <w:rsid w:val="00914AF9"/>
    <w:rsid w:val="00916C85"/>
    <w:rsid w:val="00927C42"/>
    <w:rsid w:val="009301C0"/>
    <w:rsid w:val="00931AD3"/>
    <w:rsid w:val="009362C0"/>
    <w:rsid w:val="00945370"/>
    <w:rsid w:val="00946F05"/>
    <w:rsid w:val="00950BD7"/>
    <w:rsid w:val="00952AD7"/>
    <w:rsid w:val="009540A4"/>
    <w:rsid w:val="00960FC0"/>
    <w:rsid w:val="0096278F"/>
    <w:rsid w:val="00962877"/>
    <w:rsid w:val="009634C0"/>
    <w:rsid w:val="00967FF4"/>
    <w:rsid w:val="00973033"/>
    <w:rsid w:val="00973D80"/>
    <w:rsid w:val="0097501B"/>
    <w:rsid w:val="00977279"/>
    <w:rsid w:val="00981828"/>
    <w:rsid w:val="00982388"/>
    <w:rsid w:val="00983C01"/>
    <w:rsid w:val="0098454F"/>
    <w:rsid w:val="009855A8"/>
    <w:rsid w:val="00985BFC"/>
    <w:rsid w:val="009905EA"/>
    <w:rsid w:val="009921B1"/>
    <w:rsid w:val="009959F7"/>
    <w:rsid w:val="009972F0"/>
    <w:rsid w:val="009A06F8"/>
    <w:rsid w:val="009A34DE"/>
    <w:rsid w:val="009A3E33"/>
    <w:rsid w:val="009A4188"/>
    <w:rsid w:val="009A4494"/>
    <w:rsid w:val="009A6475"/>
    <w:rsid w:val="009B0CC2"/>
    <w:rsid w:val="009B21DA"/>
    <w:rsid w:val="009B3EB0"/>
    <w:rsid w:val="009B5334"/>
    <w:rsid w:val="009B5B85"/>
    <w:rsid w:val="009B6064"/>
    <w:rsid w:val="009B66BD"/>
    <w:rsid w:val="009C00D3"/>
    <w:rsid w:val="009C0B73"/>
    <w:rsid w:val="009C360F"/>
    <w:rsid w:val="009C5092"/>
    <w:rsid w:val="009D1C32"/>
    <w:rsid w:val="009D2143"/>
    <w:rsid w:val="009D27B1"/>
    <w:rsid w:val="009D2B1C"/>
    <w:rsid w:val="009D2E7E"/>
    <w:rsid w:val="009D36FF"/>
    <w:rsid w:val="009D4C3B"/>
    <w:rsid w:val="009D62C3"/>
    <w:rsid w:val="009D7DF9"/>
    <w:rsid w:val="009E37F0"/>
    <w:rsid w:val="009E41A1"/>
    <w:rsid w:val="009E4246"/>
    <w:rsid w:val="009E49A7"/>
    <w:rsid w:val="009F0FA3"/>
    <w:rsid w:val="009F5174"/>
    <w:rsid w:val="009F7D92"/>
    <w:rsid w:val="00A000D8"/>
    <w:rsid w:val="00A006EE"/>
    <w:rsid w:val="00A01C68"/>
    <w:rsid w:val="00A01D0A"/>
    <w:rsid w:val="00A0613C"/>
    <w:rsid w:val="00A06FFE"/>
    <w:rsid w:val="00A12243"/>
    <w:rsid w:val="00A1492E"/>
    <w:rsid w:val="00A205E7"/>
    <w:rsid w:val="00A211D5"/>
    <w:rsid w:val="00A227F8"/>
    <w:rsid w:val="00A23CEA"/>
    <w:rsid w:val="00A24687"/>
    <w:rsid w:val="00A2654C"/>
    <w:rsid w:val="00A26F27"/>
    <w:rsid w:val="00A27331"/>
    <w:rsid w:val="00A31C78"/>
    <w:rsid w:val="00A34E7C"/>
    <w:rsid w:val="00A3533D"/>
    <w:rsid w:val="00A36542"/>
    <w:rsid w:val="00A40CF9"/>
    <w:rsid w:val="00A438AD"/>
    <w:rsid w:val="00A45424"/>
    <w:rsid w:val="00A459B8"/>
    <w:rsid w:val="00A47232"/>
    <w:rsid w:val="00A472EF"/>
    <w:rsid w:val="00A47635"/>
    <w:rsid w:val="00A513B9"/>
    <w:rsid w:val="00A51F9D"/>
    <w:rsid w:val="00A52895"/>
    <w:rsid w:val="00A55D4B"/>
    <w:rsid w:val="00A571C2"/>
    <w:rsid w:val="00A61643"/>
    <w:rsid w:val="00A648EE"/>
    <w:rsid w:val="00A658A2"/>
    <w:rsid w:val="00A7313D"/>
    <w:rsid w:val="00A73DD6"/>
    <w:rsid w:val="00A771AE"/>
    <w:rsid w:val="00A77BF6"/>
    <w:rsid w:val="00A810BE"/>
    <w:rsid w:val="00A81532"/>
    <w:rsid w:val="00A81E78"/>
    <w:rsid w:val="00A840B0"/>
    <w:rsid w:val="00A84C7F"/>
    <w:rsid w:val="00A865F6"/>
    <w:rsid w:val="00A95361"/>
    <w:rsid w:val="00A9548D"/>
    <w:rsid w:val="00A95C97"/>
    <w:rsid w:val="00AA16DA"/>
    <w:rsid w:val="00AA3D1D"/>
    <w:rsid w:val="00AA6976"/>
    <w:rsid w:val="00AB123E"/>
    <w:rsid w:val="00AB497D"/>
    <w:rsid w:val="00AB5516"/>
    <w:rsid w:val="00AB554E"/>
    <w:rsid w:val="00AC672D"/>
    <w:rsid w:val="00AC6A36"/>
    <w:rsid w:val="00AC77B7"/>
    <w:rsid w:val="00AC7C70"/>
    <w:rsid w:val="00AD2AEE"/>
    <w:rsid w:val="00AD378A"/>
    <w:rsid w:val="00AD5011"/>
    <w:rsid w:val="00AD5710"/>
    <w:rsid w:val="00AE070D"/>
    <w:rsid w:val="00AE3DD6"/>
    <w:rsid w:val="00AE4685"/>
    <w:rsid w:val="00AE4AFC"/>
    <w:rsid w:val="00AF412B"/>
    <w:rsid w:val="00AF5FDB"/>
    <w:rsid w:val="00B000E6"/>
    <w:rsid w:val="00B0040D"/>
    <w:rsid w:val="00B049FB"/>
    <w:rsid w:val="00B06B46"/>
    <w:rsid w:val="00B10276"/>
    <w:rsid w:val="00B10359"/>
    <w:rsid w:val="00B114D7"/>
    <w:rsid w:val="00B11A96"/>
    <w:rsid w:val="00B12201"/>
    <w:rsid w:val="00B129CB"/>
    <w:rsid w:val="00B14576"/>
    <w:rsid w:val="00B21CC5"/>
    <w:rsid w:val="00B23A3C"/>
    <w:rsid w:val="00B2422A"/>
    <w:rsid w:val="00B2497F"/>
    <w:rsid w:val="00B25A26"/>
    <w:rsid w:val="00B26378"/>
    <w:rsid w:val="00B26936"/>
    <w:rsid w:val="00B304AC"/>
    <w:rsid w:val="00B307DC"/>
    <w:rsid w:val="00B319E1"/>
    <w:rsid w:val="00B32D41"/>
    <w:rsid w:val="00B34BE2"/>
    <w:rsid w:val="00B37593"/>
    <w:rsid w:val="00B41263"/>
    <w:rsid w:val="00B42281"/>
    <w:rsid w:val="00B472C6"/>
    <w:rsid w:val="00B50049"/>
    <w:rsid w:val="00B54D73"/>
    <w:rsid w:val="00B62600"/>
    <w:rsid w:val="00B63AE5"/>
    <w:rsid w:val="00B657F9"/>
    <w:rsid w:val="00B65BE5"/>
    <w:rsid w:val="00B700B9"/>
    <w:rsid w:val="00B731AC"/>
    <w:rsid w:val="00B73D0F"/>
    <w:rsid w:val="00B74188"/>
    <w:rsid w:val="00B749CB"/>
    <w:rsid w:val="00B772B8"/>
    <w:rsid w:val="00B8200E"/>
    <w:rsid w:val="00B8234C"/>
    <w:rsid w:val="00B84807"/>
    <w:rsid w:val="00B85115"/>
    <w:rsid w:val="00B90208"/>
    <w:rsid w:val="00B953D5"/>
    <w:rsid w:val="00B967F1"/>
    <w:rsid w:val="00BA399D"/>
    <w:rsid w:val="00BA56E3"/>
    <w:rsid w:val="00BA6345"/>
    <w:rsid w:val="00BB3209"/>
    <w:rsid w:val="00BB3368"/>
    <w:rsid w:val="00BB3A97"/>
    <w:rsid w:val="00BB6D0F"/>
    <w:rsid w:val="00BB70D2"/>
    <w:rsid w:val="00BB7BEE"/>
    <w:rsid w:val="00BB7F49"/>
    <w:rsid w:val="00BC0C5A"/>
    <w:rsid w:val="00BC0F03"/>
    <w:rsid w:val="00BC2437"/>
    <w:rsid w:val="00BC557C"/>
    <w:rsid w:val="00BC6C72"/>
    <w:rsid w:val="00BD0C4D"/>
    <w:rsid w:val="00BD267E"/>
    <w:rsid w:val="00BD26FE"/>
    <w:rsid w:val="00BD2E54"/>
    <w:rsid w:val="00BD5E3A"/>
    <w:rsid w:val="00BD7EE5"/>
    <w:rsid w:val="00BD7FD1"/>
    <w:rsid w:val="00BE1AAF"/>
    <w:rsid w:val="00BE1C36"/>
    <w:rsid w:val="00BE4AD4"/>
    <w:rsid w:val="00BE6275"/>
    <w:rsid w:val="00BE6657"/>
    <w:rsid w:val="00BE6D5B"/>
    <w:rsid w:val="00BF39F0"/>
    <w:rsid w:val="00BF7911"/>
    <w:rsid w:val="00C003EE"/>
    <w:rsid w:val="00C01800"/>
    <w:rsid w:val="00C018F8"/>
    <w:rsid w:val="00C01B07"/>
    <w:rsid w:val="00C02586"/>
    <w:rsid w:val="00C06F8C"/>
    <w:rsid w:val="00C109B7"/>
    <w:rsid w:val="00C11001"/>
    <w:rsid w:val="00C136C3"/>
    <w:rsid w:val="00C13734"/>
    <w:rsid w:val="00C13F6D"/>
    <w:rsid w:val="00C155D9"/>
    <w:rsid w:val="00C15F0F"/>
    <w:rsid w:val="00C2031F"/>
    <w:rsid w:val="00C21880"/>
    <w:rsid w:val="00C2620A"/>
    <w:rsid w:val="00C26793"/>
    <w:rsid w:val="00C30F1B"/>
    <w:rsid w:val="00C3628E"/>
    <w:rsid w:val="00C375D9"/>
    <w:rsid w:val="00C410E8"/>
    <w:rsid w:val="00C41917"/>
    <w:rsid w:val="00C43510"/>
    <w:rsid w:val="00C50FA4"/>
    <w:rsid w:val="00C52755"/>
    <w:rsid w:val="00C534F4"/>
    <w:rsid w:val="00C62017"/>
    <w:rsid w:val="00C6265A"/>
    <w:rsid w:val="00C62B09"/>
    <w:rsid w:val="00C64662"/>
    <w:rsid w:val="00C64F29"/>
    <w:rsid w:val="00C65827"/>
    <w:rsid w:val="00C6599C"/>
    <w:rsid w:val="00C701FA"/>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AB3"/>
    <w:rsid w:val="00C81F8E"/>
    <w:rsid w:val="00C823F7"/>
    <w:rsid w:val="00C9255A"/>
    <w:rsid w:val="00C96D1D"/>
    <w:rsid w:val="00CA07DF"/>
    <w:rsid w:val="00CA606B"/>
    <w:rsid w:val="00CB40F9"/>
    <w:rsid w:val="00CB7573"/>
    <w:rsid w:val="00CC1082"/>
    <w:rsid w:val="00CC4180"/>
    <w:rsid w:val="00CC57EA"/>
    <w:rsid w:val="00CC65F5"/>
    <w:rsid w:val="00CC6D8A"/>
    <w:rsid w:val="00CC77B3"/>
    <w:rsid w:val="00CD0474"/>
    <w:rsid w:val="00CD142E"/>
    <w:rsid w:val="00CD1E8C"/>
    <w:rsid w:val="00CD4068"/>
    <w:rsid w:val="00CD40B8"/>
    <w:rsid w:val="00CD4FF8"/>
    <w:rsid w:val="00CD5E5B"/>
    <w:rsid w:val="00CD5E9D"/>
    <w:rsid w:val="00CD6C72"/>
    <w:rsid w:val="00CD717C"/>
    <w:rsid w:val="00CD77AB"/>
    <w:rsid w:val="00CE0D05"/>
    <w:rsid w:val="00CE3464"/>
    <w:rsid w:val="00CE3C6D"/>
    <w:rsid w:val="00CE5E1C"/>
    <w:rsid w:val="00CE61A7"/>
    <w:rsid w:val="00CE65C7"/>
    <w:rsid w:val="00CE7D64"/>
    <w:rsid w:val="00CF0456"/>
    <w:rsid w:val="00CF2766"/>
    <w:rsid w:val="00CF2F1F"/>
    <w:rsid w:val="00CF3097"/>
    <w:rsid w:val="00CF4CD5"/>
    <w:rsid w:val="00CF5058"/>
    <w:rsid w:val="00CF6801"/>
    <w:rsid w:val="00CF7750"/>
    <w:rsid w:val="00D025AD"/>
    <w:rsid w:val="00D03059"/>
    <w:rsid w:val="00D03BA6"/>
    <w:rsid w:val="00D05103"/>
    <w:rsid w:val="00D06A6D"/>
    <w:rsid w:val="00D0785C"/>
    <w:rsid w:val="00D07995"/>
    <w:rsid w:val="00D11668"/>
    <w:rsid w:val="00D1418C"/>
    <w:rsid w:val="00D1546C"/>
    <w:rsid w:val="00D16657"/>
    <w:rsid w:val="00D17142"/>
    <w:rsid w:val="00D23E9B"/>
    <w:rsid w:val="00D2438A"/>
    <w:rsid w:val="00D24FE7"/>
    <w:rsid w:val="00D253B0"/>
    <w:rsid w:val="00D2565A"/>
    <w:rsid w:val="00D36343"/>
    <w:rsid w:val="00D3EF15"/>
    <w:rsid w:val="00D40A30"/>
    <w:rsid w:val="00D40C1B"/>
    <w:rsid w:val="00D41590"/>
    <w:rsid w:val="00D4286E"/>
    <w:rsid w:val="00D46952"/>
    <w:rsid w:val="00D471DC"/>
    <w:rsid w:val="00D5157C"/>
    <w:rsid w:val="00D52263"/>
    <w:rsid w:val="00D53D75"/>
    <w:rsid w:val="00D53DA9"/>
    <w:rsid w:val="00D6030C"/>
    <w:rsid w:val="00D6164D"/>
    <w:rsid w:val="00D61F3E"/>
    <w:rsid w:val="00D65D5C"/>
    <w:rsid w:val="00D660AD"/>
    <w:rsid w:val="00D66538"/>
    <w:rsid w:val="00D70FBD"/>
    <w:rsid w:val="00D80520"/>
    <w:rsid w:val="00D84837"/>
    <w:rsid w:val="00D84BE0"/>
    <w:rsid w:val="00D84E51"/>
    <w:rsid w:val="00D84F0D"/>
    <w:rsid w:val="00D87B8B"/>
    <w:rsid w:val="00D91312"/>
    <w:rsid w:val="00D9297E"/>
    <w:rsid w:val="00D93D74"/>
    <w:rsid w:val="00D95346"/>
    <w:rsid w:val="00D95368"/>
    <w:rsid w:val="00D96EF5"/>
    <w:rsid w:val="00D97668"/>
    <w:rsid w:val="00D97C36"/>
    <w:rsid w:val="00DA1E96"/>
    <w:rsid w:val="00DA21FD"/>
    <w:rsid w:val="00DA35C9"/>
    <w:rsid w:val="00DA3ACF"/>
    <w:rsid w:val="00DA42F5"/>
    <w:rsid w:val="00DA4EAA"/>
    <w:rsid w:val="00DA4F9A"/>
    <w:rsid w:val="00DA53D7"/>
    <w:rsid w:val="00DA58F1"/>
    <w:rsid w:val="00DA5B9B"/>
    <w:rsid w:val="00DA5D5D"/>
    <w:rsid w:val="00DA61C2"/>
    <w:rsid w:val="00DA71C7"/>
    <w:rsid w:val="00DA77AA"/>
    <w:rsid w:val="00DB1203"/>
    <w:rsid w:val="00DB47CB"/>
    <w:rsid w:val="00DB48CD"/>
    <w:rsid w:val="00DB6904"/>
    <w:rsid w:val="00DB6E30"/>
    <w:rsid w:val="00DB746A"/>
    <w:rsid w:val="00DC1E07"/>
    <w:rsid w:val="00DC233A"/>
    <w:rsid w:val="00DC4C79"/>
    <w:rsid w:val="00DC51F0"/>
    <w:rsid w:val="00DC5B01"/>
    <w:rsid w:val="00DD186C"/>
    <w:rsid w:val="00DD1F31"/>
    <w:rsid w:val="00DD40A2"/>
    <w:rsid w:val="00DD5B6D"/>
    <w:rsid w:val="00DE02A8"/>
    <w:rsid w:val="00DE18CC"/>
    <w:rsid w:val="00DE1C9C"/>
    <w:rsid w:val="00DE3B67"/>
    <w:rsid w:val="00DE7854"/>
    <w:rsid w:val="00DF2149"/>
    <w:rsid w:val="00DF434D"/>
    <w:rsid w:val="00DF4DC0"/>
    <w:rsid w:val="00DF556E"/>
    <w:rsid w:val="00DF7BAC"/>
    <w:rsid w:val="00DF7F44"/>
    <w:rsid w:val="00E025F8"/>
    <w:rsid w:val="00E03454"/>
    <w:rsid w:val="00E03657"/>
    <w:rsid w:val="00E05253"/>
    <w:rsid w:val="00E06A99"/>
    <w:rsid w:val="00E1056B"/>
    <w:rsid w:val="00E1230D"/>
    <w:rsid w:val="00E1649E"/>
    <w:rsid w:val="00E2048E"/>
    <w:rsid w:val="00E2069E"/>
    <w:rsid w:val="00E21C1D"/>
    <w:rsid w:val="00E24117"/>
    <w:rsid w:val="00E2565B"/>
    <w:rsid w:val="00E25AE9"/>
    <w:rsid w:val="00E318AD"/>
    <w:rsid w:val="00E32385"/>
    <w:rsid w:val="00E350FC"/>
    <w:rsid w:val="00E3587A"/>
    <w:rsid w:val="00E37CF7"/>
    <w:rsid w:val="00E42463"/>
    <w:rsid w:val="00E4437C"/>
    <w:rsid w:val="00E46E3A"/>
    <w:rsid w:val="00E50CC3"/>
    <w:rsid w:val="00E50EBF"/>
    <w:rsid w:val="00E51123"/>
    <w:rsid w:val="00E54467"/>
    <w:rsid w:val="00E54622"/>
    <w:rsid w:val="00E56BED"/>
    <w:rsid w:val="00E57F27"/>
    <w:rsid w:val="00E63AB7"/>
    <w:rsid w:val="00E65829"/>
    <w:rsid w:val="00E65962"/>
    <w:rsid w:val="00E66261"/>
    <w:rsid w:val="00E700C6"/>
    <w:rsid w:val="00E711F4"/>
    <w:rsid w:val="00E72A4E"/>
    <w:rsid w:val="00E7311B"/>
    <w:rsid w:val="00E74C58"/>
    <w:rsid w:val="00E75339"/>
    <w:rsid w:val="00E761F8"/>
    <w:rsid w:val="00E801F5"/>
    <w:rsid w:val="00E81268"/>
    <w:rsid w:val="00E82610"/>
    <w:rsid w:val="00E82C47"/>
    <w:rsid w:val="00E86D05"/>
    <w:rsid w:val="00E874E5"/>
    <w:rsid w:val="00E87CB4"/>
    <w:rsid w:val="00E904D0"/>
    <w:rsid w:val="00E912BB"/>
    <w:rsid w:val="00E9210E"/>
    <w:rsid w:val="00E93247"/>
    <w:rsid w:val="00E93670"/>
    <w:rsid w:val="00E95D46"/>
    <w:rsid w:val="00E97002"/>
    <w:rsid w:val="00E97469"/>
    <w:rsid w:val="00E979C6"/>
    <w:rsid w:val="00EA0998"/>
    <w:rsid w:val="00EA124E"/>
    <w:rsid w:val="00EA3AEA"/>
    <w:rsid w:val="00EA4C26"/>
    <w:rsid w:val="00EB228B"/>
    <w:rsid w:val="00EB2E55"/>
    <w:rsid w:val="00EB406B"/>
    <w:rsid w:val="00EB40D5"/>
    <w:rsid w:val="00EB650C"/>
    <w:rsid w:val="00EC1414"/>
    <w:rsid w:val="00EC17EF"/>
    <w:rsid w:val="00EC18E8"/>
    <w:rsid w:val="00EC2C50"/>
    <w:rsid w:val="00EC5F83"/>
    <w:rsid w:val="00EC602C"/>
    <w:rsid w:val="00ED0C51"/>
    <w:rsid w:val="00ED1272"/>
    <w:rsid w:val="00ED1AE6"/>
    <w:rsid w:val="00ED1D99"/>
    <w:rsid w:val="00ED2112"/>
    <w:rsid w:val="00ED29DA"/>
    <w:rsid w:val="00ED2A78"/>
    <w:rsid w:val="00ED415C"/>
    <w:rsid w:val="00ED4887"/>
    <w:rsid w:val="00ED5492"/>
    <w:rsid w:val="00EE1324"/>
    <w:rsid w:val="00EE1AF5"/>
    <w:rsid w:val="00EE2DCF"/>
    <w:rsid w:val="00EE3CC9"/>
    <w:rsid w:val="00EE659B"/>
    <w:rsid w:val="00EE7A62"/>
    <w:rsid w:val="00EF00DB"/>
    <w:rsid w:val="00EF305C"/>
    <w:rsid w:val="00EF39FA"/>
    <w:rsid w:val="00EF4414"/>
    <w:rsid w:val="00EF5A03"/>
    <w:rsid w:val="00EF648D"/>
    <w:rsid w:val="00EF6518"/>
    <w:rsid w:val="00EF7B4F"/>
    <w:rsid w:val="00F06F61"/>
    <w:rsid w:val="00F07B26"/>
    <w:rsid w:val="00F1113F"/>
    <w:rsid w:val="00F1193E"/>
    <w:rsid w:val="00F1549C"/>
    <w:rsid w:val="00F17164"/>
    <w:rsid w:val="00F20C2F"/>
    <w:rsid w:val="00F22383"/>
    <w:rsid w:val="00F24389"/>
    <w:rsid w:val="00F253DA"/>
    <w:rsid w:val="00F2781E"/>
    <w:rsid w:val="00F31DC1"/>
    <w:rsid w:val="00F339AC"/>
    <w:rsid w:val="00F35601"/>
    <w:rsid w:val="00F35C8B"/>
    <w:rsid w:val="00F41397"/>
    <w:rsid w:val="00F42BFF"/>
    <w:rsid w:val="00F476D2"/>
    <w:rsid w:val="00F53307"/>
    <w:rsid w:val="00F562CF"/>
    <w:rsid w:val="00F61001"/>
    <w:rsid w:val="00F6197A"/>
    <w:rsid w:val="00F61BE5"/>
    <w:rsid w:val="00F636BD"/>
    <w:rsid w:val="00F6459F"/>
    <w:rsid w:val="00F65191"/>
    <w:rsid w:val="00F665E9"/>
    <w:rsid w:val="00F708D6"/>
    <w:rsid w:val="00F70986"/>
    <w:rsid w:val="00F71617"/>
    <w:rsid w:val="00F72F37"/>
    <w:rsid w:val="00F7553E"/>
    <w:rsid w:val="00F758C2"/>
    <w:rsid w:val="00F772A5"/>
    <w:rsid w:val="00F8059B"/>
    <w:rsid w:val="00F80AA5"/>
    <w:rsid w:val="00F84455"/>
    <w:rsid w:val="00F84D62"/>
    <w:rsid w:val="00F857E0"/>
    <w:rsid w:val="00F917AD"/>
    <w:rsid w:val="00F92AD4"/>
    <w:rsid w:val="00F932B7"/>
    <w:rsid w:val="00F950DC"/>
    <w:rsid w:val="00F972A5"/>
    <w:rsid w:val="00FA10E7"/>
    <w:rsid w:val="00FA3ABC"/>
    <w:rsid w:val="00FA776C"/>
    <w:rsid w:val="00FA7854"/>
    <w:rsid w:val="00FB3B5F"/>
    <w:rsid w:val="00FB4AE5"/>
    <w:rsid w:val="00FB5B39"/>
    <w:rsid w:val="00FB5EFC"/>
    <w:rsid w:val="00FB6810"/>
    <w:rsid w:val="00FB701E"/>
    <w:rsid w:val="00FB76A8"/>
    <w:rsid w:val="00FC1E24"/>
    <w:rsid w:val="00FC5AB8"/>
    <w:rsid w:val="00FC64EF"/>
    <w:rsid w:val="00FC6C56"/>
    <w:rsid w:val="00FD23F5"/>
    <w:rsid w:val="00FD3480"/>
    <w:rsid w:val="00FD40ED"/>
    <w:rsid w:val="00FD6F57"/>
    <w:rsid w:val="00FE0502"/>
    <w:rsid w:val="00FE3921"/>
    <w:rsid w:val="00FE56A9"/>
    <w:rsid w:val="00FE5839"/>
    <w:rsid w:val="00FE7BA7"/>
    <w:rsid w:val="00FF0C81"/>
    <w:rsid w:val="00FF1358"/>
    <w:rsid w:val="00FF249A"/>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05F18A35-A6FD-4E3B-8FB7-DEB56C8C9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466F33"/>
    <w:pPr>
      <w:spacing w:line="276" w:lineRule="auto"/>
      <w:jc w:val="both"/>
    </w:pPr>
    <w:rPr>
      <w:rFonts w:ascii="Times New Roman" w:hAnsi="Times New Roman"/>
      <w:sz w:val="24"/>
      <w:lang w:val="en-GB"/>
    </w:rPr>
  </w:style>
  <w:style w:type="paragraph" w:styleId="Naslov1">
    <w:name w:val="heading 1"/>
    <w:basedOn w:val="Navaden"/>
    <w:next w:val="Navaden"/>
    <w:link w:val="Naslov1Znak"/>
    <w:uiPriority w:val="9"/>
    <w:qFormat/>
    <w:rsid w:val="00CD77AB"/>
    <w:pPr>
      <w:ind w:left="720"/>
      <w:outlineLvl w:val="0"/>
    </w:pPr>
    <w:rPr>
      <w:rFonts w:eastAsia="Times New Roman" w:cs="Times New Roman"/>
      <w:b/>
      <w:bCs/>
      <w:color w:val="000000" w:themeColor="text1"/>
      <w:szCs w:val="24"/>
    </w:rPr>
  </w:style>
  <w:style w:type="paragraph" w:styleId="Naslov2">
    <w:name w:val="heading 2"/>
    <w:basedOn w:val="Naslov1"/>
    <w:next w:val="Navaden"/>
    <w:link w:val="Naslov2Znak"/>
    <w:uiPriority w:val="9"/>
    <w:unhideWhenUsed/>
    <w:qFormat/>
    <w:rsid w:val="002F2009"/>
    <w:pPr>
      <w:numPr>
        <w:ilvl w:val="1"/>
        <w:numId w:val="2"/>
      </w:numPr>
      <w:outlineLvl w:val="1"/>
    </w:pPr>
    <w:rPr>
      <w:b w:val="0"/>
      <w:szCs w:val="22"/>
    </w:rPr>
  </w:style>
  <w:style w:type="paragraph" w:styleId="Naslov3">
    <w:name w:val="heading 3"/>
    <w:basedOn w:val="Naslov2"/>
    <w:next w:val="Navaden"/>
    <w:link w:val="Naslov3Znak"/>
    <w:uiPriority w:val="9"/>
    <w:unhideWhenUsed/>
    <w:qFormat/>
    <w:rsid w:val="002F2009"/>
    <w:pPr>
      <w:keepNext/>
      <w:keepLines/>
      <w:numPr>
        <w:ilvl w:val="2"/>
      </w:numPr>
      <w:spacing w:before="120" w:after="120"/>
      <w:outlineLvl w:val="2"/>
    </w:pPr>
    <w:rPr>
      <w:rFonts w:eastAsiaTheme="majorEastAsia" w:cstheme="majorBidi"/>
      <w:b/>
    </w:rPr>
  </w:style>
  <w:style w:type="paragraph" w:styleId="Naslov4">
    <w:name w:val="heading 4"/>
    <w:basedOn w:val="Naslov2"/>
    <w:next w:val="Navaden"/>
    <w:link w:val="Naslov4Znak"/>
    <w:uiPriority w:val="9"/>
    <w:unhideWhenUsed/>
    <w:qFormat/>
    <w:rsid w:val="002F2009"/>
    <w:pPr>
      <w:numPr>
        <w:ilvl w:val="3"/>
      </w:numPr>
      <w:outlineLvl w:val="3"/>
    </w:pPr>
    <w:rPr>
      <w:rFonts w:eastAsiaTheme="majorEastAsia" w:cstheme="majorBidi"/>
      <w:iCs/>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CD77AB"/>
    <w:rPr>
      <w:rFonts w:ascii="Times New Roman" w:eastAsia="Times New Roman" w:hAnsi="Times New Roman" w:cs="Times New Roman"/>
      <w:b/>
      <w:bCs/>
      <w:color w:val="000000" w:themeColor="text1"/>
      <w:sz w:val="24"/>
      <w:szCs w:val="24"/>
      <w:lang w:val="en-GB"/>
    </w:rPr>
  </w:style>
  <w:style w:type="character" w:customStyle="1" w:styleId="Naslov2Znak">
    <w:name w:val="Naslov 2 Znak"/>
    <w:basedOn w:val="Privzetapisavaodstavka"/>
    <w:link w:val="Naslov2"/>
    <w:uiPriority w:val="9"/>
    <w:qFormat/>
    <w:rsid w:val="002F2009"/>
    <w:rPr>
      <w:rFonts w:ascii="Times New Roman" w:eastAsia="Times New Roman" w:hAnsi="Times New Roman" w:cs="Times New Roman"/>
      <w:bCs/>
      <w:color w:val="000000" w:themeColor="text1"/>
      <w:sz w:val="24"/>
      <w:lang w:val="en-GB"/>
    </w:rPr>
  </w:style>
  <w:style w:type="paragraph" w:styleId="Pripombabesedilo">
    <w:name w:val="annotation text"/>
    <w:basedOn w:val="Navaden"/>
    <w:link w:val="PripombabesediloZnak"/>
    <w:uiPriority w:val="99"/>
    <w:unhideWhenUsed/>
    <w:qFormat/>
    <w:pPr>
      <w:spacing w:line="240" w:lineRule="auto"/>
    </w:pPr>
    <w:rPr>
      <w:sz w:val="20"/>
      <w:szCs w:val="20"/>
    </w:rPr>
  </w:style>
  <w:style w:type="character" w:customStyle="1" w:styleId="PripombabesediloZnak">
    <w:name w:val="Pripomba – besedilo Znak"/>
    <w:basedOn w:val="Privzetapisavaodstavka"/>
    <w:link w:val="Pripombabesedilo"/>
    <w:uiPriority w:val="99"/>
    <w:qFormat/>
    <w:rPr>
      <w:sz w:val="20"/>
      <w:szCs w:val="20"/>
    </w:rPr>
  </w:style>
  <w:style w:type="character" w:styleId="Pripombasklic">
    <w:name w:val="annotation reference"/>
    <w:basedOn w:val="Privzetapisavaodstavka"/>
    <w:uiPriority w:val="99"/>
    <w:semiHidden/>
    <w:unhideWhenUsed/>
    <w:qFormat/>
    <w:rPr>
      <w:sz w:val="16"/>
      <w:szCs w:val="16"/>
    </w:rPr>
  </w:style>
  <w:style w:type="character" w:styleId="Besedilooznabemesta">
    <w:name w:val="Placeholder Text"/>
    <w:basedOn w:val="Privzetapisavaodstavka"/>
    <w:uiPriority w:val="99"/>
    <w:semiHidden/>
    <w:rsid w:val="00BB3209"/>
    <w:rPr>
      <w:color w:val="808080"/>
    </w:rPr>
  </w:style>
  <w:style w:type="character" w:styleId="Hiperpovezava">
    <w:name w:val="Hyperlink"/>
    <w:basedOn w:val="Privzetapisavaodstavka"/>
    <w:uiPriority w:val="99"/>
    <w:unhideWhenUsed/>
    <w:rsid w:val="0089141A"/>
    <w:rPr>
      <w:color w:val="0563C1" w:themeColor="hyperlink"/>
      <w:u w:val="single"/>
    </w:rPr>
  </w:style>
  <w:style w:type="character" w:styleId="Nerazreenaomemba">
    <w:name w:val="Unresolved Mention"/>
    <w:basedOn w:val="Privzetapisavaodstavka"/>
    <w:uiPriority w:val="99"/>
    <w:semiHidden/>
    <w:unhideWhenUsed/>
    <w:rsid w:val="0089141A"/>
    <w:rPr>
      <w:color w:val="605E5C"/>
      <w:shd w:val="clear" w:color="auto" w:fill="E1DFDD"/>
    </w:rPr>
  </w:style>
  <w:style w:type="paragraph" w:styleId="Odstavekseznama">
    <w:name w:val="List Paragraph"/>
    <w:basedOn w:val="Navaden"/>
    <w:uiPriority w:val="34"/>
    <w:qFormat/>
    <w:rsid w:val="00363C22"/>
    <w:pPr>
      <w:ind w:left="720"/>
      <w:contextualSpacing/>
    </w:pPr>
  </w:style>
  <w:style w:type="paragraph" w:styleId="Zadevapripombe">
    <w:name w:val="annotation subject"/>
    <w:basedOn w:val="Pripombabesedilo"/>
    <w:next w:val="Pripombabesedilo"/>
    <w:link w:val="ZadevapripombeZnak"/>
    <w:uiPriority w:val="99"/>
    <w:semiHidden/>
    <w:unhideWhenUsed/>
    <w:rsid w:val="005745AD"/>
    <w:rPr>
      <w:b/>
      <w:bCs/>
    </w:rPr>
  </w:style>
  <w:style w:type="character" w:customStyle="1" w:styleId="ZadevapripombeZnak">
    <w:name w:val="Zadeva pripombe Znak"/>
    <w:basedOn w:val="PripombabesediloZnak"/>
    <w:link w:val="Zadevapripombe"/>
    <w:uiPriority w:val="99"/>
    <w:semiHidden/>
    <w:rsid w:val="005745AD"/>
    <w:rPr>
      <w:b/>
      <w:bCs/>
      <w:sz w:val="20"/>
      <w:szCs w:val="20"/>
    </w:rPr>
  </w:style>
  <w:style w:type="character" w:styleId="tevilkavrstice">
    <w:name w:val="line number"/>
    <w:basedOn w:val="Privzetapisavaodstavka"/>
    <w:uiPriority w:val="99"/>
    <w:semiHidden/>
    <w:unhideWhenUsed/>
    <w:rsid w:val="000A6741"/>
  </w:style>
  <w:style w:type="paragraph" w:styleId="NaslovTOC">
    <w:name w:val="TOC Heading"/>
    <w:basedOn w:val="Naslov1"/>
    <w:next w:val="Navaden"/>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Kazalovsebine1">
    <w:name w:val="toc 1"/>
    <w:basedOn w:val="Navaden"/>
    <w:next w:val="Navaden"/>
    <w:autoRedefine/>
    <w:uiPriority w:val="39"/>
    <w:unhideWhenUsed/>
    <w:rsid w:val="002845D3"/>
    <w:pPr>
      <w:spacing w:after="100"/>
    </w:pPr>
  </w:style>
  <w:style w:type="paragraph" w:styleId="Kazalovsebine2">
    <w:name w:val="toc 2"/>
    <w:basedOn w:val="Navaden"/>
    <w:next w:val="Navaden"/>
    <w:autoRedefine/>
    <w:uiPriority w:val="39"/>
    <w:unhideWhenUsed/>
    <w:rsid w:val="002845D3"/>
    <w:pPr>
      <w:spacing w:after="100"/>
      <w:ind w:left="220"/>
    </w:pPr>
  </w:style>
  <w:style w:type="character" w:customStyle="1" w:styleId="Naslov3Znak">
    <w:name w:val="Naslov 3 Znak"/>
    <w:basedOn w:val="Privzetapisavaodstavka"/>
    <w:link w:val="Naslov3"/>
    <w:uiPriority w:val="9"/>
    <w:rsid w:val="002F2009"/>
    <w:rPr>
      <w:rFonts w:ascii="Times New Roman" w:eastAsiaTheme="majorEastAsia" w:hAnsi="Times New Roman" w:cstheme="majorBidi"/>
      <w:b/>
      <w:bCs/>
      <w:color w:val="000000" w:themeColor="text1"/>
      <w:sz w:val="24"/>
      <w:lang w:val="en-GB"/>
    </w:rPr>
  </w:style>
  <w:style w:type="table" w:styleId="Tabelamrea">
    <w:name w:val="Table Grid"/>
    <w:basedOn w:val="Navadnatabela"/>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oblikovano">
    <w:name w:val="HTML Preformatted"/>
    <w:basedOn w:val="Navaden"/>
    <w:link w:val="HTML-oblikovanoZnak"/>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oblikovanoZnak">
    <w:name w:val="HTML-oblikovano Znak"/>
    <w:basedOn w:val="Privzetapisavaodstavka"/>
    <w:link w:val="HTML-oblikovano"/>
    <w:uiPriority w:val="99"/>
    <w:semiHidden/>
    <w:rsid w:val="00916C85"/>
    <w:rPr>
      <w:rFonts w:ascii="Courier New" w:eastAsia="Times New Roman" w:hAnsi="Courier New" w:cs="Courier New"/>
      <w:sz w:val="20"/>
      <w:szCs w:val="20"/>
      <w:lang w:val="sl-SI" w:eastAsia="sl-SI"/>
    </w:rPr>
  </w:style>
  <w:style w:type="character" w:customStyle="1" w:styleId="Naslov4Znak">
    <w:name w:val="Naslov 4 Znak"/>
    <w:basedOn w:val="Privzetapisavaodstavka"/>
    <w:link w:val="Naslov4"/>
    <w:uiPriority w:val="9"/>
    <w:rsid w:val="002F2009"/>
    <w:rPr>
      <w:rFonts w:ascii="Times New Roman" w:eastAsiaTheme="majorEastAsia" w:hAnsi="Times New Roman" w:cstheme="majorBidi"/>
      <w:bCs/>
      <w:iCs/>
      <w:color w:val="000000" w:themeColor="text1"/>
      <w:sz w:val="24"/>
      <w:lang w:val="en-GB"/>
    </w:rPr>
  </w:style>
  <w:style w:type="paragraph" w:styleId="Kazalovsebine3">
    <w:name w:val="toc 3"/>
    <w:basedOn w:val="Navaden"/>
    <w:next w:val="Navaden"/>
    <w:autoRedefine/>
    <w:uiPriority w:val="39"/>
    <w:unhideWhenUsed/>
    <w:rsid w:val="007361BE"/>
    <w:pPr>
      <w:spacing w:after="100"/>
      <w:ind w:left="440"/>
    </w:pPr>
  </w:style>
  <w:style w:type="character" w:styleId="SledenaHiperpovezava">
    <w:name w:val="FollowedHyperlink"/>
    <w:basedOn w:val="Privzetapisavaodstavka"/>
    <w:uiPriority w:val="99"/>
    <w:semiHidden/>
    <w:unhideWhenUsed/>
    <w:rsid w:val="001A73FB"/>
    <w:rPr>
      <w:color w:val="954F72" w:themeColor="followedHyperlink"/>
      <w:u w:val="single"/>
    </w:rPr>
  </w:style>
  <w:style w:type="character" w:customStyle="1" w:styleId="SuppelementChar">
    <w:name w:val="Suppelement Char"/>
    <w:basedOn w:val="Privzetapisavaodstavka"/>
    <w:link w:val="Suppelement"/>
    <w:qFormat/>
    <w:rsid w:val="00A24687"/>
    <w:rPr>
      <w:rFonts w:ascii="Times New Roman" w:hAnsi="Times New Roman" w:cs="Times New Roman"/>
      <w:bCs/>
      <w:sz w:val="20"/>
    </w:rPr>
  </w:style>
  <w:style w:type="paragraph" w:customStyle="1" w:styleId="Suppelement">
    <w:name w:val="Suppelement"/>
    <w:basedOn w:val="Navaden"/>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avaden"/>
    <w:link w:val="FigureTableZnak"/>
    <w:qFormat/>
    <w:rsid w:val="00723A85"/>
    <w:rPr>
      <w:rFonts w:cs="Times New Roman"/>
      <w:bCs/>
      <w:sz w:val="22"/>
    </w:rPr>
  </w:style>
  <w:style w:type="character" w:customStyle="1" w:styleId="FigureTableZnak">
    <w:name w:val="Figure_Table Znak"/>
    <w:basedOn w:val="Privzetapisavaodstavka"/>
    <w:link w:val="FigureTable"/>
    <w:rsid w:val="00723A85"/>
    <w:rPr>
      <w:rFonts w:ascii="Times New Roman" w:hAnsi="Times New Roman" w:cs="Times New Roman"/>
      <w:bCs/>
      <w:lang w:val="en-GB"/>
    </w:rPr>
  </w:style>
  <w:style w:type="paragraph" w:customStyle="1" w:styleId="Poglavja">
    <w:name w:val="Poglavja"/>
    <w:basedOn w:val="Navaden"/>
    <w:rsid w:val="009B3EB0"/>
    <w:pPr>
      <w:numPr>
        <w:numId w:val="1"/>
      </w:numPr>
    </w:pPr>
  </w:style>
  <w:style w:type="paragraph" w:styleId="Kazalovsebine4">
    <w:name w:val="toc 4"/>
    <w:basedOn w:val="Navaden"/>
    <w:next w:val="Navaden"/>
    <w:autoRedefine/>
    <w:uiPriority w:val="39"/>
    <w:unhideWhenUsed/>
    <w:rsid w:val="00466F33"/>
    <w:pPr>
      <w:spacing w:after="100"/>
      <w:ind w:left="720"/>
    </w:pPr>
  </w:style>
  <w:style w:type="paragraph" w:styleId="Glava">
    <w:name w:val="header"/>
    <w:basedOn w:val="Navaden"/>
    <w:link w:val="GlavaZnak"/>
    <w:uiPriority w:val="99"/>
    <w:unhideWhenUsed/>
    <w:rsid w:val="001C483B"/>
    <w:pPr>
      <w:tabs>
        <w:tab w:val="center" w:pos="4536"/>
        <w:tab w:val="right" w:pos="9072"/>
      </w:tabs>
      <w:spacing w:after="0" w:line="240" w:lineRule="auto"/>
    </w:pPr>
  </w:style>
  <w:style w:type="character" w:customStyle="1" w:styleId="GlavaZnak">
    <w:name w:val="Glava Znak"/>
    <w:basedOn w:val="Privzetapisavaodstavka"/>
    <w:link w:val="Glava"/>
    <w:uiPriority w:val="99"/>
    <w:rsid w:val="001C483B"/>
    <w:rPr>
      <w:rFonts w:ascii="Times New Roman" w:hAnsi="Times New Roman"/>
      <w:sz w:val="24"/>
      <w:lang w:val="en-GB"/>
    </w:rPr>
  </w:style>
  <w:style w:type="paragraph" w:styleId="Noga">
    <w:name w:val="footer"/>
    <w:basedOn w:val="Navaden"/>
    <w:link w:val="NogaZnak"/>
    <w:uiPriority w:val="99"/>
    <w:unhideWhenUsed/>
    <w:rsid w:val="001C483B"/>
    <w:pPr>
      <w:tabs>
        <w:tab w:val="center" w:pos="4536"/>
        <w:tab w:val="right" w:pos="9072"/>
      </w:tabs>
      <w:spacing w:after="0" w:line="240" w:lineRule="auto"/>
    </w:pPr>
  </w:style>
  <w:style w:type="character" w:customStyle="1" w:styleId="NogaZnak">
    <w:name w:val="Noga Znak"/>
    <w:basedOn w:val="Privzetapisavaodstavka"/>
    <w:link w:val="Noga"/>
    <w:uiPriority w:val="99"/>
    <w:rsid w:val="001C483B"/>
    <w:rPr>
      <w:rFonts w:ascii="Times New Roman" w:hAnsi="Times New Roman"/>
      <w:sz w:val="24"/>
      <w:lang w:val="en-GB"/>
    </w:rPr>
  </w:style>
  <w:style w:type="paragraph" w:styleId="Bibliografija">
    <w:name w:val="Bibliography"/>
    <w:basedOn w:val="Navaden"/>
    <w:next w:val="Navaden"/>
    <w:uiPriority w:val="37"/>
    <w:unhideWhenUsed/>
    <w:rsid w:val="001B10A8"/>
    <w:pPr>
      <w:spacing w:after="0" w:line="480" w:lineRule="auto"/>
      <w:ind w:left="720" w:hanging="720"/>
    </w:pPr>
  </w:style>
  <w:style w:type="paragraph" w:styleId="Revizija">
    <w:name w:val="Revision"/>
    <w:hidden/>
    <w:uiPriority w:val="99"/>
    <w:semiHidden/>
    <w:rsid w:val="009B6064"/>
    <w:pPr>
      <w:spacing w:after="0" w:line="240" w:lineRule="auto"/>
    </w:pPr>
    <w:rPr>
      <w:rFonts w:ascii="Times New Roman" w:hAnsi="Times New Roman"/>
      <w:sz w:val="24"/>
      <w:lang w:val="en-GB"/>
    </w:rPr>
  </w:style>
  <w:style w:type="paragraph" w:styleId="Napis">
    <w:name w:val="caption"/>
    <w:basedOn w:val="Navaden"/>
    <w:next w:val="Navaden"/>
    <w:uiPriority w:val="35"/>
    <w:unhideWhenUsed/>
    <w:qFormat/>
    <w:rsid w:val="00801198"/>
    <w:pPr>
      <w:spacing w:after="200" w:line="240" w:lineRule="auto"/>
    </w:pPr>
    <w:rPr>
      <w:b/>
      <w:iCs/>
      <w:sz w:val="20"/>
      <w:szCs w:val="18"/>
    </w:rPr>
  </w:style>
  <w:style w:type="paragraph" w:styleId="Kazaloslik">
    <w:name w:val="table of figures"/>
    <w:basedOn w:val="Navaden"/>
    <w:next w:val="Navaden"/>
    <w:uiPriority w:val="99"/>
    <w:unhideWhenUsed/>
    <w:rsid w:val="00801198"/>
    <w:pPr>
      <w:spacing w:after="0"/>
    </w:pPr>
  </w:style>
  <w:style w:type="character" w:customStyle="1" w:styleId="katex-mathml">
    <w:name w:val="katex-mathml"/>
    <w:basedOn w:val="Privzetapisavaodstavka"/>
    <w:rsid w:val="009972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81873522">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46813219">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23695010">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433746278">
      <w:bodyDiv w:val="1"/>
      <w:marLeft w:val="0"/>
      <w:marRight w:val="0"/>
      <w:marTop w:val="0"/>
      <w:marBottom w:val="0"/>
      <w:divBdr>
        <w:top w:val="none" w:sz="0" w:space="0" w:color="auto"/>
        <w:left w:val="none" w:sz="0" w:space="0" w:color="auto"/>
        <w:bottom w:val="none" w:sz="0" w:space="0" w:color="auto"/>
        <w:right w:val="none" w:sz="0" w:space="0" w:color="auto"/>
      </w:divBdr>
    </w:div>
    <w:div w:id="816847120">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57444455">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27158736">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508211206">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38096840">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06467951">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ithub.com/ursamiklavcic/PhD" TargetMode="External"/><Relationship Id="rId18" Type="http://schemas.openxmlformats.org/officeDocument/2006/relationships/image" Target="media/image6.png"/><Relationship Id="rId26" Type="http://schemas.openxmlformats.org/officeDocument/2006/relationships/image" Target="media/image14.tiff"/><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8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5447</TotalTime>
  <Pages>1</Pages>
  <Words>138715</Words>
  <Characters>790680</Characters>
  <Application>Microsoft Office Word</Application>
  <DocSecurity>0</DocSecurity>
  <Lines>6589</Lines>
  <Paragraphs>1855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927540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46</cp:revision>
  <cp:lastPrinted>2026-04-23T10:47:00Z</cp:lastPrinted>
  <dcterms:created xsi:type="dcterms:W3CDTF">2026-01-15T14:59:00Z</dcterms:created>
  <dcterms:modified xsi:type="dcterms:W3CDTF">2026-04-28T20:43:00Z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id="WZezgJu1"/&gt;&lt;style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