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5816" w14:textId="42E9D17A" w:rsidR="009407DD" w:rsidRPr="000718B9" w:rsidRDefault="006023BA" w:rsidP="002B0298">
      <w:pPr>
        <w:rPr>
          <w:rFonts w:eastAsia="Times New Roman" w:cs="Times New Roman"/>
          <w:b/>
          <w:bCs/>
          <w:lang w:val="en-GB"/>
        </w:rPr>
      </w:pPr>
      <w:r w:rsidRPr="000718B9">
        <w:rPr>
          <w:rFonts w:eastAsia="Times New Roman" w:cs="Times New Roman"/>
          <w:b/>
          <w:bCs/>
          <w:lang w:val="en-GB"/>
        </w:rPr>
        <w:t xml:space="preserve">INTRODUCTION </w:t>
      </w:r>
      <w:r w:rsidR="00165730" w:rsidRPr="000718B9">
        <w:rPr>
          <w:rFonts w:eastAsia="Times New Roman" w:cs="Times New Roman"/>
          <w:b/>
          <w:bCs/>
          <w:lang w:val="en-GB"/>
        </w:rPr>
        <w:t xml:space="preserve">PRESENTING THE RESEARCH PROBLEM, GOALS AND HYPOTHESIS </w:t>
      </w:r>
    </w:p>
    <w:p w14:paraId="51352C9C" w14:textId="78FE987F" w:rsidR="00864000" w:rsidRPr="000718B9" w:rsidRDefault="00E01EB1" w:rsidP="0014682D">
      <w:pPr>
        <w:pStyle w:val="Heading2"/>
        <w:numPr>
          <w:ilvl w:val="0"/>
          <w:numId w:val="14"/>
        </w:numPr>
        <w:rPr>
          <w:rFonts w:cs="Times New Roman"/>
          <w:lang w:val="en-GB"/>
        </w:rPr>
      </w:pPr>
      <w:r w:rsidRPr="000718B9">
        <w:rPr>
          <w:rFonts w:cs="Times New Roman"/>
          <w:lang w:val="en-GB"/>
        </w:rPr>
        <w:t xml:space="preserve">Human gut microbiota </w:t>
      </w:r>
      <w:r w:rsidR="00864000" w:rsidRPr="000718B9">
        <w:rPr>
          <w:rFonts w:cs="Times New Roman"/>
          <w:lang w:val="en-GB"/>
        </w:rPr>
        <w:t xml:space="preserve"> </w:t>
      </w:r>
    </w:p>
    <w:p w14:paraId="609D5810" w14:textId="28BA6894" w:rsidR="00DF0F01" w:rsidRPr="000718B9" w:rsidRDefault="00484C1A" w:rsidP="00DF0F01">
      <w:pPr>
        <w:rPr>
          <w:rFonts w:eastAsia="Times New Roman" w:cs="Times New Roman"/>
          <w:lang w:val="en-GB"/>
        </w:rPr>
      </w:pPr>
      <w:r w:rsidRPr="000718B9">
        <w:rPr>
          <w:lang w:val="en-GB"/>
        </w:rPr>
        <w:t xml:space="preserve">The intestine is the most densely colonized microbial habitat of the human body, </w:t>
      </w:r>
      <w:r w:rsidR="00DD49FF" w:rsidRPr="000718B9">
        <w:rPr>
          <w:lang w:val="en-GB"/>
        </w:rPr>
        <w:t>harbouring</w:t>
      </w:r>
      <w:r w:rsidRPr="000718B9">
        <w:rPr>
          <w:lang w:val="en-GB"/>
        </w:rPr>
        <w:t xml:space="preserve"> trillions of bacteria together with viruses, archaea and eukaryotes that collectively form the gut microbiota </w:t>
      </w:r>
      <w:r w:rsidRPr="000718B9">
        <w:rPr>
          <w:lang w:val="en-GB"/>
        </w:rPr>
        <w:fldChar w:fldCharType="begin"/>
      </w:r>
      <w:r w:rsidRPr="000718B9">
        <w:rPr>
          <w:lang w:val="en-GB"/>
        </w:rPr>
        <w:instrText xml:space="preserve"> ADDIN ZOTERO_ITEM CSL_CITATION {"citationID":"LdKrmiv0","properties":{"formattedCitation":"(Heidrich et al., 2025)","plainCitation":"(Heidrich et al., 2025)","noteIndex":0},"citationItems":[{"id":3463,"uris":["http://zotero.org/users/8873894/items/U5A8LQ4G"],"itemData":{"id":3463,"type":"article-journal","abstract":"As humans, we host personal microbiomes intricately connected to our biology and health. Far from being isolated entities, our microbiomes are dynamically shaped by microbial exchange with the surroundings, in lifelong microbiome acquisition and transmission processes. In this Review, we explore recent studies on how our microbiomes are transmitted, beginning at birth and during interactions with other humans and the environment. We also describe the key methodological aspects of transmission inference, based on the uniqueness of the building blocks of the microbiome — single microbial strains. A better understanding of human microbiome transmission will have implications for studies of microbial host regulation, of microbiome-associated diseases, and for effective microbiome-targeting strategies. Besides exchanging strains with other humans, there is also preliminary evidence we acquire microorganisms from animals and food, and thus a complete understanding of microbiome acquisition and transmission can only be attained by adopting a One Health perspective.","container-title":"Nature Reviews Microbiology","DOI":"10.1038/s41579-025-01166-x","ISSN":"1740-1534","issue":"9","journalAbbreviation":"Nat Rev Microbiol","language":"en","license":"2025 Springer Nature Limited","note":"publisher: Nature Publishing Group","page":"568-584","source":"www.nature.com","title":"Human microbiome acquisition and transmission","volume":"23","author":[{"family":"Heidrich","given":"Vitor"},{"family":"Valles-Colomer","given":"Mireia"},{"family":"Segata","given":"Nicola"}],"issued":{"date-parts":[["2025",9]]}}}],"schema":"https://github.com/citation-style-language/schema/raw/master/csl-citation.json"} </w:instrText>
      </w:r>
      <w:r w:rsidRPr="000718B9">
        <w:rPr>
          <w:lang w:val="en-GB"/>
        </w:rPr>
        <w:fldChar w:fldCharType="separate"/>
      </w:r>
      <w:r w:rsidRPr="000718B9">
        <w:rPr>
          <w:rFonts w:cs="Times New Roman"/>
          <w:lang w:val="en-GB"/>
        </w:rPr>
        <w:t>(Heidrich et al., 2025)</w:t>
      </w:r>
      <w:r w:rsidRPr="000718B9">
        <w:rPr>
          <w:lang w:val="en-GB"/>
        </w:rPr>
        <w:fldChar w:fldCharType="end"/>
      </w:r>
      <w:r w:rsidRPr="000718B9">
        <w:rPr>
          <w:lang w:val="en-GB"/>
        </w:rPr>
        <w:t xml:space="preserve">. </w:t>
      </w:r>
      <w:r w:rsidR="00864000" w:rsidRPr="000718B9">
        <w:rPr>
          <w:rFonts w:eastAsia="Times New Roman" w:cs="Times New Roman"/>
          <w:lang w:val="en-GB"/>
        </w:rPr>
        <w:t>Colonization begins at birth as infants acquire bacteria from their caretakers</w:t>
      </w:r>
      <w:r w:rsidRPr="000718B9">
        <w:rPr>
          <w:rFonts w:eastAsia="Times New Roman" w:cs="Times New Roman"/>
          <w:lang w:val="en-GB"/>
        </w:rPr>
        <w:t>, siblings,</w:t>
      </w:r>
      <w:r w:rsidR="00864000" w:rsidRPr="000718B9">
        <w:rPr>
          <w:rFonts w:eastAsia="Times New Roman" w:cs="Times New Roman"/>
          <w:lang w:val="en-GB"/>
        </w:rPr>
        <w:t xml:space="preserve"> and</w:t>
      </w:r>
      <w:r w:rsidRPr="000718B9">
        <w:rPr>
          <w:rFonts w:eastAsia="Times New Roman" w:cs="Times New Roman"/>
          <w:lang w:val="en-GB"/>
        </w:rPr>
        <w:t xml:space="preserve"> surrounding</w:t>
      </w:r>
      <w:r w:rsidR="00864000" w:rsidRPr="000718B9">
        <w:rPr>
          <w:rFonts w:eastAsia="Times New Roman" w:cs="Times New Roman"/>
          <w:lang w:val="en-GB"/>
        </w:rPr>
        <w:t xml:space="preserve"> environment </w:t>
      </w:r>
      <w:r w:rsidR="00864000" w:rsidRPr="000718B9">
        <w:rPr>
          <w:rFonts w:eastAsia="Times New Roman" w:cs="Times New Roman"/>
          <w:lang w:val="en-GB"/>
        </w:rPr>
        <w:fldChar w:fldCharType="begin"/>
      </w:r>
      <w:r w:rsidR="00864000" w:rsidRPr="000718B9">
        <w:rPr>
          <w:rFonts w:eastAsia="Times New Roman" w:cs="Times New Roman"/>
          <w:lang w:val="en-GB"/>
        </w:rPr>
        <w:instrText xml:space="preserve"> ADDIN ZOTERO_ITEM CSL_CITATION {"citationID":"P71XnrTf","properties":{"formattedCitation":"(Martino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Limited","note":"publisher: Nature Publishing Group","page":"1-14","source":"www.nature.com","title":"Microbiota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00864000" w:rsidRPr="000718B9">
        <w:rPr>
          <w:rFonts w:eastAsia="Times New Roman" w:cs="Times New Roman"/>
          <w:lang w:val="en-GB"/>
        </w:rPr>
        <w:fldChar w:fldCharType="separate"/>
      </w:r>
      <w:r w:rsidR="00864000" w:rsidRPr="000718B9">
        <w:rPr>
          <w:rFonts w:cs="Times New Roman"/>
          <w:lang w:val="en-GB"/>
        </w:rPr>
        <w:t>(Martino et al., 2022)</w:t>
      </w:r>
      <w:r w:rsidR="00864000" w:rsidRPr="000718B9">
        <w:rPr>
          <w:rFonts w:eastAsia="Times New Roman" w:cs="Times New Roman"/>
          <w:lang w:val="en-GB"/>
        </w:rPr>
        <w:fldChar w:fldCharType="end"/>
      </w:r>
      <w:r w:rsidR="00864000" w:rsidRPr="000718B9">
        <w:rPr>
          <w:rFonts w:eastAsia="Times New Roman" w:cs="Times New Roman"/>
          <w:lang w:val="en-GB"/>
        </w:rPr>
        <w:t xml:space="preserve">. </w:t>
      </w:r>
      <w:r w:rsidRPr="000718B9">
        <w:rPr>
          <w:rFonts w:eastAsia="Times New Roman" w:cs="Times New Roman"/>
          <w:lang w:val="en-GB"/>
        </w:rPr>
        <w:t xml:space="preserve">Successful colonization of commensal bacteria depends both on their capacity to spread across human hosts and their ability to establish and grow within an individual host. </w:t>
      </w:r>
      <w:r w:rsidRPr="000718B9">
        <w:rPr>
          <w:lang w:val="en-GB"/>
        </w:rPr>
        <w:t>Community composition reflects a continuous balance between immigration, growth, competition and cooperation among these microorganisms, constrained by host physiology</w:t>
      </w:r>
      <w:r w:rsidR="00C4203B" w:rsidRPr="000718B9">
        <w:rPr>
          <w:lang w:val="en-GB"/>
        </w:rPr>
        <w:t>, l</w:t>
      </w:r>
      <w:r w:rsidRPr="000718B9">
        <w:rPr>
          <w:lang w:val="en-GB"/>
        </w:rPr>
        <w:t xml:space="preserve">ifestyle, and environment </w:t>
      </w:r>
      <w:r w:rsidR="00A8151D" w:rsidRPr="000718B9">
        <w:rPr>
          <w:lang w:val="en-GB"/>
        </w:rPr>
        <w:fldChar w:fldCharType="begin"/>
      </w:r>
      <w:r w:rsidR="00A8151D" w:rsidRPr="000718B9">
        <w:rPr>
          <w:lang w:val="en-GB"/>
        </w:rPr>
        <w:instrText xml:space="preserve"> ADDIN ZOTERO_ITEM CSL_CITATION {"citationID":"NYg30hI3","properties":{"formattedCitation":"(Amato &amp; Carmody, 2023)","plainCitation":"(Amato &amp; Carmody, 2023)","noteIndex":0},"citationItems":[{"id":3466,"uris":["http://zotero.org/users/8873894/items/4ZC2J47I"],"itemData":{"id":3466,"type":"article-journal","abstract":"Although microbiome science is relatively young, our knowledge of human-microbiome interactions is growing rapidly and has already begun to transform our understanding of human ecology and evolution. Here we summarize our current understanding of three-way interactions between the gut microbiota, human ecology, and human evolution. We review the factors driving microbiome variation within and between individuals and populations, as well as comparative data from nonhuman primates that allow a more direct examination of microbial relationships with host ecology and evolution. Collectively, these data sets can help illuminate generalizable principles governing host-microbiome-environment interactions, the processes contributing to bidirectional influences between the human gut microbiota and the human ecological niche, and past changes in the human microbiome that may have harbored consequences for human adaptation. Developing richer insight into host-microbiome-environment interactions will ultimately broaden our view of human biology and its response to changing environments.","container-title":"Annual Review of Anthropology","DOI":"10.1146/annurev-anthro-052721-085122","ISSN":"0084-6570, 1545-4290","issue":"Volume 52, 2023","language":"en","note":"publisher: Annual Reviews","page":"295-311","source":"www.annualreviews.org","title":"Gut Microbial Intersections with Human Ecology and Evolution","volume":"52","author":[{"family":"Amato","given":"Katherine R."},{"family":"Carmody","given":"Rachel N."}],"issued":{"date-parts":[["2023",10,23]]}}}],"schema":"https://github.com/citation-style-language/schema/raw/master/csl-citation.json"} </w:instrText>
      </w:r>
      <w:r w:rsidR="00A8151D" w:rsidRPr="000718B9">
        <w:rPr>
          <w:lang w:val="en-GB"/>
        </w:rPr>
        <w:fldChar w:fldCharType="separate"/>
      </w:r>
      <w:r w:rsidR="00A8151D" w:rsidRPr="000718B9">
        <w:rPr>
          <w:rFonts w:cs="Times New Roman"/>
          <w:lang w:val="en-GB"/>
        </w:rPr>
        <w:t>(Amato &amp; Carmody, 2023)</w:t>
      </w:r>
      <w:r w:rsidR="00A8151D" w:rsidRPr="000718B9">
        <w:rPr>
          <w:lang w:val="en-GB"/>
        </w:rPr>
        <w:fldChar w:fldCharType="end"/>
      </w:r>
      <w:r w:rsidRPr="000718B9">
        <w:rPr>
          <w:lang w:val="en-GB"/>
        </w:rPr>
        <w:t>.</w:t>
      </w:r>
    </w:p>
    <w:p w14:paraId="324CC73A" w14:textId="11A7C147" w:rsidR="00484C1A" w:rsidRPr="000718B9" w:rsidRDefault="00484C1A" w:rsidP="0014682D">
      <w:pPr>
        <w:pStyle w:val="ListParagraph"/>
        <w:numPr>
          <w:ilvl w:val="1"/>
          <w:numId w:val="13"/>
        </w:numPr>
        <w:rPr>
          <w:rFonts w:eastAsia="Times New Roman" w:cs="Times New Roman"/>
          <w:b/>
          <w:bCs/>
          <w:lang w:val="en-GB"/>
        </w:rPr>
      </w:pPr>
      <w:r w:rsidRPr="000718B9">
        <w:rPr>
          <w:rFonts w:eastAsia="Times New Roman" w:cs="Times New Roman"/>
          <w:b/>
          <w:bCs/>
          <w:lang w:val="en-GB"/>
        </w:rPr>
        <w:t xml:space="preserve">Longitudinal studies of human gut microbiota </w:t>
      </w:r>
    </w:p>
    <w:p w14:paraId="7AEAC390" w14:textId="3B94A7FA" w:rsidR="00A8151D" w:rsidRPr="000718B9" w:rsidRDefault="00484C1A" w:rsidP="00DF0F01">
      <w:pPr>
        <w:rPr>
          <w:rFonts w:eastAsia="Times New Roman" w:cs="Times New Roman"/>
          <w:lang w:val="en-GB"/>
        </w:rPr>
      </w:pPr>
      <w:r w:rsidRPr="000718B9">
        <w:rPr>
          <w:rFonts w:eastAsia="Times New Roman" w:cs="Times New Roman"/>
          <w:lang w:val="en-GB"/>
        </w:rPr>
        <w:t xml:space="preserve">Longitudinal studies, in which microbiota is sampled repeatedly from the same individuals, provide the main empirical basis for understanding temporal dynamics and individuality in the human gut </w:t>
      </w:r>
      <w:r w:rsidR="00A8151D" w:rsidRPr="000718B9">
        <w:rPr>
          <w:rFonts w:eastAsia="Times New Roman" w:cs="Times New Roman"/>
          <w:lang w:val="en-GB"/>
        </w:rPr>
        <w:fldChar w:fldCharType="begin"/>
      </w:r>
      <w:r w:rsidR="00A8151D" w:rsidRPr="000718B9">
        <w:rPr>
          <w:rFonts w:eastAsia="Times New Roman" w:cs="Times New Roman"/>
          <w:lang w:val="en-GB"/>
        </w:rPr>
        <w:instrText xml:space="preserve"> ADDIN ZOTERO_ITEM CSL_CITATION {"citationID":"HGfrCYqt","properties":{"formattedCitation":"(Schlomann &amp; Parthasarathy, 2019)","plainCitation":"(Schlomann &amp; Parthasarathy, 2019)","noteIndex":0},"citationItems":[{"id":3469,"uris":["http://zotero.org/users/8873894/items/BAUF6V4L"],"itemData":{"id":3469,"type":"article-journal","abstract":"Vast communities of microorganisms inhabit the gastrointestinal tracts of humans and other animals. Understanding their initial development, fluctuations in composition, stability over long times, and responses to transient perturbations – in other words their dynamics – is important both for gaining basic insights into these ecosystems and for rationally manipulating them for therapeutic ends. Gut microbiome dynamics, however, remain poorly understood. We review here studies of gut microbiome dynamics in the presence and absence of external perturbations, noting especially the long timescales associated with overall stability and the short timescales associated with various underlying biological processes. Integrating these disparate timescales, we suggest, is an important goal for future work and is necessary for developing a predictive understanding of microbiome dynamics.","collection-title":"Microbiota","container-title":"Current Opinion in Microbiology","DOI":"10.1016/j.mib.2019.09.011","ISSN":"1369-5274","journalAbbreviation":"Current Opinion in Microbiology","page":"56-63","source":"ScienceDirect","title":"Timescales of gut microbiome dynamics","volume":"50","author":[{"family":"Schlomann","given":"Brandon H"},{"family":"Parthasarathy","given":"Raghuveer"}],"issued":{"date-parts":[["2019",8,1]]}}}],"schema":"https://github.com/citation-style-language/schema/raw/master/csl-citation.json"} </w:instrText>
      </w:r>
      <w:r w:rsidR="00A8151D" w:rsidRPr="000718B9">
        <w:rPr>
          <w:rFonts w:eastAsia="Times New Roman" w:cs="Times New Roman"/>
          <w:lang w:val="en-GB"/>
        </w:rPr>
        <w:fldChar w:fldCharType="separate"/>
      </w:r>
      <w:r w:rsidR="00A8151D" w:rsidRPr="000718B9">
        <w:rPr>
          <w:rFonts w:cs="Times New Roman"/>
          <w:lang w:val="en-GB"/>
        </w:rPr>
        <w:t>(Schlomann &amp; Parthasarathy, 2019)</w:t>
      </w:r>
      <w:r w:rsidR="00A8151D" w:rsidRPr="000718B9">
        <w:rPr>
          <w:rFonts w:eastAsia="Times New Roman" w:cs="Times New Roman"/>
          <w:lang w:val="en-GB"/>
        </w:rPr>
        <w:fldChar w:fldCharType="end"/>
      </w:r>
      <w:r w:rsidR="00A8151D" w:rsidRPr="000718B9">
        <w:rPr>
          <w:rFonts w:eastAsia="Times New Roman" w:cs="Times New Roman"/>
          <w:lang w:val="en-GB"/>
        </w:rPr>
        <w:t>.</w:t>
      </w:r>
      <w:r w:rsidRPr="000718B9">
        <w:rPr>
          <w:rFonts w:eastAsia="Times New Roman" w:cs="Times New Roman"/>
          <w:lang w:val="en-GB"/>
        </w:rPr>
        <w:t xml:space="preserve"> </w:t>
      </w:r>
      <w:r w:rsidR="00DF0F01" w:rsidRPr="000718B9">
        <w:rPr>
          <w:rFonts w:eastAsia="Times New Roman" w:cs="Times New Roman"/>
          <w:lang w:val="en-GB"/>
        </w:rPr>
        <w:t xml:space="preserve">Several longitudinal studies have been conducted on the gut microbiota. </w:t>
      </w:r>
      <w:r w:rsidR="00F14503" w:rsidRPr="000718B9">
        <w:rPr>
          <w:rFonts w:eastAsia="Times New Roman" w:cs="Times New Roman"/>
          <w:lang w:val="en-GB"/>
        </w:rPr>
        <w:t xml:space="preserve">Cohorts have ranged from single‑subject </w:t>
      </w:r>
      <w:r w:rsidR="00F14503" w:rsidRPr="000718B9">
        <w:rPr>
          <w:rFonts w:eastAsia="Times New Roman" w:cs="Times New Roman"/>
          <w:lang w:val="en-GB"/>
        </w:rPr>
        <w:t>dense</w:t>
      </w:r>
      <w:r w:rsidR="00F14503" w:rsidRPr="000718B9">
        <w:rPr>
          <w:rFonts w:eastAsia="Times New Roman" w:cs="Times New Roman"/>
          <w:lang w:val="en-GB"/>
        </w:rPr>
        <w:t xml:space="preserve"> time series to hundreds of participants, with sampling intervals from days to months or years, and typically focus on one or a few geographical regions. Most studies have profiled bacteria using </w:t>
      </w:r>
      <w:proofErr w:type="spellStart"/>
      <w:r w:rsidR="00F14503" w:rsidRPr="000718B9">
        <w:rPr>
          <w:rFonts w:eastAsia="Times New Roman" w:cs="Times New Roman"/>
          <w:lang w:val="en-GB"/>
        </w:rPr>
        <w:t>16S</w:t>
      </w:r>
      <w:proofErr w:type="spellEnd"/>
      <w:r w:rsidR="00F14503" w:rsidRPr="000718B9">
        <w:rPr>
          <w:rFonts w:eastAsia="Times New Roman" w:cs="Times New Roman"/>
          <w:lang w:val="en-GB"/>
        </w:rPr>
        <w:t xml:space="preserve"> rRNA gene amplicon sequencing, but some have also characterized fungi by targeting the ITS region or </w:t>
      </w:r>
      <w:proofErr w:type="spellStart"/>
      <w:r w:rsidR="00F14503" w:rsidRPr="000718B9">
        <w:rPr>
          <w:rFonts w:eastAsia="Times New Roman" w:cs="Times New Roman"/>
          <w:lang w:val="en-GB"/>
        </w:rPr>
        <w:t>18S</w:t>
      </w:r>
      <w:proofErr w:type="spellEnd"/>
      <w:r w:rsidR="00F14503" w:rsidRPr="000718B9">
        <w:rPr>
          <w:rFonts w:eastAsia="Times New Roman" w:cs="Times New Roman"/>
          <w:lang w:val="en-GB"/>
        </w:rPr>
        <w:t xml:space="preserve"> rRNA gene, and an increasing number now use shotgun metagenomics to capture strain‑level and functional dynamics</w:t>
      </w:r>
      <w:r w:rsidR="00DF0F01" w:rsidRPr="000718B9">
        <w:rPr>
          <w:rFonts w:eastAsia="Times New Roman" w:cs="Times New Roman"/>
          <w:lang w:val="en-GB"/>
        </w:rPr>
        <w:t xml:space="preserve"> </w:t>
      </w:r>
    </w:p>
    <w:p w14:paraId="179F7A13" w14:textId="77777777" w:rsidR="00451642" w:rsidRPr="000718B9" w:rsidRDefault="00F14503" w:rsidP="00DF0F01">
      <w:pPr>
        <w:rPr>
          <w:rFonts w:eastAsia="Times New Roman" w:cs="Times New Roman"/>
          <w:lang w:val="en-GB"/>
        </w:rPr>
      </w:pPr>
      <w:r w:rsidRPr="000718B9">
        <w:rPr>
          <w:rFonts w:eastAsia="Times New Roman" w:cs="Times New Roman"/>
          <w:lang w:val="en-GB"/>
        </w:rPr>
        <w:t>Early</w:t>
      </w:r>
      <w:r w:rsidR="00DF0F01" w:rsidRPr="000718B9">
        <w:rPr>
          <w:rFonts w:eastAsia="Times New Roman" w:cs="Times New Roman"/>
          <w:lang w:val="en-GB"/>
        </w:rPr>
        <w:t xml:space="preserve"> longitudinal studies </w:t>
      </w:r>
      <w:r w:rsidRPr="000718B9">
        <w:rPr>
          <w:rFonts w:eastAsia="Times New Roman" w:cs="Times New Roman"/>
          <w:lang w:val="en-GB"/>
        </w:rPr>
        <w:t>relied on</w:t>
      </w:r>
      <w:r w:rsidR="00DF0F01" w:rsidRPr="000718B9">
        <w:rPr>
          <w:rFonts w:eastAsia="Times New Roman" w:cs="Times New Roman"/>
          <w:lang w:val="en-GB"/>
        </w:rPr>
        <w:t xml:space="preserve"> </w:t>
      </w:r>
      <w:proofErr w:type="spellStart"/>
      <w:r w:rsidR="00DF0F01" w:rsidRPr="000718B9">
        <w:rPr>
          <w:rFonts w:eastAsia="Times New Roman" w:cs="Times New Roman"/>
          <w:lang w:val="en-GB"/>
        </w:rPr>
        <w:t>DGGE</w:t>
      </w:r>
      <w:proofErr w:type="spellEnd"/>
      <w:r w:rsidR="00DF0F01" w:rsidRPr="000718B9">
        <w:rPr>
          <w:rFonts w:eastAsia="Times New Roman" w:cs="Times New Roman"/>
          <w:lang w:val="en-GB"/>
        </w:rPr>
        <w:t xml:space="preserve"> (denaturing gradient gel electrophoresis)</w:t>
      </w:r>
      <w:r w:rsidRPr="000718B9">
        <w:rPr>
          <w:rFonts w:eastAsia="Times New Roman" w:cs="Times New Roman"/>
          <w:lang w:val="en-GB"/>
        </w:rPr>
        <w:t xml:space="preserve"> </w:t>
      </w:r>
      <w:r w:rsidRPr="000718B9">
        <w:rPr>
          <w:rFonts w:eastAsia="Times New Roman" w:cs="Times New Roman"/>
          <w:lang w:val="en-GB"/>
        </w:rPr>
        <w:t>or DNA microarrays</w:t>
      </w:r>
      <w:r w:rsidR="00DF0F01" w:rsidRPr="000718B9">
        <w:rPr>
          <w:rFonts w:eastAsia="Times New Roman" w:cs="Times New Roman"/>
          <w:lang w:val="en-GB"/>
        </w:rPr>
        <w:t xml:space="preserve"> </w:t>
      </w:r>
      <w:r w:rsidR="00DF0F01" w:rsidRPr="000718B9">
        <w:rPr>
          <w:rFonts w:eastAsia="Times New Roman" w:cs="Times New Roman"/>
          <w:lang w:val="en-GB"/>
        </w:rPr>
        <w:fldChar w:fldCharType="begin"/>
      </w:r>
      <w:r w:rsidRPr="000718B9">
        <w:rPr>
          <w:rFonts w:eastAsia="Times New Roman" w:cs="Times New Roman"/>
          <w:lang w:val="en-GB"/>
        </w:rPr>
        <w:instrText xml:space="preserve"> ADDIN ZOTERO_ITEM CSL_CITATION {"citationID":"LOwPCSdv","properties":{"formattedCitation":"(Duytschaever et al., 2011; Jalanka-Tuovinen et al., 2011; Rajili\\uc0\\u263{}-Stojanovi\\uc0\\u263{} et al., 2013)","plainCitation":"(Duytschaever et al., 2011; Jalanka-Tuovinen et al., 2011; Rajilić-Stojanović et al., 2013)","noteIndex":0},"citationItems":[{"id":1578,"uris":["http://zotero.org/users/8873894/items/CEPWCUEG"],"itemData":{"id":1578,"type":"article-journal","abstract":"Although only poorly documented, it can be assumed that intensive antibiotic treatments of chronic lung infections in patients with cystic fibrosis (CF) also affect the diversity and metabolic functioning of the gastrointestinal microbiota and potentially lead to a state of dysbiosis. A better knowledge of the differences in gut microbiota composition and stability between patients with CF and healthy subjects could lead to optimization of current antibiotic therapies and/or development of add-on therapies. Using conventional culturing and population fingerprinting by denaturing gradient gel electrophoresis (DGGE) of 16S rRNA amplicons, we compared the predominant fecal microbiota of 21 patients with CF and 24 healthy siblings in a cross-sectional study. General medium counts, as well as counts on media specific for lactic acid bacteria, clostridia, Bifidobacterium spp., Veillonella spp., and Bacteroides-Prevotella spp., were consistently higher in sibling samples than in CF samples, whereas the reverse was found for enterobacterial counts. DGGE fingerprinting uncovered large intersubject variations in both study groups. On the other hand, the cross-sectional data indicated that the predominant fecal microbiota of patients and siblings had comparable species richness. In addition, a longitudinal study was performed on 7 or 8 consecutive samples collected over a 2-year period from two patients and their respective siblings. For these samples, DGGE profiling indicated an overall trend toward lower temporal stability and lower species richness in the predominant fecal CF microbiota. The observed compositional and dynamic perturbations provide the first evidence of a general dysbiosis in children with CF compared to their siblings.","container-title":"Applied and Environmental Microbiology","DOI":"10.1128/AEM.05933-11","ISSN":"1098-5336","issue":"22","journalAbbreviation":"Appl Environ Microbiol","language":"eng","note":"PMID: 21926193\nPMCID: PMC3208981","page":"8015-8024","source":"PubMed","title":"Cross-sectional and longitudinal comparisons of the predominant fecal microbiota compositions of a group of pediatric patients with cystic fibrosis and their healthy siblings","volume":"77","author":[{"family":"Duytschaever","given":"Gwen"},{"family":"Huys","given":"Geert"},{"family":"Bekaert","given":"Maarten"},{"family":"Boulanger","given":"Linda"},{"family":"De Boeck","given":"Kris"},{"family":"Vandamme","given":"Peter"}],"issued":{"date-parts":[["2011",11]]}}},{"id":1577,"uris":["http://zotero.org/users/8873894/items/7BZQZ77R"],"itemData":{"id":1577,"type":"article-journal","abstract":"BACKGROUND: While our knowledge of the intestinal microbiota during disease is accumulating, basic information of the microbiota in healthy subjects is still scarce. The aim of this study was to characterize the intestinal microbiota of healthy adults and specifically address its temporal stability, core microbiota and relation with intestinal symptoms. We carried out a longitudinal study by following a set of 15 healthy Finnish subjects for seven weeks and regularly assessed their intestinal bacteria and archaea with the Human Intestinal Tract (HIT) Chip, a phylogenetic microarray, in conjunction with qPCR analyses. The health perception and occurrence of intestinal symptoms was recorded by questionnaire at each sampling point.\nPRINCIPAL FINDINGS: A high overall temporal stability of the microbiota was observed. Five subjects showed transient microbiota destabilization, which correlated not only with the intake of antibiotics but also with overseas travelling and temporary illness, expanding the hitherto known factors affecting the intestinal microbiota. We identified significant correlations between the microbiota and common intestinal symptoms, including abdominal pain and bloating. The most striking finding was the inverse correlation between Bifidobacteria and abdominal pain: subjects who experienced pain had over five-fold less Bifidobacteria compared to those without pain. Finally, a novel computational approach was used to define the common core microbiota, highlighting the role of the analysis depth in finding the phylogenetic core and estimating its size. The in-depth analysis suggested that we share a substantial number of our intestinal phylotypes but as they represent highly variable proportions of the total community, many of them often remain undetected.\nCONCLUSIONS/SIGNIFICANCE: A global and high-resolution microbiota analysis was carried out to determine the temporal stability, the associations with intestinal symptoms, and the individual and common core microbiota in healthy adults. The findings provide new approaches to define intestinal health and to further characterize the microbial communities inhabiting the human gut.","container-title":"PloS One","DOI":"10.1371/journal.pone.0023035","ISSN":"1932-6203","issue":"7","journalAbbreviation":"PLoS One","language":"eng","note":"PMID: 21829582\nPMCID: PMC3145776","page":"e23035","source":"PubMed","title":"Intestinal microbiota in healthy adults: temporal analysis reveals individual and common core and relation to intestinal symptoms","title-short":"Intestinal microbiota in healthy adults","volume":"6","author":[{"family":"Jalanka-Tuovinen","given":"Jonna"},{"family":"Salonen","given":"Anne"},{"family":"Nikkilä","given":"Janne"},{"family":"Immonen","given":"Outi"},{"family":"Kekkonen","given":"Riina"},{"family":"Lahti","given":"Leo"},{"family":"Palva","given":"Airi"},{"family":"Vos","given":"Willem M.","non-dropping-particle":"de"}],"issued":{"date-parts":[["2011"]]}}},{"id":1511,"uris":["http://zotero.org/users/8873894/items/GISEGPM4"],"itemData":{"id":1511,"type":"article-journal","abstract":"The microbiota that colonizes the human intestinal tract is complex and its structure is specific for each of us. In this study we expand the knowledge about the stability of the subject-specific microbiota and show that this ecosystem is stable in short-term intervals (&lt; 1 year) but also during long periods of time (&gt; 10 years). The faecal microbiota composition of five unrelated and healthy subjects was analysed using a comprehensive and highly reproducible phylogenetic microarray, the HITChip. The results show that the use of antibiotics, application of specific dietary regimes and distant travelling have limited impact on the microbiota composition. Several anaerobic genera, including Bifidobacterium and a number of genera within the Bacteroidetes and the Firmicutes phylum, exhibit significantly higher similarity than the total microbiota. Although the gut microbiota contains subject-specific species, the presence of which is preserved throughout the years, their relative abundance changes considerably. Consequently, the recently proposed enterotype status appears to be a varying characteristic of the microbiota. Our data show that the intestinal microbiota contains a core community of permanent colonizers, and that environmentally introduced changes of the microbiota throughout adulthood are primarily affecting the abundance but not the presence of specific microbial species.","container-title":"Environmental Microbiology","DOI":"10.1111/1462-2920.12023","ISSN":"1462-2920","issue":"4","language":"en","note":"_eprint: https://onlinelibrary.wiley.com/doi/pdf/10.1111/1462-2920.12023","page":"1146-1159","source":"Wiley Online Library","title":"Long-term monitoring of the human intestinal microbiota composition","volume":"15","author":[{"family":"Rajilić-Stojanović","given":"Mirjana"},{"family":"Heilig","given":"Hans G. H. J."},{"family":"Tims","given":"Sebastian"},{"family":"Zoetendal","given":"Erwin G."},{"family":"Vos","given":"Willem M.","non-dropping-particle":"de"}],"issued":{"date-parts":[["2013"]]}}}],"schema":"https://github.com/citation-style-language/schema/raw/master/csl-citation.json"} </w:instrText>
      </w:r>
      <w:r w:rsidR="00DF0F01" w:rsidRPr="000718B9">
        <w:rPr>
          <w:rFonts w:eastAsia="Times New Roman" w:cs="Times New Roman"/>
          <w:lang w:val="en-GB"/>
        </w:rPr>
        <w:fldChar w:fldCharType="separate"/>
      </w:r>
      <w:r w:rsidRPr="000718B9">
        <w:rPr>
          <w:rFonts w:cs="Times New Roman"/>
          <w:lang w:val="en-GB"/>
        </w:rPr>
        <w:t>(</w:t>
      </w:r>
      <w:proofErr w:type="spellStart"/>
      <w:r w:rsidRPr="000718B9">
        <w:rPr>
          <w:rFonts w:cs="Times New Roman"/>
          <w:lang w:val="en-GB"/>
        </w:rPr>
        <w:t>Duytschaever</w:t>
      </w:r>
      <w:proofErr w:type="spellEnd"/>
      <w:r w:rsidRPr="000718B9">
        <w:rPr>
          <w:rFonts w:cs="Times New Roman"/>
          <w:lang w:val="en-GB"/>
        </w:rPr>
        <w:t xml:space="preserve"> et al., 2011; </w:t>
      </w:r>
      <w:proofErr w:type="spellStart"/>
      <w:r w:rsidRPr="000718B9">
        <w:rPr>
          <w:rFonts w:cs="Times New Roman"/>
          <w:lang w:val="en-GB"/>
        </w:rPr>
        <w:t>Jalanka</w:t>
      </w:r>
      <w:proofErr w:type="spellEnd"/>
      <w:r w:rsidRPr="000718B9">
        <w:rPr>
          <w:rFonts w:cs="Times New Roman"/>
          <w:lang w:val="en-GB"/>
        </w:rPr>
        <w:t xml:space="preserve">-Tuovinen et al., 2011; </w:t>
      </w:r>
      <w:proofErr w:type="spellStart"/>
      <w:r w:rsidRPr="000718B9">
        <w:rPr>
          <w:rFonts w:cs="Times New Roman"/>
          <w:lang w:val="en-GB"/>
        </w:rPr>
        <w:t>Rajilić</w:t>
      </w:r>
      <w:proofErr w:type="spellEnd"/>
      <w:r w:rsidRPr="000718B9">
        <w:rPr>
          <w:rFonts w:cs="Times New Roman"/>
          <w:lang w:val="en-GB"/>
        </w:rPr>
        <w:t>-Stojanović et al., 2013)</w:t>
      </w:r>
      <w:r w:rsidR="00DF0F01" w:rsidRPr="000718B9">
        <w:rPr>
          <w:rFonts w:eastAsia="Times New Roman" w:cs="Times New Roman"/>
          <w:lang w:val="en-GB"/>
        </w:rPr>
        <w:fldChar w:fldCharType="end"/>
      </w:r>
      <w:r w:rsidR="00DF0F01" w:rsidRPr="000718B9">
        <w:rPr>
          <w:rFonts w:eastAsia="Times New Roman" w:cs="Times New Roman"/>
          <w:lang w:val="en-GB"/>
        </w:rPr>
        <w:t xml:space="preserve">. </w:t>
      </w:r>
      <w:r w:rsidRPr="000718B9">
        <w:rPr>
          <w:rFonts w:eastAsia="Times New Roman" w:cs="Times New Roman"/>
          <w:lang w:val="en-GB"/>
        </w:rPr>
        <w:t xml:space="preserve">With the </w:t>
      </w:r>
      <w:r w:rsidRPr="000718B9">
        <w:rPr>
          <w:rFonts w:eastAsia="Times New Roman" w:cs="Times New Roman"/>
          <w:lang w:val="en-GB"/>
        </w:rPr>
        <w:t xml:space="preserve">advancement </w:t>
      </w:r>
      <w:r w:rsidRPr="000718B9">
        <w:rPr>
          <w:rFonts w:eastAsia="Times New Roman" w:cs="Times New Roman"/>
          <w:lang w:val="en-GB"/>
        </w:rPr>
        <w:t xml:space="preserve">of next‑generation sequencing, </w:t>
      </w:r>
      <w:proofErr w:type="spellStart"/>
      <w:r w:rsidRPr="000718B9">
        <w:rPr>
          <w:rFonts w:eastAsia="Times New Roman" w:cs="Times New Roman"/>
          <w:lang w:val="en-GB"/>
        </w:rPr>
        <w:t>16S</w:t>
      </w:r>
      <w:proofErr w:type="spellEnd"/>
      <w:r w:rsidRPr="000718B9">
        <w:rPr>
          <w:rFonts w:eastAsia="Times New Roman" w:cs="Times New Roman"/>
          <w:lang w:val="en-GB"/>
        </w:rPr>
        <w:t xml:space="preserve"> rRNA amplicon sequencing rapidly became the dominant approach</w:t>
      </w:r>
      <w:r w:rsidRPr="000718B9">
        <w:rPr>
          <w:rFonts w:eastAsia="Times New Roman" w:cs="Times New Roman"/>
          <w:lang w:val="en-GB"/>
        </w:rPr>
        <w:t xml:space="preserve">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{"citationID":"TgqujY3O","properties":{"formattedCitation":"(Caporaso et al., 2011; Claesson et al., 2011; Clooney et al., 2021; Costello et al., 2009; David et al., 2014; Dubois et al., 2017; Faith et al., 2013; Flores et al., 2014; Fu et al., 2019; Hao et al., 2018; Hisada et al., 2015; Jayasinghe et al., 2017; Levy et al., 2020; Mart\\uc0\\u237{}nez et al., 2013; Martinson et al., 2019; Olsson et al., 2022; Turroni et al., 2017)","plainCitation":"(Caporaso et al., 2011; Claesson et al., 2011; Clooney et al., 2021; Costello et al., 2009; David et al., 2014; Dubois et al., 2017; Faith et al., 2013; Flores et al., 2014; Fu et al., 2019; Hao et al., 2018; Hisada et al., 2015; Jayasinghe et al., 2017; Levy et al., 2020; Martínez et al., 2013; Martinson et al., 2019; Olsson et al., 2022; Turroni et al., 2017)","noteIndex":0},"citationItems":[{"id":1113,"uris":["http://zotero.org/users/8873894/items/J7BXX9RI"],"itemData":{"id":1113,"type":"article-journal","abstract":"Background: Understanding the normal temporal variation in the human microbiome is critical to developing treatments for putative microbiome-related afflictions such as obesity, Crohn’s disease, inflammatory bowel disease and malnutrition. Sequencing and computational technologies, however, have been a limiting factor in performing dense time series analysis of the human microbiome. Here, we present the largest human microbiota time series analysis to date, covering two individuals at four body sites over 396 timepoints.\nResults: We find that despite stable differences between body sites and individuals, there is pronounced variability in an individual’s microbiota across months, weeks and even days. Additionally, only a small fraction of the total taxa found within a single body site appear to be present across all time points, suggesting that no core temporal microbiome exists at high abundance (although some microbes may be present but drop below the detection threshold). Many more taxa appear to be persistent but non-permanent community members.\nConclusions: DNA sequencing and computational advances described here provide the ability to go beyond infrequent snapshots of our human-associated microbial ecology to high-resolution assessments of temporal variations over protracted periods, within and between body habitats and individuals. This capacity will allow us to define normal variation and pathologic states, and assess responses to therapeutic interventions.","container-title":"Genome Biology","DOI":"10.1186/gb-2011-12-5-r50","ISSN":"1465-6906","issue":"5","journalAbbreviation":"Genome Biol","language":"en","page":"R50","source":"DOI.org (Crossref)","title":"Moving pictures of the human microbiome","volume":"12","author":[{"family":"Caporaso","given":"J Gregory"},{"family":"Lauber","given":"Christian L"},{"family":"Costello","given":"Elizabeth K"},{"family":"Berg-Lyons","given":"Donna"},{"family":"Gonzalez","given":"Antonio"},{"family":"Stombaugh","given":"Jesse"},{"family":"Knights","given":"Dan"},{"family":"Gajer","given":"Pawel"},{"family":"Ravel","given":"Jacques"},{"family":"Fierer","given":"Noah"},{"family":"Gordon","given":"Jeffrey I"},{"family":"Knight","given":"Rob"}],"issued":{"date-parts":[["2011"]]}}},{"id":1567,"uris":["http://zotero.org/users/8873894/items/5CR64PC5"],"itemData":{"id":1567,"type":"article-journal","abstract":"Alterations in the human intestinal microbiota are linked to conditions including\ninflammatory bowel disease, irritable bowel syndrome, and obesity...","archive_location":"world","container-title":"Proceedings of the National Academy of Sciences","DOI":"10.1073/pnas.1000097107","issue":"supplement_1","language":"EN","note":"Company: National Academy of Sciences\nDistributor: National Academy of Sciences\nInstitution: National Academy of Sciences\nLabel: National Academy of Sciences\npublisher: Proceedings of the National Academy of Sciences","page":"4586-4591","source":"www.pnas.org","title":"Composition, variability, and temporal stability of the intestinal microbiota of the elderly","volume":"108","author":[{"family":"Claesson","given":"Marcus J."},{"family":"Cusack","given":"Siobhán"},{"family":"O'Sullivan","given":"Orla"},{"family":"Greene-Diniz","given":"Rachel"},{"family":"Weerd","given":"Heleen","non-dropping-particle":"de"},{"family":"Flannery","given":"Edel"},{"family":"Marchesi","given":"Julian R."},{"family":"Falush","given":"Daniel"},{"family":"Dinan","given":"Timothy"},{"family":"Fitzgerald","given":"Gerald"},{"family":"Stanton","given":"Catherine"},{"family":"Sinderen","given":"Douwe","non-dropping-particle":"van"},{"family":"O'Connor","given":"Michael"},{"family":"Harnedy","given":"Norma"},{"family":"O'Connor","given":"Kieran"},{"family":"Henry","given":"Colm"},{"family":"O'Mahony","given":"Denis"},{"family":"Fitzgerald","given":"Anthony P."},{"family":"Shanahan","given":"Fergus"},{"family":"Twomey","given":"Cillian"},{"family":"Hill","given":"Colin"},{"family":"Ross","given":"R. Paul"},{"family":"O'Toole","given":"Paul W."}],"issued":{"date-parts":[["2011",3,15]]}}},{"id":1590,"uris":["http://zotero.org/users/8873894/items/GHJ58Y3G"],"itemData":{"id":1590,"type":"article-journal","abstract":"Objective The microbiome contributes to the pathogenesis of inflammatory bowel disease (IBD) but the relative contribution of different lifestyle and environmental factors to the compositional variability of the gut microbiota is unclear.\nDesign Here, we rank the size effect of disease activity, medications, diet and geographic location of the faecal microbiota composition (16S rRNA gene sequencing) in patients with Crohn’s disease (CD; n=303), ulcerative colitis (UC; n = 228) and controls (n=161), followed longitudinally (at three time points with 16 weeks intervals).\nResults Reduced microbiota diversity but increased variability was confirmed in CD and UC compared with controls. Significant compositional differences between diseases, particularly CD, and controls were evident. Longitudinal analyses revealed reduced temporal microbiota stability in IBD, particularly in patients with changes in disease activity. Machine learning separated disease from controls, and active from inactive disease, when consecutive time points were modelled. Geographic location accounted for most of the microbiota variance, second to the presence or absence of CD, followed by history of surgical resection, alcohol consumption and UC diagnosis, medications and diet with most (90.3%) of the compositional variance stochastic or unexplained.\nConclusion The popular concept of precision medicine and rational design of any therapeutic manipulation of the microbiota will have to contend not only with the heterogeneity of the host response, but also with widely differing lifestyles and with much variance still unaccounted for.","container-title":"Gut","DOI":"10.1136/gutjnl-2020-321106","ISSN":"0017-5749, 1468-3288","issue":"3","language":"en","license":"©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Publishing Group\nsection: Inflammatory bowel disease\nPMID: 32536605","page":"499-510","source":"gut.bmj.com","title":"Ranking microbiome variance in inflammatory bowel disease: a large longitudinal intercontinental study","title-short":"Ranking microbiome variance in inflammatory bowel disease","volume":"70","author":[{"family":"Clooney","given":"Adam G."},{"family":"Eckenberger","given":"Julia"},{"family":"Laserna-Mendieta","given":"Emilio"},{"family":"Sexton","given":"Kathryn A."},{"family":"Bernstein","given":"Matthew T."},{"family":"Vagianos","given":"Kathy"},{"family":"Sargent","given":"Michael"},{"family":"Ryan","given":"Feargal J."},{"family":"Moran","given":"Carthage"},{"family":"Sheehan","given":"Donal"},{"family":"Sleator","given":"Roy D."},{"family":"Targownik","given":"Laura E."},{"family":"Bernstein","given":"Charles N."},{"family":"Shanahan","given":"Fergus"},{"family":"Claesson","given":"Marcus J."}],"issued":{"date-parts":[["2021",3,1]]}}},{"id":1114,"uris":["http://zotero.org/users/8873894/items/UW5I5LEN"],"itemData":{"id":1114,"type":"article-journal","container-title":"Science","DOI":"10.1126/science.1177486","issue":"5960","note":"publisher: American Association for the Advancement of Science","page":"1694-1697","source":"science.org (Atypon)","title":"Bacterial Community Variation in Human Body Habitats Across Space and Time","volume":"326","author":[{"family":"Costello","given":"Elizabeth K."},{"family":"Lauber","given":"Christian L."},{"family":"Hamady","given":"Micah"},{"family":"Fierer","given":"Noah"},{"family":"Gordon","given":"Jeffrey I."},{"family":"Knight","given":"Rob"}],"issued":{"date-parts":[["2009",12,18]]}}},{"id":1118,"uris":["http://zotero.org/users/8873894/items/BZDKSHQD"],"itemData":{"id":1118,"type":"article-journal","abstract":"Background: Disturbance to human microbiota may underlie several pathologies. Yet, we lack a comprehensive understanding of how lifestyle affects the dynamics of human-associated microbial communities.\nResults: Here, we link over 10,000 longitudinal measurements of human wellness and action to the daily gut and salivary microbiota dynamics of two individuals over the course of one year. These time series show overall microbial communities to be stable for months. However, rare events in each subjects’ life rapidly and broadly impacted microbiota dynamics. Travel from the developed to the developing world in one subject led to a nearly two-fold increase in the Bacteroidetes to Firmicutes ratio, which reversed upon return. Enteric infection in the other subject resulted in the permanent decline of most gut bacterial taxa, which were replaced by genetically similar species. Still, even during periods of overall community stability, the dynamics of select microbial taxa could be associated with specific host behaviors. Most prominently, changes in host fiber intake positively correlated with next-day abundance changes among 15% of gut microbiota members.\nConclusions: Our findings suggest that although human-associated microbial communities are generally stable, they can be quickly and profoundly altered by common human actions and experiences.","container-title":"Genome Biology","DOI":"10.1186/gb-2014-15-7-r89","ISSN":"1465-6906","issue":"7","journalAbbreviation":"Genome Biol","language":"en","page":"R89","source":"DOI.org (Crossref)","title":"Host lifestyle affects human microbiota on daily timescales","volume":"15","author":[{"family":"David","given":"Lawrence A"},{"family":"Materna","given":"Arne C"},{"family":"Friedman","given":"Jonathan"},{"family":"Campos-Baptista","given":"Maria I"},{"family":"Blackburn","given":"Matthew C"},{"family":"Perrotta","given":"Allison"},{"family":"Erdman","given":"Susan E"},{"family":"Alm","given":"Eric J"}],"issued":{"date-parts":[["2014"]]}}},{"id":1584,"uris":["http://zotero.org/users/8873894/items/8AT8KFEK"],"itemData":{"id":1584,"type":"article-journal","abstract":"BACKGROUND: The human gut microbiome represents a diverse microbial community that varies across individuals and populations, and is influenced by factors such as host genetics and lifestyle. Diet is a major force shaping the gut microbiome, and the effects of dietary choices on microbiome composition are well documented. However, it remains poorly known how natural temporal variation in diet can affect the microbiome. The traditional Inuit diet is primarily based on animal products, which are thought to vary seasonally according to prey availability. We previously investigated the Inuit gut microbiome sampled at a single time point, and found no detectable differences in overall microbiome community composition attributable to the traditional Inuit diet.\nRESULTS: To determine whether seasonal changes in the Inuit diet might induce more pronounced changes in the microbiome, we collected stool and toilet paper samples, and dietary information from Inuit volunteers living in Resolute Bay (Nunavut, Canada), and compared them to individuals of European descent living in Montréal (Québec, Canada) consuming a typical Western diet. We sequenced the V4 region of the 16S rRNA gene to characterize microbiome diversity and composition, and compared samples collected with toilet paper or from stool. Our results show that these sampling methods provide similar, but non-identical portraits of the microbiome. Based on toilet paper samples, we found that much of the variation in microbiome community composition could be explained by individual identity (45-61% of variation explained, depending on the beta diversity metric used), with small but significant variation (3-5%) explained by sex or geography (Nunavut or Montréal). In contrast with our previous study at one time point, sampling over the course of a year revealed that diet explains 11% of variation in community composition across all participants, and 17% of variation specifically among Nunavut participants. However, we observed no clear seasonal shifts in the microbiomes of participants from either Nunavut or Montréal. Within-individual microbial diversity fluctuated more over time in Nunavut than in Montréal, consistent with a more variable and highly individualized diet in Nunavut.\nCONCLUSIONS: Together, these results shows that the traditional Inuit diet and lifestyle has an impact on the composition, diversity and stability of the Inuit gut microbiome, even if the seasonality of the diet is less pronounced than expected, perhaps due to an increasingly westernized diet.","container-title":"Microbiome","DOI":"10.1186/s40168-017-0370-7","ISSN":"2049-2618","issue":"1","journalAbbreviation":"Microbiome","language":"eng","note":"PMID: 29145891\nPMCID: PMC5689144","page":"151","source":"PubMed","title":"The Inuit gut microbiome is dynamic over time and shaped by traditional foods","volume":"5","author":[{"family":"Dubois","given":"Geneviève"},{"family":"Girard","given":"Catherine"},{"family":"Lapointe","given":"François-Joseph"},{"family":"Shapiro","given":"B. Jesse"}],"issued":{"date-parts":[["2017",11,16]]}}},{"id":1112,"uris":["http://zotero.org/users/8873894/items/C29JXBJV"],"itemData":{"id":1112,"type":"article-journal","abstract":"A low-error 16S rRNA amplicon sequencing method (LEA-Seq) plus whole genome sequencing of &gt;500 cultured isolates were used to characterize bacterial strain composition in the fecal microbiota of 37 USA adults sampled for up to five years. Microbiota stability follows a power law function which, when extrapolated, suggests that most strains in an individual are residents for decades. Shared strains were recovered from family members, but not from unrelated individuals. Sampling individuals for up to 32 weeks while consuming a monotonous liquid diet indicated that changes in weight are more predictive of changes in strain composition than sampling interval. This combination of stability and responsiveness to physiologic change confirms the potential of the gut microbiota as a diagnostic tool and therapeutic target.","container-title":"Science (New York, N.Y.)","DOI":"10.1126/science.1237439","ISSN":"0036-8075","issue":"6141","journalAbbreviation":"Science","note":"PMID: 23828941\nPMCID: PMC3791589","page":"1237439","source":"PubMed Central","title":"The long-term stability of the human gut microbiota","volume":"341","author":[{"family":"Faith","given":"Jeremiah J."},{"family":"Guruge","given":"Janaki L."},{"family":"Charbonneau","given":"Mark"},{"family":"Subramanian","given":"Sathish"},{"family":"Seedorf","given":"Henning"},{"family":"Goodman","given":"Andrew L."},{"family":"Clemente","given":"Jose C."},{"family":"Knight","given":"Rob"},{"family":"Heath","given":"Andrew C."},{"family":"Leibel","given":"Rudolph L."},{"family":"Rosenbaum","given":"Michael"},{"family":"Gordon","given":"Jeffrey I."}],"issued":{"date-parts":[["2013",7,5]]}}},{"id":1512,"uris":["http://zotero.org/users/8873894/items/DTPQY9MB"],"itemData":{"id":1512,"type":"article-journal","abstract":"It is now apparent that the complex microbial communities found on and in the human body vary across individuals. What has largely been missing from previous studies is an understanding of how these communities vary over time within individuals. To the extent to which it has been considered, it is often assumed that temporal variability is negligible for healthy adults. Here we address this gap in understanding by profiling the forehead, gut (fecal), palm, and tongue microbial communities in 85 adults, weekly over 3 months.","container-title":"Genome Biology","DOI":"10.1186/s13059-014-0531-y","ISSN":"1474-760X","issue":"12","journalAbbreviation":"Genome Biology","page":"531","source":"BioMed Central","title":"Temporal variability is a personalized feature of the human microbiome","volume":"15","author":[{"family":"Flores","given":"Gilberto E."},{"family":"Caporaso","given":"J. Gregory"},{"family":"Henley","given":"Jessica B."},{"family":"Rideout","given":"Jai Ram"},{"family":"Domogala","given":"Daniel"},{"family":"Chase","given":"John"},{"family":"Leff","given":"Jonathan W."},{"family":"Vázquez-Baeza","given":"Yoshiki"},{"family":"Gonzalez","given":"Antonio"},{"family":"Knight","given":"Rob"},{"family":"Dunn","given":"Robert R."},{"family":"Fierer","given":"Noah"}],"issued":{"date-parts":[["2014",12,3]]}}},{"id":1586,"uris":["http://zotero.org/users/8873894/items/4MHV6IR7"],"itemData":{"id":1586,"type":"article-journal","abstract":"BACKGROUND: Measurement reliability and biological stability need to be considered when developing sampling protocols for population-based fecal microbiome studies.\nMETHODS: Stool samples were collected biannually over a 2-year period and sequenced for the V1-V3 region of the 16S rRNA gene in 50 participants from the Multiethnic Cohort Study. We evaluated the temporal stability of the fecal microbiome on a community level with permutational multivariate analysis of variance (PERMANOVA), as well as on taxa and diversity measures with intraclass correlation coefficients.\nRESULTS: Interindividual differences were the predominant source of fecal microbiome variation, and variation within individual was driven more by changing abundances than by the complete loss or introduction of taxa. Phyla and diversity measures were reliable over the 2 years. Most genera were stable over time, although those with low abundances tended to be more dynamic. Reliability was lower among participants who used antibiotics, with the greatest difference seen in samples taken within 1 month of reported use.\nCONCLUSIONS: The fecal microbiome as a whole is stable over a 2-year period, although certain taxa may exhibit more temporal variability.\nIMPACT: When designing large epidemiologic studies, a single sample is sufficient to capture the majority of the variation in the fecal microbiome from 16S rRNA gene sequencing, while multiple samples may be needed for rare or less-abundant taxa.","container-title":"Cancer Epidemiology, Biomarkers &amp; Prevention: A Publication of the American Association for Cancer Research, Cosponsored by the American Society of Preventive Oncology","DOI":"10.1158/1055-9965.EPI-18-0348","ISSN":"1538-7755","issue":"1","journalAbbreviation":"Cancer Epidemiol Biomarkers Prev","language":"eng","note":"PMID: 30206059\nPMCID: PMC6625800","page":"154-162","source":"PubMed","title":"Temporal Variability and Stability of the Fecal Microbiome: The Multiethnic Cohort Study","title-short":"Temporal Variability and Stability of the Fecal Microbiome","volume":"28","author":[{"family":"Fu","given":"Benjamin C."},{"family":"Randolph","given":"Timothy W."},{"family":"Lim","given":"Unhee"},{"family":"Monroe","given":"Kristine R."},{"family":"Cheng","given":"Iona"},{"family":"Wilkens","given":"Lynne R."},{"family":"Le Marchand","given":"Loïc"},{"family":"Lampe","given":"Johanna W."},{"family":"Hullar","given":"Meredith A. J."}],"issued":{"date-parts":[["2019",1]]}}},{"id":1062,"uris":["http://zotero.org/users/8873894/items/J48JRAKJ"],"itemData":{"id":1062,"type":"article-journal","abstract":"Understanding the dynamics of human gut microbiota in space is crucial in maintaining astronaut health. Long-duration and deep-space manned exploration will require the in situ regeneration of resources, which would be achieved by an artificial ecosystem, such as a bioregenerative life-support system (BLSS). Potential response of human gut microbiota to particular lifestyle and dietary structure experienced in a BLSS remains unclear. Here, we report how a BLSS impacts the gut microbiota during a 105-day study that took place in the Chinese Lunar Palace 1 (LP1). The three crewmembers were provided with high-plant and high-fibre diet, and they followed a fixed schedule including extensive labour in the plant cabin. The gut microbiota composition of the three crewmembers showed convergence and similar dynamic change. Increased diversity and abundance of Lachnospira, Faecalibacterium and Blautia indicated that the LP1 dietary structure and the lifestyle may be beneficial for the maintenance of healthy gut microbiome. A stronger impact was found from the gut microbiome to the environment compared with the opposite direction, suggesting the necessity of environmental pathogen control in BLSS.","container-title":"Environmental Microbiology","DOI":"10.1111/1462-2920.14358","ISSN":"1462-2920","issue":"10","language":"en","note":"_eprint: https://onlinelibrary.wiley.com/doi/pdf/10.1111/1462-2920.14358","page":"3643-3656","source":"Wiley Online Library","title":"The influence of bioregenerative life-support system dietary structure and lifestyle on the gut microbiota: a 105-day ground-based space simulation in Lunar Palace 1","title-short":"The influence of bioregenerative life-support system dietary structure and lifestyle on the gut microbiota","volume":"20","author":[{"family":"Hao","given":"Zikai"},{"family":"Li","given":"Leyuan"},{"family":"Fu","given":"Yuming"},{"family":"Liu","given":"Hong"}],"issued":{"date-parts":[["2018"]]}}},{"id":1581,"uris":["http://zotero.org/users/8873894/items/Q4QP9PMD"],"itemData":{"id":1581,"type":"article-journal","abstract":"Relationships between human gut microbiota, dietary habits, and health/diseases are the subject of epidemiological and clinical studies. However, the temporal stability and variability of the bacterial community in fecal samples remain unclear. In this study, middle-aged Japanese male and female volunteers (n = 5 each) without disease were recruited from the Sakura Diet Study. Fecal samples and lifestyle information were collected in every quarter and at each defecation for 7 continuous days. Next-generation sequencing of 16S rDNA and hierarchical clustering showed no time trend and intra-individual differences in both fecal sample sets. Significant inter-individual variations in seasonal and daily fecal sample sets were detected for 24 and 23 out of 39 selected dominant genera (&gt;0.1% of the total human gut microbiota; occupation rate &gt;85%), respectively. Intra- to inter-individual variance ratios in 26 and 35 genera were significantly &lt;1.0 for seasonal and daily stabilities. Seasonal variation in fermented milk consumption might be associated with Bifidobacterium composition, but not with Lactobacillus. For most of the dominant genera in the human gut microbiota, inter-individual variations were significantly larger than intra-individual variations. Further studies are warranted to determine the contributions of human gut microbiota to nutritional metabolism, health promotion, and prevention/development of diseases.","container-title":"Archives of Microbiology","DOI":"10.1007/s00203-015-1125-0","ISSN":"1432-072X","issue":"7","journalAbbreviation":"Arch Microbiol","language":"eng","note":"PMID: 26068535\nPMCID: PMC4536265","page":"919-934","source":"PubMed","title":"Inter- and intra-individual variations in seasonal and daily stabilities of the human gut microbiota in Japanese","volume":"197","author":[{"family":"Hisada","given":"Takayoshi"},{"family":"Endoh","given":"Kaori"},{"family":"Kuriki","given":"Kiyonori"}],"issued":{"date-parts":[["2015",9]]}}},{"id":1059,"uris":["http://zotero.org/users/8873894/items/HWV479CZ"],"itemData":{"id":1059,"type":"article-journal","abstract":"There is currently a lack of long-term longitudinal studies investigating the stability of the microbiome. In this n-of-one study, we characterised the gut microbial composition of artist Billy Apple® from stool samples collected 45 years apart in 1970 and 2016. We observed that 45% of the microbial species were retained over the 45 year interval. Moreover, components of Apple’s microbiome associated with the allele frequency at seven SNPs in his genome. Collectively, our results are consistent with a genetic component contributing to the selection and maintenance of core members within the artist’s microbiome over his life-time.","container-title":"Human Microbiome Journal","DOI":"10.1016/j.humic.2017.09.001","ISSN":"2452-2317","journalAbbreviation":"Human Microbiome Journal","language":"en","page":"7-10","source":"ScienceDirect","title":"Long-term stability in the gut microbiome over 46 years in the life of Billy Apple®","volume":"5-6","author":[{"family":"Jayasinghe","given":"Thilini N."},{"family":"Hilton","given":"Craig"},{"family":"Tsai","given":"Peter"},{"family":"Apple","given":"Billy"},{"family":"Shepherd","given":"Peter"},{"family":"Cutfield","given":"Wayne S."},{"family":"O'Sullivan","given":"Justin M."}],"issued":{"date-parts":[["2017",12,1]]}}},{"id":1396,"uris":["http://zotero.org/users/8873894/items/3GTDIIXU"],"itemData":{"id":1396,"type":"article-journal","abstract":"Deep molecular phenotyping of individuals provides the opportunity for biological insight into host physiology. As the human microbiome is increasingly being recognized as an important determinant of host health, understanding the host–microbiome relationship in a multiomics context may pave the way forward for targeted interventions. In this study, we analyze gut microbial composition of 101 individuals over the course of a year, alongside clinical markers and serum metabolomics. We establish association between specific gut compositional states and host health biomarkers (e.g., of inflammation). Finally, we provide evidence for an apparent transition barrier between these compositional states. A deeper understanding of microbiome dynamics and the associated variation in host phenotypes furthers our ability to engineer effective interventions that optimize wellness., The Pioneer 100 Wellness Project involved quantitatively profiling 108 participants’ molecular physiology over time, including genomes, gut microbiomes, blood metabolomes, blood proteomes, clinical chemistries, and data from wearable devices. Here, we present a longitudinal analysis focused specifically around the Pioneer 100 gut microbiomes. We distinguished a subpopulation of individuals with reduced gut diversity, elevated relative abundance of the genus Prevotella, and reduced levels of the genus Bacteroides. We found that the relative abundances of Bacteroides and Prevotella were significantly correlated with certain serum metabolites, including omega-6 fatty acids. Primary dimensions in distance-based redundancy analysis of clinical chemistries explained 18.5% of the variance in bacterial community composition, and revealed a Bacteroides/Prevotella dichotomy aligned with inflammation and dietary markers. Finally, longitudinal analysis of gut microbiome dynamics within individuals showed that direct transitions between Bacteroides-dominated and Prevotella-dominated communities were rare, suggesting the presence of a barrier between these states. One implication is that interventions seeking to transition between Bacteroides- and Prevotella-dominated communities will need to identify permissible paths through ecological state-space that circumvent this apparent barrier.","container-title":"Proceedings of the National Academy of Sciences of the United States of America","DOI":"10.1073/pnas.1922498117","ISSN":"0027-8424","issue":"24","journalAbbreviation":"Proc Natl Acad Sci U S A","note":"PMID: 32471946\nPMCID: PMC7306764","page":"13839-13845","source":"PubMed Central","title":"Longitudinal analysis reveals transition barriers between dominant ecological states in the gut microbiome","volume":"117","author":[{"family":"Levy","given":"Roie"},{"family":"Magis","given":"Andrew T."},{"family":"Earls","given":"John C."},{"family":"Manor","given":"Ohad"},{"family":"Wilmanski","given":"Tomasz"},{"family":"Lovejoy","given":"Jennifer"},{"family":"Gibbons","given":"Sean M."},{"family":"Omenn","given":"Gilbert S."},{"family":"Hood","given":"Leroy"},{"family":"Price","given":"Nathan D."}],"issued":{"date-parts":[["2020",6,16]]}}},{"id":1063,"uris":["http://zotero.org/users/8873894/items/BJP4NI43"],"itemData":{"id":1063,"type":"article-journal","abstract":"Next-generation sequencing has greatly contributed to an improved ecological understanding of the human gut microbiota. Nevertheless, questions remain regarding the characteristics of this ecosystem and the ecological processes that shape it, and controversy has arisen regarding the stability of the bacterial populations and the existence of a temporal core. In this study, we have characterized the fecal microbial communities of three human individuals over a one-year period by 454 pyrosequencing of 16S rRNA tags in order to investigate the temporal characteristics of the bacterial communities. The findings revealed a temporal core of 33 to 40 species-level Operational Taxonomic Units (OTUs) within subjects. Although these OTUs accounted only for around 12% of the total OTUs detected, they added up to &gt;75% of the total sequences obtained for each individual. In order to determine the capacity of the sequencing and bioinformatic approaches applied during this study to accurately determine the proportion of a core microbiota, we analyzed the fecal microbiota of nine mice with a defined three-member community. This experiment revealed that the sequencing approach inflated the amount of rare OTUs, which introduced a significant degree of artificial variation across samples, and hence reduced the apparent fraction of shared OTUs. However, when assessing the data quantitatively by focusing on dominant lineages, the sequencing approaches deliver an accurate representation of the community. In conclusion, this study revealed that the human fecal microbiota is dominated by around 40 species that maintain persistent populations over the duration of one year. The findings allow conclusions about the ecological factors that shape the community and support the concept of a homeostatic ecosystem controlled largely by deterministic processes. Our analysis of a three-member community revealed that methodological artifacts of OTU-based approaches complicate core calculations, and these limitations have to be considered in the interpretation of microbiome studies.","container-title":"PLOS ONE","DOI":"10.1371/journal.pone.0069621","ISSN":"1932-6203","issue":"7","journalAbbreviation":"PLOS ONE","language":"en","note":"publisher: Public Library of Science","page":"e69621","source":"PLoS Journals","title":"Long-Term Temporal Analysis of the Human Fecal Microbiota Revealed a Stable Core of Dominant Bacterial Species","volume":"8","author":[{"family":"Martínez","given":"Inés"},{"family":"Muller","given":"Catherine E."},{"family":"Walter","given":"Jens"}],"issued":{"date-parts":[["2013",7,16]]}}},{"id":1067,"uris":["http://zotero.org/users/8873894/items/NLVU5PGV"],"itemData":{"id":1067,"type":"article-journal","abstract":"Longitudinal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9\npublisher: Nature Publishing Group","page":"2306-2318","source":"www.nature.com","title":"Rethinking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T."}],"issued":{"date-parts":[["2019",9]]}}},{"id":1035,"uris":["http://zotero.org/users/8873894/items/5KAPHFKS"],"itemData":{"id":1035,"type":"article-journal","abstract":"Temporal dynamics of the gut microbiota potentially limit the identification of microbial features associated with health status. Here, we used whole-genome metagenomic and 16S rRNA gene sequencing to characterize the intra- and inter-individual variations of gut microbiota composition and functional potential of a disease-free Swedish population (n = 75) over one year. We found that 23% of the total compositional variance was explained by intra-individual variation. The degree of intra-individual compositional variability was negatively associated with the abundance of Faecalibacterium prausnitzii (a butyrate producer) and two Bifidobacterium species. By contrast, the abundance of facultative anaerobes and aerotolerant bacteria such as Escherichia coli and Lactobacillus acidophilus varied extensively, independent of compositional stability. The contribution of intra-individual variance to the total variance was greater for functional pathways than for microbial species. Thus, reliable quantification of microbial features requires repeated samples to address the issue of intra-individual variations of the gut microbiota.","container-title":"Cell Host &amp; Microbe","DOI":"10.1016/j.chom.2022.03.002","ISSN":"1931-3128","issue":"5","journalAbbreviation":"Cell Host &amp; Microbe","language":"en","page":"726-739.e3","source":"ScienceDirect","title":"Dynamics of the normal gut microbiota: A longitudinal one-year population study in Sweden","title-short":"Dynamics of the normal gut microbiota","volume":"30","author":[{"family":"Olsson","given":"Lisa M"},{"family":"Boulund","given":"Fredrik"},{"family":"Nilsson","given":"Staffan"},{"family":"Khan","given":"Muhammad Tanweer"},{"family":"Gummesson","given":"Anders"},{"family":"Fagerberg","given":"Linn"},{"family":"Engstrand","given":"Lars"},{"family":"Perkins","given":"Rosie"},{"family":"Uhlén","given":"Mathias"},{"family":"Bergström","given":"Göran"},{"family":"Tremaroli","given":"Valentina"},{"family":"Bäckhed","given":"Fredrik"}],"issued":{"date-parts":[["2022",5,11]]}}},{"id":1061,"uris":["http://zotero.org/users/8873894/items/MAYR2WCS"],"itemData":{"id":1061,"type":"article-journal","abstract":"The intestinal microbial communities and their temporal dynamics are gaining increasing interest due to the significant implications for human health. Recent studies have shown the dynamic behavior of the gut microbiota in free-living, healthy persons. To date, it is not known whether these dynamics are applicable during prolonged life sharing in a confined and controlled environment.","container-title":"Microbiome","DOI":"10.1186/s40168-017-0256-8","ISSN":"2049-2618","issue":"1","journalAbbreviation":"Microbiome","page":"39","source":"BioMed Central","title":"Temporal dynamics of the gut microbiota in people sharing a confined environment, a 520-day ground-based space simulation, MARS500","volume":"5","author":[{"family":"Turroni","given":"Silvia"},{"family":"Rampelli","given":"Simone"},{"family":"Biagi","given":"Elena"},{"family":"Consolandi","given":"Clarissa"},{"family":"Severgnini","given":"Marco"},{"family":"Peano","given":"Clelia"},{"family":"Quercia","given":"Sara"},{"family":"Soverini","given":"Matteo"},{"family":"Carbonero","given":"Franck G."},{"family":"Bianconi","given":"Giovanna"},{"family":"Rettberg","given":"Petra"},{"family":"Canganella","given":"Francesco"},{"family":"Brigidi","given":"Patrizia"},{"family":"Candela","given":"Marco"}],"issued":{"date-parts":[["2017",3,24]]}}}],"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 xml:space="preserve">(Caporaso et al., 2011; Claesson et al., 2011; Clooney et al., 2021; Costello et al., 2009; David et al., 2014; Dubois et al., 2017; Faith et al., 2013; Flores et al., 2014; Fu et al., 2019; Hao et al., 2018; Hisada et al., 2015; Jayasinghe et al., 2017; Levy et al., 2020; Martínez et al., 2013; Martinson et al., 2019; Olsson et al., 2022; </w:t>
      </w:r>
      <w:proofErr w:type="spellStart"/>
      <w:r w:rsidR="00DF0F01" w:rsidRPr="000718B9">
        <w:rPr>
          <w:rFonts w:cs="Times New Roman"/>
          <w:lang w:val="en-GB"/>
        </w:rPr>
        <w:t>Turroni</w:t>
      </w:r>
      <w:proofErr w:type="spellEnd"/>
      <w:r w:rsidR="00DF0F01" w:rsidRPr="000718B9">
        <w:rPr>
          <w:rFonts w:cs="Times New Roman"/>
          <w:lang w:val="en-GB"/>
        </w:rPr>
        <w:t xml:space="preserve"> et al., 2017)</w:t>
      </w:r>
      <w:r w:rsidR="00DF0F01" w:rsidRPr="000718B9">
        <w:rPr>
          <w:rFonts w:eastAsia="Times New Roman" w:cs="Times New Roman"/>
          <w:lang w:val="en-GB"/>
        </w:rPr>
        <w:fldChar w:fldCharType="end"/>
      </w:r>
      <w:r w:rsidRPr="000718B9">
        <w:rPr>
          <w:rFonts w:eastAsia="Times New Roman" w:cs="Times New Roman"/>
          <w:lang w:val="en-GB"/>
        </w:rPr>
        <w:t>.</w:t>
      </w:r>
      <w:r w:rsidR="00DF0F01" w:rsidRPr="000718B9">
        <w:rPr>
          <w:rFonts w:eastAsia="Times New Roman" w:cs="Times New Roman"/>
          <w:lang w:val="en-GB"/>
        </w:rPr>
        <w:t xml:space="preserve"> These studies included populations ranging from one or two individuals to several hundred</w:t>
      </w:r>
      <w:r w:rsidRPr="000718B9">
        <w:rPr>
          <w:rFonts w:eastAsia="Times New Roman" w:cs="Times New Roman"/>
          <w:lang w:val="en-GB"/>
        </w:rPr>
        <w:t xml:space="preserve"> adults</w:t>
      </w:r>
      <w:r w:rsidR="00DF0F01" w:rsidRPr="000718B9">
        <w:rPr>
          <w:rFonts w:eastAsia="Times New Roman" w:cs="Times New Roman"/>
          <w:lang w:val="en-GB"/>
        </w:rPr>
        <w:t xml:space="preserve">, typically male but sometimes female, with individuals aged between 18 and 50 years and with a body mass index between 18.5 and 25. Sampling intervals ranged from daily, weekly to several months or even years apart. </w:t>
      </w:r>
      <w:r w:rsidRPr="000718B9">
        <w:rPr>
          <w:rFonts w:eastAsia="Times New Roman" w:cs="Times New Roman"/>
          <w:lang w:val="en-GB"/>
        </w:rPr>
        <w:t xml:space="preserve">Densely samples time series studies showed strong individual-specific and relatively persistent community structure despite day-to-day fluctuations </w:t>
      </w:r>
      <w:r w:rsidRPr="000718B9">
        <w:rPr>
          <w:rFonts w:eastAsia="Times New Roman" w:cs="Times New Roman"/>
          <w:lang w:val="en-GB"/>
        </w:rPr>
        <w:fldChar w:fldCharType="begin"/>
      </w:r>
      <w:r w:rsidRPr="000718B9">
        <w:rPr>
          <w:rFonts w:eastAsia="Times New Roman" w:cs="Times New Roman"/>
          <w:lang w:val="en-GB"/>
        </w:rPr>
        <w:instrText xml:space="preserve"> ADDIN ZOTERO_ITEM CSL_CITATION {"citationID":"ttSAftGC","properties":{"formattedCitation":"(Caporaso et al., 2011)","plainCitation":"(Caporaso et al., 2011)","noteIndex":0},"citationItems":[{"id":1113,"uris":["http://zotero.org/users/8873894/items/J7BXX9RI"],"itemData":{"id":1113,"type":"article-journal","abstract":"Background: Understanding the normal temporal variation in the human microbiome is critical to developing treatments for putative microbiome-related afflictions such as obesity, Crohn’s disease, inflammatory bowel disease and malnutrition. Sequencing and computational technologies, however, have been a limiting factor in performing dense time series analysis of the human microbiome. Here, we present the largest human microbiota time series analysis to date, covering two individuals at four body sites over 396 timepoints.\nResults: We find that despite stable differences between body sites and individuals, there is pronounced variability in an individual’s microbiota across months, weeks and even days. Additionally, only a small fraction of the total taxa found within a single body site appear to be present across all time points, suggesting that no core temporal microbiome exists at high abundance (although some microbes may be present but drop below the detection threshold). Many more taxa appear to be persistent but non-permanent community members.\nConclusions: DNA sequencing and computational advances described here provide the ability to go beyond infrequent snapshots of our human-associated microbial ecology to high-resolution assessments of temporal variations over protracted periods, within and between body habitats and individuals. This capacity will allow us to define normal variation and pathologic states, and assess responses to therapeutic interventions.","container-title":"Genome Biology","DOI":"10.1186/gb-2011-12-5-r50","ISSN":"1465-6906","issue":"5","journalAbbreviation":"Genome Biol","language":"en","page":"R50","source":"DOI.org (Crossref)","title":"Moving pictures of the human microbiome","volume":"12","author":[{"family":"Caporaso","given":"J Gregory"},{"family":"Lauber","given":"Christian L"},{"family":"Costello","given":"Elizabeth K"},{"family":"Berg-Lyons","given":"Donna"},{"family":"Gonzalez","given":"Antonio"},{"family":"Stombaugh","given":"Jesse"},{"family":"Knights","given":"Dan"},{"family":"Gajer","given":"Pawel"},{"family":"Ravel","given":"Jacques"},{"family":"Fierer","given":"Noah"},{"family":"Gordon","given":"Jeffrey I"},{"family":"Knight","given":"Rob"}],"issued":{"date-parts":[["2011"]]}}}],"schema":"https://github.com/citation-style-language/schema/raw/master/csl-citation.json"} </w:instrText>
      </w:r>
      <w:r w:rsidRPr="000718B9">
        <w:rPr>
          <w:rFonts w:eastAsia="Times New Roman" w:cs="Times New Roman"/>
          <w:lang w:val="en-GB"/>
        </w:rPr>
        <w:fldChar w:fldCharType="separate"/>
      </w:r>
      <w:r w:rsidRPr="000718B9">
        <w:rPr>
          <w:rFonts w:cs="Times New Roman"/>
          <w:lang w:val="en-GB"/>
        </w:rPr>
        <w:t>(Caporaso et al., 2011)</w:t>
      </w:r>
      <w:r w:rsidRPr="000718B9">
        <w:rPr>
          <w:rFonts w:eastAsia="Times New Roman" w:cs="Times New Roman"/>
          <w:lang w:val="en-GB"/>
        </w:rPr>
        <w:fldChar w:fldCharType="end"/>
      </w:r>
      <w:r w:rsidRPr="000718B9">
        <w:rPr>
          <w:rFonts w:eastAsia="Times New Roman" w:cs="Times New Roman"/>
          <w:lang w:val="en-GB"/>
        </w:rPr>
        <w:t xml:space="preserve">. </w:t>
      </w:r>
      <w:r w:rsidR="00C4203B" w:rsidRPr="000718B9">
        <w:rPr>
          <w:rFonts w:eastAsia="Times New Roman" w:cs="Times New Roman"/>
          <w:lang w:val="en-GB"/>
        </w:rPr>
        <w:t xml:space="preserve">Studies </w:t>
      </w:r>
      <w:r w:rsidRPr="000718B9">
        <w:rPr>
          <w:rFonts w:eastAsia="Times New Roman" w:cs="Times New Roman"/>
          <w:lang w:val="en-GB"/>
        </w:rPr>
        <w:t>in older adults</w:t>
      </w:r>
      <w:r w:rsidR="00DF0F01" w:rsidRPr="000718B9">
        <w:rPr>
          <w:rFonts w:eastAsia="Times New Roman" w:cs="Times New Roman"/>
          <w:lang w:val="en-GB"/>
        </w:rPr>
        <w:t xml:space="preserve"> </w:t>
      </w:r>
      <w:r w:rsidRPr="000718B9">
        <w:rPr>
          <w:rFonts w:eastAsia="Times New Roman" w:cs="Times New Roman"/>
          <w:lang w:val="en-GB"/>
        </w:rPr>
        <w:t xml:space="preserve">(more than </w:t>
      </w:r>
      <w:r w:rsidR="00DF0F01" w:rsidRPr="000718B9">
        <w:rPr>
          <w:rFonts w:eastAsia="Times New Roman" w:cs="Times New Roman"/>
          <w:lang w:val="en-GB"/>
        </w:rPr>
        <w:t>65 years of age</w:t>
      </w:r>
      <w:r w:rsidRPr="000718B9">
        <w:rPr>
          <w:rFonts w:eastAsia="Times New Roman" w:cs="Times New Roman"/>
          <w:lang w:val="en-GB"/>
        </w:rPr>
        <w:t>)</w:t>
      </w:r>
      <w:r w:rsidR="00C4203B" w:rsidRPr="000718B9">
        <w:rPr>
          <w:rFonts w:eastAsia="Times New Roman" w:cs="Times New Roman"/>
          <w:lang w:val="en-GB"/>
        </w:rPr>
        <w:t xml:space="preserve"> found a </w:t>
      </w:r>
      <w:r w:rsidR="00A8151D" w:rsidRPr="000718B9">
        <w:rPr>
          <w:rFonts w:eastAsia="Times New Roman" w:cs="Times New Roman"/>
          <w:lang w:val="en-GB"/>
        </w:rPr>
        <w:t>persistent</w:t>
      </w:r>
      <w:r w:rsidR="00DF0F01" w:rsidRPr="000718B9">
        <w:rPr>
          <w:rFonts w:eastAsia="Times New Roman" w:cs="Times New Roman"/>
          <w:lang w:val="en-GB"/>
        </w:rPr>
        <w:t xml:space="preserve"> individual's gut microbiota over a period of three to six months</w:t>
      </w:r>
      <w:r w:rsidRPr="000718B9">
        <w:rPr>
          <w:rFonts w:eastAsia="Times New Roman" w:cs="Times New Roman"/>
          <w:lang w:val="en-GB"/>
        </w:rPr>
        <w:t xml:space="preserve"> at high taxonomic levels</w:t>
      </w:r>
      <w:r w:rsidR="00DF0F01" w:rsidRPr="000718B9">
        <w:rPr>
          <w:rFonts w:eastAsia="Times New Roman" w:cs="Times New Roman"/>
          <w:lang w:val="en-GB"/>
        </w:rPr>
        <w:t xml:space="preserve">, but with certain taxa showing variability at the OTU level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{"citationID":"iVd1bcxW","properties":{"formattedCitation":"(Claesson et al., 2011; Fu et al., 2019)","plainCitation":"(Claesson et al., 2011; Fu et al., 2019)","noteIndex":0},"citationItems":[{"id":1567,"uris":["http://zotero.org/users/8873894/items/5CR64PC5"],"itemData":{"id":1567,"type":"article-journal","abstract":"Alterations in the human intestinal microbiota are linked to conditions including\ninflammatory bowel disease, irritable bowel syndrome, and obesity...","archive_location":"world","container-title":"Proceedings of the National Academy of Sciences","DOI":"10.1073/pnas.1000097107","issue":"supplement_1","language":"EN","note":"Company: National Academy of Sciences\nDistributor: National Academy of Sciences\nInstitution: National Academy of Sciences\nLabel: National Academy of Sciences\npublisher: Proceedings of the National Academy of Sciences","page":"4586-4591","source":"www.pnas.org","title":"Composition, variability, and temporal stability of the intestinal microbiota of the elderly","volume":"108","author":[{"family":"Claesson","given":"Marcus J."},{"family":"Cusack","given":"Siobhán"},{"family":"O'Sullivan","given":"Orla"},{"family":"Greene-Diniz","given":"Rachel"},{"family":"Weerd","given":"Heleen","non-dropping-particle":"de"},{"family":"Flannery","given":"Edel"},{"family":"Marchesi","given":"Julian R."},{"family":"Falush","given":"Daniel"},{"family":"Dinan","given":"Timothy"},{"family":"Fitzgerald","given":"Gerald"},{"family":"Stanton","given":"Catherine"},{"family":"Sinderen","given":"Douwe","non-dropping-particle":"van"},{"family":"O'Connor","given":"Michael"},{"family":"Harnedy","given":"Norma"},{"family":"O'Connor","given":"Kieran"},{"family":"Henry","given":"Colm"},{"family":"O'Mahony","given":"Denis"},{"family":"Fitzgerald","given":"Anthony P."},{"family":"Shanahan","given":"Fergus"},{"family":"Twomey","given":"Cillian"},{"family":"Hill","given":"Colin"},{"family":"Ross","given":"R. Paul"},{"family":"O'Toole","given":"Paul W."}],"issued":{"date-parts":[["2011",3,15]]}}},{"id":1586,"uris":["http://zotero.org/users/8873894/items/4MHV6IR7"],"itemData":{"id":1586,"type":"article-journal","abstract":"BACKGROUND: Measurement reliability and biological stability need to be considered when developing sampling protocols for population-based fecal microbiome studies.\nMETHODS: Stool samples were collected biannually over a 2-year period and sequenced for the V1-V3 region of the 16S rRNA gene in 50 participants from the Multiethnic Cohort Study. We evaluated the temporal stability of the fecal microbiome on a community level with permutational multivariate analysis of variance (PERMANOVA), as well as on taxa and diversity measures with intraclass correlation coefficients.\nRESULTS: Interindividual differences were the predominant source of fecal microbiome variation, and variation within individual was driven more by changing abundances than by the complete loss or introduction of taxa. Phyla and diversity measures were reliable over the 2 years. Most genera were stable over time, although those with low abundances tended to be more dynamic. Reliability was lower among participants who used antibiotics, with the greatest difference seen in samples taken within 1 month of reported use.\nCONCLUSIONS: The fecal microbiome as a whole is stable over a 2-year period, although certain taxa may exhibit more temporal variability.\nIMPACT: When designing large epidemiologic studies, a single sample is sufficient to capture the majority of the variation in the fecal microbiome from 16S rRNA gene sequencing, while multiple samples may be needed for rare or less-abundant taxa.","container-title":"Cancer Epidemiology, Biomarkers &amp; Prevention: A Publication of the American Association for Cancer Research, Cosponsored by the American Society of Preventive Oncology","DOI":"10.1158/1055-9965.EPI-18-0348","ISSN":"1538-7755","issue":"1","journalAbbreviation":"Cancer Epidemiol Biomarkers Prev","language":"eng","note":"PMID: 30206059\nPMCID: PMC6625800","page":"154-162","source":"PubMed","title":"Temporal Variability and Stability of the Fecal Microbiome: The Multiethnic Cohort Study","title-short":"Temporal Variability and Stability of the Fecal Microbiome","volume":"28","author":[{"family":"Fu","given":"Benjamin C."},{"family":"Randolph","given":"Timothy W."},{"family":"Lim","given":"Unhee"},{"family":"Monroe","given":"Kristine R."},{"family":"Cheng","given":"Iona"},{"family":"Wilkens","given":"Lynne R."},{"family":"Le Marchand","given":"Loïc"},{"family":"Lampe","given":"Johanna W."},{"family":"Hullar","given":"Meredith A. J."}],"issued":{"date-parts":[["2019",1]]}}}],"schema":"https://github.com/citation-style-language/schema/raw/master/csl-citation.json"}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(Claesson et al., 2011; Fu et al., 2019)</w:t>
      </w:r>
      <w:r w:rsidR="00DF0F01" w:rsidRPr="000718B9">
        <w:rPr>
          <w:rFonts w:eastAsia="Times New Roman" w:cs="Times New Roman"/>
          <w:lang w:val="en-GB"/>
        </w:rPr>
        <w:fldChar w:fldCharType="end"/>
      </w:r>
      <w:r w:rsidR="00DF0F01" w:rsidRPr="000718B9">
        <w:rPr>
          <w:rFonts w:eastAsia="Times New Roman" w:cs="Times New Roman"/>
          <w:lang w:val="en-GB"/>
        </w:rPr>
        <w:t xml:space="preserve">. Other studies have found longitudinally </w:t>
      </w:r>
      <w:r w:rsidR="00A8151D" w:rsidRPr="000718B9">
        <w:rPr>
          <w:rFonts w:eastAsia="Times New Roman" w:cs="Times New Roman"/>
          <w:lang w:val="en-GB"/>
        </w:rPr>
        <w:t>persistent</w:t>
      </w:r>
      <w:r w:rsidR="00DF0F01" w:rsidRPr="000718B9">
        <w:rPr>
          <w:rFonts w:eastAsia="Times New Roman" w:cs="Times New Roman"/>
          <w:lang w:val="en-GB"/>
        </w:rPr>
        <w:t xml:space="preserve"> intestinal microbiota at the phylum</w:t>
      </w:r>
      <w:r w:rsidRPr="000718B9">
        <w:rPr>
          <w:rFonts w:eastAsia="Times New Roman" w:cs="Times New Roman"/>
          <w:lang w:val="en-GB"/>
        </w:rPr>
        <w:t xml:space="preserve"> or family</w:t>
      </w:r>
      <w:r w:rsidR="00DF0F01" w:rsidRPr="000718B9">
        <w:rPr>
          <w:rFonts w:eastAsia="Times New Roman" w:cs="Times New Roman"/>
          <w:lang w:val="en-GB"/>
        </w:rPr>
        <w:t xml:space="preserve"> level </w:t>
      </w:r>
      <w:r w:rsidR="00DF0F01" w:rsidRPr="000718B9">
        <w:rPr>
          <w:rFonts w:eastAsia="Times New Roman" w:cs="Times New Roman"/>
          <w:lang w:val="en-GB"/>
        </w:rPr>
        <w:lastRenderedPageBreak/>
        <w:t>over periods ranging from a few months to several years</w:t>
      </w:r>
      <w:r w:rsidRPr="000718B9">
        <w:rPr>
          <w:rFonts w:eastAsia="Times New Roman" w:cs="Times New Roman"/>
          <w:lang w:val="en-GB"/>
        </w:rPr>
        <w:t xml:space="preserve"> or even decades</w:t>
      </w:r>
      <w:r w:rsidR="00DF0F01" w:rsidRPr="000718B9">
        <w:rPr>
          <w:rFonts w:eastAsia="Times New Roman" w:cs="Times New Roman"/>
          <w:lang w:val="en-GB"/>
        </w:rPr>
        <w:t xml:space="preserve"> </w:t>
      </w:r>
      <w:r w:rsidR="00DF0F01" w:rsidRPr="000718B9">
        <w:rPr>
          <w:rFonts w:eastAsia="Times New Roman" w:cs="Times New Roman"/>
          <w:lang w:val="en-GB"/>
        </w:rPr>
        <w:fldChar w:fldCharType="begin"/>
      </w:r>
      <w:r w:rsidRPr="000718B9">
        <w:rPr>
          <w:rFonts w:eastAsia="Times New Roman" w:cs="Times New Roman"/>
          <w:lang w:val="en-GB"/>
        </w:rPr>
        <w:instrText xml:space="preserve"> ADDIN ZOTERO_ITEM CSL_CITATION {"citationID":"RBI6YCqZ","properties":{"formattedCitation":"(Faith et al., 2013; Jayasinghe et al., 2017)","plainCitation":"(Faith et al., 2013; Jayasinghe et al., 2017)","noteIndex":0},"citationItems":[{"id":1112,"uris":["http://zotero.org/users/8873894/items/C29JXBJV"],"itemData":{"id":1112,"type":"article-journal","abstract":"A low-error 16S rRNA amplicon sequencing method (LEA-Seq) plus whole genome sequencing of &gt;500 cultured isolates were used to characterize bacterial strain composition in the fecal microbiota of 37 USA adults sampled for up to five years. Microbiota stability follows a power law function which, when extrapolated, suggests that most strains in an individual are residents for decades. Shared strains were recovered from family members, but not from unrelated individuals. Sampling individuals for up to 32 weeks while consuming a monotonous liquid diet indicated that changes in weight are more predictive of changes in strain composition than sampling interval. This combination of stability and responsiveness to physiologic change confirms the potential of the gut microbiota as a diagnostic tool and therapeutic target.","container-title":"Science (New York, N.Y.)","DOI":"10.1126/science.1237439","ISSN":"0036-8075","issue":"6141","journalAbbreviation":"Science","note":"PMID: 23828941\nPMCID: PMC3791589","page":"1237439","source":"PubMed Central","title":"The long-term stability of the human gut microbiota","volume":"341","author":[{"family":"Faith","given":"Jeremiah J."},{"family":"Guruge","given":"Janaki L."},{"family":"Charbonneau","given":"Mark"},{"family":"Subramanian","given":"Sathish"},{"family":"Seedorf","given":"Henning"},{"family":"Goodman","given":"Andrew L."},{"family":"Clemente","given":"Jose C."},{"family":"Knight","given":"Rob"},{"family":"Heath","given":"Andrew C."},{"family":"Leibel","given":"Rudolph L."},{"family":"Rosenbaum","given":"Michael"},{"family":"Gordon","given":"Jeffrey I."}],"issued":{"date-parts":[["2013",7,5]]}}},{"id":1059,"uris":["http://zotero.org/users/8873894/items/HWV479CZ"],"itemData":{"id":1059,"type":"article-journal","abstract":"There is currently a lack of long-term longitudinal studies investigating the stability of the microbiome. In this n-of-one study, we characterised the gut microbial composition of artist Billy Apple® from stool samples collected 45 years apart in 1970 and 2016. We observed that 45% of the microbial species were retained over the 45 year interval. Moreover, components of Apple’s microbiome associated with the allele frequency at seven SNPs in his genome. Collectively, our results are consistent with a genetic component contributing to the selection and maintenance of core members within the artist’s microbiome over his life-time.","container-title":"Human Microbiome Journal","DOI":"10.1016/j.humic.2017.09.001","ISSN":"2452-2317","journalAbbreviation":"Human Microbiome Journal","language":"en","page":"7-10","source":"ScienceDirect","title":"Long-term stability in the gut microbiome over 46 years in the life of Billy Apple®","volume":"5-6","author":[{"family":"Jayasinghe","given":"Thilini N."},{"family":"Hilton","given":"Craig"},{"family":"Tsai","given":"Peter"},{"family":"Apple","given":"Billy"},{"family":"Shepherd","given":"Peter"},{"family":"Cutfield","given":"Wayne S."},{"family":"O'Sullivan","given":"Justin M."}],"issued":{"date-parts":[["2017",12,1]]}}}],"schema":"https://github.com/citation-style-language/schema/raw/master/csl-citation.json"} </w:instrText>
      </w:r>
      <w:r w:rsidR="00DF0F01" w:rsidRPr="000718B9">
        <w:rPr>
          <w:rFonts w:eastAsia="Times New Roman" w:cs="Times New Roman"/>
          <w:lang w:val="en-GB"/>
        </w:rPr>
        <w:fldChar w:fldCharType="separate"/>
      </w:r>
      <w:r w:rsidRPr="000718B9">
        <w:rPr>
          <w:rFonts w:cs="Times New Roman"/>
          <w:lang w:val="en-GB"/>
        </w:rPr>
        <w:t>(Faith et al., 2013; Jayasinghe et al., 2017)</w:t>
      </w:r>
      <w:r w:rsidR="00DF0F01" w:rsidRPr="000718B9">
        <w:rPr>
          <w:rFonts w:eastAsia="Times New Roman" w:cs="Times New Roman"/>
          <w:lang w:val="en-GB"/>
        </w:rPr>
        <w:fldChar w:fldCharType="end"/>
      </w:r>
      <w:r w:rsidRPr="000718B9">
        <w:rPr>
          <w:rFonts w:eastAsia="Times New Roman" w:cs="Times New Roman"/>
          <w:lang w:val="en-GB"/>
        </w:rPr>
        <w:t xml:space="preserve">. </w:t>
      </w:r>
    </w:p>
    <w:p w14:paraId="4FD17BC9" w14:textId="762AC833" w:rsidR="00291290" w:rsidRPr="000718B9" w:rsidRDefault="00F14503" w:rsidP="00DF0F01">
      <w:pPr>
        <w:rPr>
          <w:rFonts w:eastAsia="Times New Roman" w:cs="Times New Roman"/>
          <w:lang w:val="en-GB"/>
        </w:rPr>
      </w:pPr>
      <w:r w:rsidRPr="000718B9">
        <w:rPr>
          <w:rFonts w:eastAsia="Times New Roman" w:cs="Times New Roman"/>
          <w:lang w:val="en-GB"/>
        </w:rPr>
        <w:t xml:space="preserve">However, apparent persistence at </w:t>
      </w:r>
      <w:r w:rsidR="00C4203B" w:rsidRPr="000718B9">
        <w:rPr>
          <w:rFonts w:eastAsia="Times New Roman" w:cs="Times New Roman"/>
          <w:lang w:val="en-GB"/>
        </w:rPr>
        <w:t>high taxonomic level changes when looking with greater resolutions</w:t>
      </w:r>
      <w:r w:rsidR="00A8151D" w:rsidRPr="000718B9">
        <w:rPr>
          <w:rFonts w:eastAsia="Times New Roman" w:cs="Times New Roman"/>
          <w:lang w:val="en-GB"/>
        </w:rPr>
        <w:t xml:space="preserve"> using shotgun metagenomic sequencing</w:t>
      </w:r>
      <w:r w:rsidR="00C4203B" w:rsidRPr="000718B9">
        <w:rPr>
          <w:rFonts w:eastAsia="Times New Roman" w:cs="Times New Roman"/>
          <w:lang w:val="en-GB"/>
        </w:rPr>
        <w:t>. L</w:t>
      </w:r>
      <w:r w:rsidR="00DF0F01" w:rsidRPr="000718B9">
        <w:rPr>
          <w:rFonts w:eastAsia="Times New Roman" w:cs="Times New Roman"/>
          <w:lang w:val="en-GB"/>
        </w:rPr>
        <w:t xml:space="preserve">ongitudinal studies using metagenomic sequencing </w:t>
      </w:r>
      <w:r w:rsidR="00C4203B" w:rsidRPr="000718B9">
        <w:rPr>
          <w:rFonts w:eastAsia="Times New Roman" w:cs="Times New Roman"/>
          <w:lang w:val="en-GB"/>
        </w:rPr>
        <w:t xml:space="preserve">compared </w:t>
      </w:r>
      <w:r w:rsidR="00451642" w:rsidRPr="000718B9">
        <w:rPr>
          <w:rFonts w:eastAsia="Times New Roman" w:cs="Times New Roman"/>
          <w:lang w:val="en-GB"/>
        </w:rPr>
        <w:t xml:space="preserve">vertical transmission and early assembly of gut microbiota in the first year of life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{"citationID":"vawl4Srv","properties":{"formattedCitation":"(Asnicar et al., 2017; Yassour et al., 2018)","plainCitation":"(Asnicar et al., 2017; Yassour et al., 2018)","noteIndex":0},"citationItems":[{"id":1900,"uris":["http://zotero.org/users/8873894/items/CFNX3LF2"],"itemData":{"id":1900,"type":"article-journal","abstract":"The gut microbiome becomes shaped in the first days of life and continues to increase its diversity during the first months. Links between the configuration of the infant gut microbiome and infant health are being shown, but a comprehensive strain-level assessment of microbes vertically transmitted from mother to infant is still missing. We collected fecal and breast milk samples from multiple mother-infant pairs during the first year of life and applied shotgun metagenomic sequencing followed by computational strain-level profiling. We observed that several specific strains, including those of Bifidobacterium bifidum, Coprococcus comes, and Ruminococcus bromii, were present in samples from the same mother-infant pair, while being clearly distinct from those carried by other pairs, which is indicative of vertical transmission. We further applied metatranscriptomics to study the in vivo gene expression of vertically transmitted microbes and found that transmitted strains of Bacteroides and Bifidobacterium species were transcriptionally active in the guts of both adult and infant. By combining longitudinal microbiome sampling and newly developed computational tools for strain-level microbiome analysis, we demonstrated that it is possible to track the vertical transmission of microbial strains from mother to infants and to characterize their transcriptional activity. Our work provides the foundation for larger-scale surveys to identify the routes of vertical microbial transmission and its influence on postinfancy microbiome development.\nIMPORTANCE Early infant exposure is important in the acquisition and ultimate development of a healthy infant microbiome. There is increasing support for the idea that the maternal microbial reservoir is a key route of microbial transmission, and yet much is inferred from the observation of shared species in mother and infant. The presence of common species, per se, does not necessarily equate to vertical transmission, as species exhibit considerable strain heterogeneity. It is therefore imperative to assess whether shared microbes belong to the same genetic variant (i.e., strain) to support the hypothesis of vertical transmission. Here we demonstrate the potential of shotgun metagenomics and strain-level profiling to identify vertical transmission events. Combining these data with metatranscriptomics, we show that it is possible not only to identify and track the fate of microbes in the early infant microbiome but also to investigate the actively transcribing members of the community. These approaches will ultimately provide important insights into the acquisition, development, and community dynamics of the infant microbiome.","container-title":"mSystems","DOI":"10.1128/mSystems.00164-16","issue":"1","note":"publisher: American Society for Microbiology","page":"e00164-16","source":"journals.asm.org (Atypon)","title":"Studying Vertical Microbiome Transmission from Mothers to Infants by Strain-Level Metagenomic Profiling","volume":"2","author":[{"family":"Asnicar","given":"Francesco"},{"family":"Manara","given":"Serena"},{"family":"Zolfo","given":"Moreno"},{"family":"Truong","given":"Duy Tin"},{"family":"Scholz","given":"Matthias"},{"family":"Armanini","given":"Federica"},{"family":"Ferretti","given":"Pamela"},{"family":"Gorfer","given":"Valentina"},{"family":"Pedrotti","given":"Anna"},{"family":"Tett","given":"Adrian"},{"family":"Segata","given":"Nicola"}],"issued":{"date-parts":[["2017",1,17]]}}},{"id":1911,"uris":["http://zotero.org/users/8873894/items/AJLUELGH"],"itemData":{"id":1911,"type":"article-journal","abstract":"Bacterial community acquisition in the infant gut impacts immune education and disease susceptibility. We compared bacterial strains across and within families in a prospective birth cohort of 44 infants and their mothers, sampled longitudinally in the first months of each child’s life. We identified mother-to-child bacterial transmission events and describe the incidence of family-specific antibiotic resistance genes. We observed two inheritance patterns across multiple species, where often the mother’s dominant strain is transmitted to the child, but occasionally her secondary strains colonize the infant gut. In families where the secondary strain of B. uniformis was inherited, a starch utilization gene cluster that was absent in the mother’s dominant strain was identified in the child, suggesting the selective advantage of a mother’s secondary strain in the infant gut. Our findings reveal mother-to-child bacterial transmission events at high resolution and give insights into early colonization of the infant gut.","container-title":"Cell Host &amp; Microbe","DOI":"10.1016/j.chom.2018.06.007","ISSN":"1931-3128","issue":"1","journalAbbreviation":"Cell Host &amp; Microbe","language":"en","page":"146-154.e4","source":"ScienceDirect","title":"Strain-Level Analysis of Mother-to-Child Bacterial Transmission during the First Few Months of Life","volume":"24","author":[{"family":"Yassour","given":"Moran"},{"family":"Jason","given":"Eeva"},{"family":"Hogstrom","given":"Larson J."},{"family":"Arthur","given":"Timothy D."},{"family":"Tripathi","given":"Surya"},{"family":"Siljander","given":"Heli"},{"family":"Selvenius","given":"Jenni"},{"family":"Oikarinen","given":"Sami"},{"family":"Hyöty","given":"Heikki"},{"family":"Virtanen","given":"Suvi M."},{"family":"Ilonen","given":"Jorma"},{"family":"Ferretti","given":"Pamela"},{"family":"Pasolli","given":"Edoardo"},{"family":"Tett","given":"Adrian"},{"family":"Asnicar","given":"Francesco"},{"family":"Segata","given":"Nicola"},{"family":"Vlamakis","given":"Hera"},{"family":"Lander","given":"Eric S."},{"family":"Huttenhower","given":"Curtis"},{"family":"Knip","given":"Mikael"},{"family":"Xavier","given":"Ramnik J."}],"issued":{"date-parts":[["2018",7,11]]}}}],"schema":"https://github.com/citation-style-language/schema/raw/master/csl-citation.json"}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 xml:space="preserve">(Asnicar et al., 2017; </w:t>
      </w:r>
      <w:proofErr w:type="spellStart"/>
      <w:r w:rsidR="00DF0F01" w:rsidRPr="000718B9">
        <w:rPr>
          <w:rFonts w:cs="Times New Roman"/>
          <w:lang w:val="en-GB"/>
        </w:rPr>
        <w:t>Yassour</w:t>
      </w:r>
      <w:proofErr w:type="spellEnd"/>
      <w:r w:rsidR="00DF0F01" w:rsidRPr="000718B9">
        <w:rPr>
          <w:rFonts w:cs="Times New Roman"/>
          <w:lang w:val="en-GB"/>
        </w:rPr>
        <w:t xml:space="preserve"> et al., 2018)</w:t>
      </w:r>
      <w:r w:rsidR="00DF0F01" w:rsidRPr="000718B9">
        <w:rPr>
          <w:rFonts w:eastAsia="Times New Roman" w:cs="Times New Roman"/>
          <w:lang w:val="en-GB"/>
        </w:rPr>
        <w:fldChar w:fldCharType="end"/>
      </w:r>
      <w:r w:rsidR="00451642" w:rsidRPr="000718B9">
        <w:rPr>
          <w:rFonts w:eastAsia="Times New Roman" w:cs="Times New Roman"/>
          <w:lang w:val="en-GB"/>
        </w:rPr>
        <w:t xml:space="preserve">, strain and species persistence in healthy adults </w:t>
      </w:r>
      <w:r w:rsidR="00DF0F01" w:rsidRPr="000718B9">
        <w:rPr>
          <w:rFonts w:eastAsia="Times New Roman" w:cs="Times New Roman"/>
          <w:lang w:val="en-GB"/>
        </w:rPr>
        <w:fldChar w:fldCharType="begin"/>
      </w:r>
      <w:r w:rsidR="00291290" w:rsidRPr="000718B9">
        <w:rPr>
          <w:rFonts w:eastAsia="Times New Roman" w:cs="Times New Roman"/>
          <w:lang w:val="en-GB"/>
        </w:rPr>
        <w:instrText xml:space="preserve"> ADDIN ZOTERO_ITEM CSL_CITATION {"citationID":"Z4vaYv65","properties":{"formattedCitation":"(Abu-Ali et al., 2018; Chen et al., 2021; Dapa et al., 2023; Jokela et al., 2023; Olsson et al., 2022; Wolff et al., 2023; Zhou et al., 2024)","plainCitation":"(Abu-Ali et al., 2018; Chen et al., 2021; Dapa et al., 2023; Jokela et al., 2023; Olsson et al., 2022; Wolff et al., 2023; Zhou et al., 2024)","noteIndex":0},"citationItems":[{"id":1958,"uris":["http://zotero.org/users/8873894/items/VF9RJEHA"],"itemData":{"id":1958,"type":"article-journal","abstract":"The gut microbiome is intimately related to human health, but it is not yet known which functional activities are driven by specific microorganisms' ecological configurations or transcription. We report a large-scale investigation of 372 human faecal metatranscriptomes and 929 metagenomes from a subset of 308 men in the Health Professionals Follow-Up Study. We identified a metatranscriptomic 'core' universally transcribed over time and across participants, often by different microorganisms. In contrast to the housekeeping functions enriched in this core, a 'variable' metatranscriptome included specialized pathways that were differentially expressed both across participants and among microorganisms. Finally, longitudinal metagenomic profiles allowed ecological interaction network reconstruction, which remained stable over the six-month timespan, as did strain tracking within and between participants. These results provide an initial characterization of human faecal microbial ecology into core, subject-specific, microorganism-specific and temporally variable transcription, and they differentiate metagenomically versus metatranscriptomically informative aspects of the human faecal microbiome.","container-title":"Nature Microbiology","DOI":"10.1038/s41564-017-0084-4","ISSN":"2058-5276","issue":"3","journalAbbreviation":"Nat Microbiol","language":"en","license":"2018 © The Authors 2017, under exclusive licence to Macmillan Publishers Ltd, part of Springer Nature","note":"number: 3\npublisher: Nature Publishing Group","page":"356-366","source":"www.nature.com","title":"Metatranscriptome of human faecal microbial communities in a cohort of adult men","volume":"3","author":[{"family":"Abu-Ali","given":"Galeb S."},{"family":"Mehta","given":"Raaj S."},{"family":"Lloyd-Price","given":"Jason"},{"family":"Mallick","given":"Himel"},{"family":"Branck","given":"Tobyn"},{"family":"Ivey","given":"Kerry L."},{"family":"Drew","given":"David A."},{"family":"DuLong","given":"Casey"},{"family":"Rimm","given":"Eric"},{"family":"Izard","given":"Jacques"},{"family":"Chan","given":"Andrew T."},{"family":"Huttenhower","given":"Curtis"}],"issued":{"date-parts":[["2018",3]]}}},{"id":1046,"uris":["http://zotero.org/users/8873894/items/DU5DVK53"],"itemData":{"id":1046,"type":"article-journal","abstract":"By following up the gut microbiome, 51 human phenotypes and plasma levels of 1,183 metabolites in 338 individuals after 4 years, we characterize microbial stability and variation in relation to host physiology. Using these individual-specific and temporally stable microbial profiles, including bacterial SNPs and structural variations, we develop a microbial fingerprinting method that shows up to 85% accuracy in classifying metagenomic samples taken 4 years apart. Application of our fingerprinting method to the independent HMP cohort results in 95% accuracy for samples taken 1 year apart. We further observe temporal changes in the abundance of multiple bacterial species, metabolic pathways, and structural variation, as well as strain replacement. We report 190 longitudinal microbial associations with host phenotypes and 519 associations with plasma metabolites. These associations are enriched for cardiometabolic traits, vitamin B, and uremic toxins. Finally, mediation analysis suggests that the gut microbiome may influence cardiometabolic health through its metabolites.","container-title":"Cell","DOI":"10.1016/j.cell.2021.03.024","ISSN":"0092-8674","issue":"9","journalAbbreviation":"Cell","language":"en","page":"2302-2315.e12","source":"ScienceDirect","title":"The long-term genetic stability and individual specificity of the human gut microbiome","volume":"184","author":[{"family":"Chen","given":"Lianmin"},{"family":"Wang","given":"Daoming"},{"family":"Garmaeva","given":"Sanzhima"},{"family":"Kurilshikov","given":"Alexander"},{"family":"Vich Vila","given":"Arnau"},{"family":"Gacesa","given":"Ranko"},{"family":"Sinha","given":"Trishla"},{"family":"Segal","given":"Eran"},{"family":"Weersma","given":"Rinse K."},{"family":"Wijmenga","given":"Cisca"},{"family":"Zhernakova","given":"Alexandra"},{"family":"Fu","given":"Jingyuan"}],"issued":{"date-parts":[["2021",4,29]]}}},{"id":2319,"uris":["http://zotero.org/users/8873894/items/XHZSJ9H7"],"itemData":{"id":2319,"type":"article-journal","abstract":"Gut bacteria inhabit a complex environment that is shaped by interactions with their host and the other members of the community. While these ecological interactions have evolved over millions of years, mounting evidence suggests that gut commensals can evolve on much shorter timescales as well, by acquiring new mutations within individual hosts. In this review, we highlight recent progress in understanding the causes and consequences of short-term evolution in the mammalian gut, from experimental evolution in murine hosts to longitudinal tracking of human cohorts. We also discuss new opportunities for future progress by expanding the repertoire of focal species, hosts, and surrounding communities, and by combining deep-sequencing technologies with quantitative frameworks from population genetics.","container-title":"Current Opinion in Microbiology","DOI":"10.1016/j.mib.2022.102258","ISSN":"1369-5274","journalAbbreviation":"Current Opinion in Microbiology","language":"en","page":"102258","source":"ScienceDirect","title":"Within-host evolution of the gut microbiome","volume":"71","author":[{"family":"Dapa","given":"Tanja"},{"family":"Wong","given":"Daniel PGH"},{"family":"Vasquez","given":"Kimberly S"},{"family":"Xavier","given":"Karina B"},{"family":"Huang","given":"Kerwyn Casey"},{"family":"Good","given":"Benjamin H"}],"issued":{"date-parts":[["2023",2,1]]}}},{"id":2295,"uris":["http://zotero.org/users/8873894/items/V62M4SM2"],"itemData":{"id":2295,"type":"article-journal","abstract":"Background Although the infant gut microbiota has been extensively studied, comprehensive assessment on the microbiota determinants including technical variables has not been performed in large infant cohorts.","container-title":"eBioMedicine","DOI":"10.1016/j.ebiom.2023.104695","ISSN":"23523964","journalAbbreviation":"eBioMedicine","language":"en","page":"104695","source":"DOI.org (Crossref)","title":"Sources of gut microbiota variation in a large longitudinal Finnish infant cohort","volume":"94","author":[{"family":"Jokela","given":"Roosa"},{"family":"Ponsero","given":"Alise J."},{"family":"Dikareva","given":"Evgenia"},{"family":"Wei","given":"Xiaodong"},{"family":"Kolho","given":"Kaija-Leena"},{"family":"Korpela","given":"Katri"},{"family":"De Vos","given":"Willem M."},{"family":"Salonen","given":"Anne"}],"issued":{"date-parts":[["2023",8]]}}},{"id":1035,"uris":["http://zotero.org/users/8873894/items/5KAPHFKS"],"itemData":{"id":1035,"type":"article-journal","abstract":"Temporal dynamics of the gut microbiota potentially limit the identification of microbial features associated with health status. Here, we used whole-genome metagenomic and 16S rRNA gene sequencing to characterize the intra- and inter-individual variations of gut microbiota composition and functional potential of a disease-free Swedish population (n = 75) over one year. We found that 23% of the total compositional variance was explained by intra-individual variation. The degree of intra-individual compositional variability was negatively associated with the abundance of Faecalibacterium prausnitzii (a butyrate producer) and two Bifidobacterium species. By contrast, the abundance of facultative anaerobes and aerotolerant bacteria such as Escherichia coli and Lactobacillus acidophilus varied extensively, independent of compositional stability. The contribution of intra-individual variance to the total variance was greater for functional pathways than for microbial species. Thus, reliable quantification of microbial features requires repeated samples to address the issue of intra-individual variations of the gut microbiota.","container-title":"Cell Host &amp; Microbe","DOI":"10.1016/j.chom.2022.03.002","ISSN":"1931-3128","issue":"5","journalAbbreviation":"Cell Host &amp; Microbe","language":"en","page":"726-739.e3","source":"ScienceDirect","title":"Dynamics of the normal gut microbiota: A longitudinal one-year population study in Sweden","title-short":"Dynamics of the normal gut microbiota","volume":"30","author":[{"family":"Olsson","given":"Lisa M"},{"family":"Boulund","given":"Fredrik"},{"family":"Nilsson","given":"Staffan"},{"family":"Khan","given":"Muhammad Tanweer"},{"family":"Gummesson","given":"Anders"},{"family":"Fagerberg","given":"Linn"},{"family":"Engstrand","given":"Lars"},{"family":"Perkins","given":"Rosie"},{"family":"Uhlén","given":"Mathias"},{"family":"Bergström","given":"Göran"},{"family":"Tremaroli","given":"Valentina"},{"family":"Bäckhed","given":"Fredrik"}],"issued":{"date-parts":[["2022",5,11]]}}},{"id":2303,"uris":["http://zotero.org/users/8873894/items/8JFF8KSZ"],"itemData":{"id":2303,"type":"article-journal","abstract":"The human gut microbiome harbors substantial ecological diversity at the species level as well as at the strain level within species. In healthy hosts, species abundance fluctuations in the microbiome are thought to be stable, and these fluctuations can be described by macroecological laws. However, it is less clear how strain abundances change over time. An open question is whether individual strains behave like species themselves, exhibiting stability and following the macroecological relationships known to hold at the species level, or whether strains have different dynamics, perhaps due to the relatively close phylogenetic relatedness of cocolonizing lineages. Here, we analyze the daily dynamics of intraspecific genetic variation in the gut microbiomes of four healthy, densely longitudinally sampled hosts. First, we find that the overall genetic diversity of a large majority of species is stationary over time despite short-term fluctuations. Next, we show that fluctuations in abundances in approximately 80% of strains analyzed can be predicted with a stochastic logistic model (SLM), an ecological model of a population experiencing environmental fluctuations around a fixed carrying capacity, which has previously been shown to capture statistical properties of species abundance fluctuations. The success of this model indicates that strain abundances typically fluctuate around a fixed carrying capacity, suggesting that most strains are dynamically stable. Finally, we find that the strain abundances follow several empirical macroecological laws known to hold at the species level. Together, our results suggest that macroecological properties of the human gut microbiome, including its stability, emerge at the level of strains.\nIMPORTANCE To date, there has been an intense focus on the ecological dynamics of the human gut microbiome at the species level. However, there is considerable genetic diversity within species at the strain level, and these intraspecific differences can have important phenotypic effects on the host, impacting the ability to digest certain foods and metabolize drugs. Thus, to fully understand how the gut microbiome operates in times of health and sickness, its ecological dynamics may need to be quantified at the level of strains. Here, we show that a large majority of strains maintain stable abundances for periods of months to years, exhibiting fluctuations in abundance that can be well described by macroecological laws known to hold at the species level, while a smaller percentage of strains undergo rapid, directional changes in abundance. Overall, our work indicates that strains are an important unit of ecological organization in the human gut microbiome.","container-title":"mBio","DOI":"10.1128/mbio.02502-22","issue":"2","note":"publisher: American Society for Microbiology","page":"e02502-22","source":"journals.asm.org (Atypon)","title":"Ecological Stability Emerges at the Level of Strains in the Human Gut Microbiome","volume":"14","author":[{"family":"Wolff","given":"Richard"},{"family":"Shoemaker","given":"William"},{"family":"Garud","given":"Nandita"}],"issued":{"date-parts":[["2023",2,21]]}}},{"id":3214,"uris":["http://zotero.org/users/8873894/items/DQ6P67B4"],"itemData":{"id":3214,"type":"article-journal","abstract":"To understand the dynamic interplay between the human microbiome and host during health and disease, we analyzed the microbial composition, temporal dynamics, and associations with host multi-omics, immune, and clinical markers of microbiomes from four body sites in 86 participants over 6 years. We found that microbiome stability and individuality are body-site specific and heavily influenced by the host. The stool and oral microbiome are more stable than the skin and nasal microbiomes, possibly due to their interaction with the host and environment. We identify individual-specific and commonly shared bacterial taxa, with individualized taxa showing greater stability. Interestingly, microbiome dynamics correlate across body sites, suggesting systemic dynamics influenced by host-microbial-environment interactions. Notably, insulin-resistant individuals show altered microbial stability and associations among microbiome, molecular markers, and clinical features, suggesting their disrupted interaction in metabolic disease. Our study offers comprehensive views of multi-site microbial dynamics and their relationship with host health and disease.","container-title":"Cell Host &amp; Microbe","DOI":"10.1016/j.chom.2024.02.012","ISSN":"1931-3128","issue":"4","journalAbbreviation":"Cell Host &amp; Microbe","page":"506-526.e9","source":"ScienceDirect","title":"Longitudinal profiling of the microbiome at four body sites reveals core stability and individualized dynamics during health and disease","volume":"32","author":[{"family":"Zhou","given":"Xin"},{"family":"Shen","given":"Xiaotao"},{"family":"Johnson","given":"Jethro S."},{"family":"Spakowicz","given":"Daniel J."},{"family":"Agnello","given":"Melissa"},{"family":"Zhou","given":"Wenyu"},{"family":"Avina","given":"Monica"},{"family":"Honkala","given":"Alexander"},{"family":"Chleilat","given":"Faye"},{"family":"Chen","given":"Shirley Jingyi"},{"family":"Cha","given":"Kexin"},{"family":"Leopold","given":"Shana"},{"family":"Zhu","given":"Chenchen"},{"family":"Chen","given":"Lei"},{"family":"Lyu","given":"Lin"},{"family":"Hornburg","given":"Daniel"},{"family":"Wu","given":"Si"},{"family":"Zhang","given":"Xinyue"},{"family":"Jiang","given":"Chao"},{"family":"Jiang","given":"Liuyiqi"},{"family":"Jiang","given":"Lihua"},{"family":"Jian","given":"Ruiqi"},{"family":"Brooks","given":"Andrew W."},{"family":"Wang","given":"Meng"},{"family":"Contrepois","given":"Kévin"},{"family":"Gao","given":"Peng"},{"family":"Rose","given":"Sophia Miryam Schüssler-Fiorenza"},{"family":"Tran","given":"Thi Dong Binh"},{"family":"Nguyen","given":"Hoan"},{"family":"Celli","given":"Alessandra"},{"family":"Hong","given":"Bo-Young"},{"family":"Bautista","given":"Eddy J."},{"family":"Dorsett","given":"Yair"},{"family":"Kavathas","given":"Paula B."},{"family":"Zhou","given":"Yanjiao"},{"family":"Sodergren","given":"Erica"},{"family":"Weinstock","given":"George M."},{"family":"Snyder","given":"Michael P."}],"issued":{"date-parts":[["2024",4,10]]}}}],"schema":"https://github.com/citation-style-language/schema/raw/master/csl-citation.json"} </w:instrText>
      </w:r>
      <w:r w:rsidR="00DF0F01" w:rsidRPr="000718B9">
        <w:rPr>
          <w:rFonts w:eastAsia="Times New Roman" w:cs="Times New Roman"/>
          <w:lang w:val="en-GB"/>
        </w:rPr>
        <w:fldChar w:fldCharType="separate"/>
      </w:r>
      <w:r w:rsidR="00291290" w:rsidRPr="000718B9">
        <w:rPr>
          <w:rFonts w:cs="Times New Roman"/>
          <w:lang w:val="en-GB"/>
        </w:rPr>
        <w:t xml:space="preserve">(Abu-Ali et al., 2018; Chen et al., 2021; </w:t>
      </w:r>
      <w:proofErr w:type="spellStart"/>
      <w:r w:rsidR="00291290" w:rsidRPr="000718B9">
        <w:rPr>
          <w:rFonts w:cs="Times New Roman"/>
          <w:lang w:val="en-GB"/>
        </w:rPr>
        <w:t>Dapa</w:t>
      </w:r>
      <w:proofErr w:type="spellEnd"/>
      <w:r w:rsidR="00291290" w:rsidRPr="000718B9">
        <w:rPr>
          <w:rFonts w:cs="Times New Roman"/>
          <w:lang w:val="en-GB"/>
        </w:rPr>
        <w:t xml:space="preserve"> et al., 2023; Jokela et al., 2023; Olsson et al., 2022; Wolff et al., 2023; Zhou et al., 2024)</w:t>
      </w:r>
      <w:r w:rsidR="00DF0F01" w:rsidRPr="000718B9">
        <w:rPr>
          <w:rFonts w:eastAsia="Times New Roman" w:cs="Times New Roman"/>
          <w:lang w:val="en-GB"/>
        </w:rPr>
        <w:fldChar w:fldCharType="end"/>
      </w:r>
      <w:r w:rsidR="00DF0F01" w:rsidRPr="000718B9">
        <w:rPr>
          <w:rFonts w:eastAsia="Times New Roman" w:cs="Times New Roman"/>
          <w:lang w:val="en-GB"/>
        </w:rPr>
        <w:t xml:space="preserve">, and microbiota </w:t>
      </w:r>
      <w:r w:rsidR="00451642" w:rsidRPr="000718B9">
        <w:rPr>
          <w:rFonts w:eastAsia="Times New Roman" w:cs="Times New Roman"/>
          <w:lang w:val="en-GB"/>
        </w:rPr>
        <w:t xml:space="preserve">dynamics in older individuals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{"citationID":"2NxkNHhk","properties":{"formattedCitation":"(Mehta et al., 2018)","plainCitation":"(Mehta et al., 2018)","noteIndex":0},"citationItems":[{"id":1064,"uris":["http://zotero.org/users/8873894/items/F6E4BV38"],"itemData":{"id":1064,"type":"article-journal","abstract":"Characterizing the stability of the gut microbiome is important to exploit it as a therapeutic target and diagnostic biomarker. We metagenomically and metatranscriptomically sequenced the faecal microbiomes of 308 participants in the Health Professionals Follow-Up Study. Participants provided four stool samples—one pair collected 24–72 h apart and a second pair ~6 months later. Within-person taxonomic and functional variation was consistently lower than between-person variation over time. In contrast, metatranscriptomic profiles were comparably variable within and between subjects due to higher within-subject longitudinal variation. Metagenomic instability accounted for ~74% of corresponding metatranscriptomic instability. The rest was probably attributable to sources such as regulation. Among the pathways that were differentially regulated, most were consistently over- or under-transcribed at each time point. Together, these results suggest that a single measurement of the faecal microbiome can provide long-term information regarding organismal composition and functional potential, but repeated or short-term measures may be necessary for dynamic features identified by metatranscriptomics.","container-title":"Nature Microbiology","DOI":"10.1038/s41564-017-0096-0","ISSN":"2058-5276","issue":"3","journalAbbreviation":"Nat Microbiol","language":"en","license":"2018 The Author(s)","note":"number: 3\npublisher: Nature Publishing Group","page":"347-355","source":"www.nature.com","title":"Stability of the human faecal microbiome in a cohort of adult men","volume":"3","author":[{"family":"Mehta","given":"Raaj S."},{"family":"Abu-Ali","given":"Galeb S."},{"family":"Drew","given":"David A."},{"family":"Lloyd-Price","given":"Jason"},{"family":"Subramanian","given":"Ayshwarya"},{"family":"Lochhead","given":"Paul"},{"family":"Joshi","given":"Amit D."},{"family":"Ivey","given":"Kerry L."},{"family":"Khalili","given":"Hamed"},{"family":"Brown","given":"Gordon T."},{"family":"DuLong","given":"Casey"},{"family":"Song","given":"Mingyang"},{"family":"Nguyen","given":"Long H."},{"family":"Mallick","given":"Himel"},{"family":"Rimm","given":"Eric B."},{"family":"Izard","given":"Jacques"},{"family":"Huttenhower","given":"Curtis"},{"family":"Chan","given":"Andrew T."}],"issued":{"date-parts":[["2018",3]]}}}],"schema":"https://github.com/citation-style-language/schema/raw/master/csl-citation.json"}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(Mehta et al., 2018)</w:t>
      </w:r>
      <w:r w:rsidR="00DF0F01" w:rsidRPr="000718B9">
        <w:rPr>
          <w:rFonts w:eastAsia="Times New Roman" w:cs="Times New Roman"/>
          <w:lang w:val="en-GB"/>
        </w:rPr>
        <w:fldChar w:fldCharType="end"/>
      </w:r>
      <w:r w:rsidR="00DF0F01" w:rsidRPr="000718B9">
        <w:rPr>
          <w:rFonts w:eastAsia="Times New Roman" w:cs="Times New Roman"/>
          <w:lang w:val="en-GB"/>
        </w:rPr>
        <w:t>.</w:t>
      </w:r>
      <w:r w:rsidR="00291290" w:rsidRPr="000718B9">
        <w:rPr>
          <w:rFonts w:eastAsia="Times New Roman" w:cs="Times New Roman"/>
          <w:lang w:val="en-GB"/>
        </w:rPr>
        <w:t xml:space="preserve"> </w:t>
      </w:r>
      <w:r w:rsidR="00A8151D" w:rsidRPr="000718B9">
        <w:rPr>
          <w:rFonts w:eastAsia="Times New Roman" w:cs="Times New Roman"/>
          <w:lang w:val="en-GB"/>
        </w:rPr>
        <w:t xml:space="preserve">Studies using shotgun metagenomic sequencing also included comparison of </w:t>
      </w:r>
      <w:r w:rsidR="00DF0F01" w:rsidRPr="000718B9">
        <w:rPr>
          <w:rFonts w:eastAsia="Times New Roman" w:cs="Times New Roman"/>
          <w:lang w:val="en-GB"/>
        </w:rPr>
        <w:t xml:space="preserve">healthy individuals with patients with chronic inflammatory bowel disease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{"citationID":"8jFnVbEv","properties":{"formattedCitation":"(Lloyd-Price et al., 2019)","plainCitation":"(Lloyd-Price et al., 2019)","noteIndex":0},"citationItems":[{"id":1121,"uris":["http://zotero.org/users/8873894/items/KAP4HGV3"],"itemData":{"id":1121,"type":"article-journal","abstract":"Inflammatory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Author(s)","note":"number: 7758\npublisher: Nature Publishing Group","page":"655-662","source":"www.nature.com","title":"Multi-omics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(Lloyd-Price et al., 2019)</w:t>
      </w:r>
      <w:r w:rsidR="00DF0F01" w:rsidRPr="000718B9">
        <w:rPr>
          <w:rFonts w:eastAsia="Times New Roman" w:cs="Times New Roman"/>
          <w:lang w:val="en-GB"/>
        </w:rPr>
        <w:fldChar w:fldCharType="end"/>
      </w:r>
      <w:r w:rsidR="00A8151D" w:rsidRPr="000718B9">
        <w:rPr>
          <w:rFonts w:eastAsia="Times New Roman" w:cs="Times New Roman"/>
          <w:lang w:val="en-GB"/>
        </w:rPr>
        <w:t>,</w:t>
      </w:r>
      <w:r w:rsidR="00DF0F01" w:rsidRPr="000718B9">
        <w:rPr>
          <w:rFonts w:eastAsia="Times New Roman" w:cs="Times New Roman"/>
          <w:lang w:val="en-GB"/>
        </w:rPr>
        <w:t xml:space="preserve"> patients with irritable bowel syndrome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{"citationID":"tqyslHHz","properties":{"formattedCitation":"(Mars et al., 2020)","plainCitation":"(Mars et al., 2020)","noteIndex":0},"citationItems":[{"id":1045,"uris":["http://zotero.org/users/8873894/items/5M4DLKTQ"],"itemData":{"id":1045,"type":"article-journal","abstract":"The gut microbiome has been implicated in multiple human chronic gastrointestinal (GI) disorders. Determining its mechanistic role in disease has been difficult due to apparent disconnects between animal and human studies and lack of an integrated multi-omics view of disease-specific physiological changes. We integrated longitudinal multi-omics data from the gut microbiome, metabolome, host epigenome, and transcriptome in the context of irritable bowel syndrome (IBS) host physiology. We identified IBS subtype-specific and symptom-related variation in microbial composition and function. A subset of identified changes in microbial metabolites correspond to host physiological mechanisms that are relevant to IBS. By integrating multiple data layers, we identified purine metabolism as a novel host-microbial metabolic pathway in IBS with translational potential. Our study highlights the importance of longitudinal sampling and integrating complementary multi-omics data to identify functional mechanisms that can serve as therapeutic targets in a comprehensive treatment strategy for chronic GI diseases., Integrated and longitudinal multiomic analyses of patients with irritable bowel syndrome reveals a role for the gut microbiota in modulating purine metabolism and influencing host gastrointestinal function.,","container-title":"Cell","DOI":"10.1016/j.cell.2020.08.007","ISSN":"0092-8674","issue":"6","journalAbbreviation":"Cell","note":"PMID: 32916129\nPMCID: PMC8109273","page":"1460-1473.e17","source":"PubMed Central","title":"Longitudinal Multi-omics Reveals Subset-Specific Mechanisms Underlying Irritable Bowel Syndrome","volume":"182","author":[{"family":"Mars","given":"Ruben A.T."},{"family":"Yang","given":"Yi"},{"family":"Ward","given":"Tonya"},{"family":"Houtti","given":"Mo"},{"family":"Priya","given":"Sambhawa"},{"family":"Lekatz","given":"Heather R."},{"family":"Tang","given":"Xiaojia"},{"family":"Sun","given":"Zhifu"},{"family":"Kalari","given":"Krishna R."},{"family":"Korem","given":"Tal"},{"family":"Bhattarai","given":"Yogesh"},{"family":"Zheng","given":"Tenghao"},{"family":"Bar","given":"Noam"},{"family":"Frost","given":"Gary"},{"family":"Johnson","given":"Abigail J."},{"family":"Treuren","given":"Will","non-dropping-particle":"van"},{"family":"Han","given":"Shuo"},{"family":"Ordog","given":"Tamas"},{"family":"Grover","given":"Madhusudan"},{"family":"Sonnenburg","given":"Justin"},{"family":"D’Amato","given":"Mauro"},{"family":"Camilleri","given":"Michael"},{"family":"Elinav","given":"Eran"},{"family":"Segal","given":"Eran"},{"family":"Blekhman","given":"Ran"},{"family":"Farrugia","given":"Gianrico"},{"family":"Swann","given":"Jonathan R."},{"family":"Knights","given":"Dan"},{"family":"Kashyap","given":"Purna C."}],"issued":{"date-parts":[["2020",9,17]]}}}],"schema":"https://github.com/citation-style-language/schema/raw/master/csl-citation.json"}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(Mars et al., 2020)</w:t>
      </w:r>
      <w:r w:rsidR="00DF0F01" w:rsidRPr="000718B9">
        <w:rPr>
          <w:rFonts w:eastAsia="Times New Roman" w:cs="Times New Roman"/>
          <w:lang w:val="en-GB"/>
        </w:rPr>
        <w:fldChar w:fldCharType="end"/>
      </w:r>
      <w:r w:rsidR="00DF0F01" w:rsidRPr="000718B9">
        <w:rPr>
          <w:rFonts w:eastAsia="Times New Roman" w:cs="Times New Roman"/>
          <w:lang w:val="en-GB"/>
        </w:rPr>
        <w:t xml:space="preserve">, and patients with </w:t>
      </w:r>
      <w:proofErr w:type="spellStart"/>
      <w:r w:rsidR="00DF0F01" w:rsidRPr="000718B9">
        <w:rPr>
          <w:rFonts w:eastAsia="Times New Roman" w:cs="Times New Roman"/>
          <w:lang w:val="en-GB"/>
        </w:rPr>
        <w:t>hematological</w:t>
      </w:r>
      <w:proofErr w:type="spellEnd"/>
      <w:r w:rsidR="00DF0F01" w:rsidRPr="000718B9">
        <w:rPr>
          <w:rFonts w:eastAsia="Times New Roman" w:cs="Times New Roman"/>
          <w:lang w:val="en-GB"/>
        </w:rPr>
        <w:t xml:space="preserve"> diseases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{"citationID":"vPjL4Oog","properties":{"formattedCitation":"(Willmann et al., 2019)","plainCitation":"(Willmann et al., 2019)","noteIndex":0},"citationItems":[{"id":351,"uris":["http://zotero.org/users/8873894/items/AQV4MRN2"],"itemData":{"id":351,"type":"article-journal","abstract":"BACKGROUND: The selection pressure exercised by antibiotic drugs is an important consideration for the wise stewardship of antimicrobial treatment programs. Treatment decisions are currently based on crude assumptions, and there is an urgent need to develop a more quantitative knowledge base that can enable predictions of the impact of individual antibiotics on the human gut microbiome and resistome.\nRESULTS: Using shotgun metagenomics, we quantified changes in the gut microbiome in two cohorts of hematological patients receiving prophylactic antibiotics; one cohort was treated with ciprofloxacin in a hospital in Tübingen and the other with cotrimoxazole in a hospital in Cologne. Analyzing this rich longitudinal dataset, we found that gut microbiome diversity was reduced in both treatment cohorts to a similar extent, while effects on the gut resistome differed. We observed a sharp increase in the relative abundance of sulfonamide antibiotic resistance genes (ARGs) by 148.1% per cumulative defined daily dose of cotrimoxazole in the Cologne cohort, but not in the Tübingen cohort treated with ciprofloxacin. Through multivariate modeling, we found that factors such as individual baseline microbiome, resistome, and plasmid diversity; liver/kidney function; and concurrent medication, especially virostatic agents, influence resistome alterations. Strikingly, we observed different effects on the plasmidome in the two treatment groups. There was a substantial increase in the abundance of ARG-carrying plasmids in the cohort treated with cotrimoxazole, but not in the cohort treated with ciprofloxacin, indicating that cotrimoxazole might contribute more efficiently to the spread of resistance.\nCONCLUSIONS: Our study represents a step forward in developing the capability to predict the effect of individual antimicrobials on the human microbiome and resistome. Our results indicate that to achieve this, integration of the individual baseline microbiome, resistome, and mobilome status as well as additional individual patient factors will be required. Such personalized predictions may in the future increase patient safety and reduce the spread of resistance.\nTRIAL REGISTRATION: ClinicalTrials.gov, NCT02058888 . Registered February 10 2014.","container-title":"BMC biology","DOI":"10.1186/s12915-019-0692-y","ISSN":"1741-7007","issue":"1","journalAbbreviation":"BMC Biol","language":"eng","note":"PMID: 31533707\nPMCID: PMC6749691","page":"76","source":"PubMed","title":"Distinct impact of antibiotics on the gut microbiome and resistome: a longitudinal multicenter cohort study","title-short":"Distinct impact of antibiotics on the gut microbiome and resistome","volume":"17","author":[{"family":"Willmann","given":"Matthias"},{"family":"Vehreschild","given":"Maria J. G. T."},{"family":"Biehl","given":"Lena M."},{"family":"Vogel","given":"Wichard"},{"family":"Dörfel","given":"Daniela"},{"family":"Hamprecht","given":"Axel"},{"family":"Seifert","given":"Harald"},{"family":"Autenrieth","given":"Ingo B."},{"family":"Peter","given":"Silke"}],"issued":{"date-parts":[["2019",9,18]]}}}],"schema":"https://github.com/citation-style-language/schema/raw/master/csl-citation.json"}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(Willmann et al., 2019)</w:t>
      </w:r>
      <w:r w:rsidR="00DF0F01" w:rsidRPr="000718B9">
        <w:rPr>
          <w:rFonts w:eastAsia="Times New Roman" w:cs="Times New Roman"/>
          <w:lang w:val="en-GB"/>
        </w:rPr>
        <w:fldChar w:fldCharType="end"/>
      </w:r>
      <w:r w:rsidR="00DF0F01" w:rsidRPr="000718B9">
        <w:rPr>
          <w:rFonts w:eastAsia="Times New Roman" w:cs="Times New Roman"/>
          <w:lang w:val="en-GB"/>
        </w:rPr>
        <w:t xml:space="preserve">. </w:t>
      </w:r>
      <w:r w:rsidR="00291290" w:rsidRPr="000718B9">
        <w:rPr>
          <w:rFonts w:eastAsia="Times New Roman" w:cs="Times New Roman"/>
          <w:lang w:val="en-GB"/>
        </w:rPr>
        <w:t xml:space="preserve">A few </w:t>
      </w:r>
      <w:r w:rsidR="00DF0F01" w:rsidRPr="000718B9">
        <w:rPr>
          <w:rFonts w:eastAsia="Times New Roman" w:cs="Times New Roman"/>
          <w:lang w:val="en-GB"/>
        </w:rPr>
        <w:t xml:space="preserve">studies have focused exclusively on women, comparing healthy women with women who have frequent </w:t>
      </w:r>
      <w:r w:rsidR="00C4203B" w:rsidRPr="000718B9">
        <w:rPr>
          <w:rFonts w:eastAsia="Times New Roman" w:cs="Times New Roman"/>
          <w:lang w:val="en-GB"/>
        </w:rPr>
        <w:t xml:space="preserve">urinary tract infections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{"citationID":"1xpNV8Xr","properties":{"formattedCitation":"(Hua et al., n.d.)","plainCitation":"(Hua et al., n.d.)","dontUpdate":true,"noteIndex":0},"citationItems":[{"id":47,"uris":["http://zotero.org/users/8873894/items/38JWFL3C"],"itemData":{"id":47,"type":"article-journal","abstract":"Introduction. Evidence has linked exogenous and endogenous sex hormones with the human microbiome. Hypothesis/Gap statement. The longitudinal effects of oral contraceptives (OC) on the human gut microbiome have not previously been studied. Aim. We sought to examine the longitudinal impact of OC use on the taxonomic composition and metabolic functions of the gut microbiota and endogenous sex steroid hormones after initiation of OC use. Methodology. We recruited ten healthy women who provided blood and stool samples prior to OC use, 1 month and 6 months after starting OC. We measured serum levels of sex hormones, including estradiol, progesterone, sex hormone-binding globulin (SHBG), and total testosterone. Shotgun metagenomic sequencing was performed on DNA extracted from faecal samples. Species and metabolic pathway abundances were determined using MetaPhlAn2 and HUMAnN2. Multivariate association with linear models was used to identify microbial species and metabolic pathways associated with OC use and endogenous levels of sex hormones. Results. The percentage variance of the microbial community explained by individual factors ranged from 9.9 % for age to 2.7 % for time since initiation of OC use. We observed no changes in the diversity or composition of the gut microbiome following OC initiation. However, the relative abundance of the biosynthesis pathways of peptidoglycan, amino acids (lysine, threonine, methionine, and tryptophan), and the NAD salvage pathway increased after OC initiation. In addition, serum levels of estradiol and SHBG were positively associated with Eubacterium ramulus, a flavonoid-degrading bacterium. Similarly, microbes involving biosynthesis of l-lysine, l-threonine, and l-methionine were significantly associated with lower estradiol, SHBG, and higher levels of total testosterone. Conclusion. Our study provides the first piece of evidence supporting the association between exogenous and endogenous sex hormones and gut microbiome composition and function.,","container-title":"Journal of Medical Microbiology","DOI":"10.1099/jmm.0.001512","ISSN":"1473-5644,","issue":"4","note":"publisher: Microbiology Society,","page":"001512","source":"Microbiology Society Journals","title":"Longitudinal analysis of the impact of oral contraceptive use on the gut microbiome","volume":"71","author":[{"family":"Hua","given":"Xinwei"},{"family":"Cao","given":"Yueming"},{"family":"Morgan","given":"David M."},{"family":"Miller","given":"Kaia"},{"family":"Chin","given":"Samantha M."},{"family":"Bellavance","given":"Danielle"},{"family":"Khalili","given":"HamedYR 2022"}]}}],"schema":"https://github.com/citation-style-language/schema/raw/master/csl-citation.json"}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(Hua et al., 2022)</w:t>
      </w:r>
      <w:r w:rsidR="00DF0F01" w:rsidRPr="000718B9">
        <w:rPr>
          <w:rFonts w:eastAsia="Times New Roman" w:cs="Times New Roman"/>
          <w:lang w:val="en-GB"/>
        </w:rPr>
        <w:fldChar w:fldCharType="end"/>
      </w:r>
      <w:r w:rsidR="00DF0F01" w:rsidRPr="000718B9">
        <w:rPr>
          <w:rFonts w:eastAsia="Times New Roman" w:cs="Times New Roman"/>
          <w:lang w:val="en-GB"/>
        </w:rPr>
        <w:t xml:space="preserve"> and women taking oral contraceptives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{"citationID":"oxgSztRT","properties":{"formattedCitation":"(Worby et al., 2022)","plainCitation":"(Worby et al., 2022)","noteIndex":0},"citationItems":[{"id":48,"uris":["http://zotero.org/users/8873894/items/C3RACSWB"],"itemData":{"id":48,"type":"article-journal","abstract":"Recurrent urinary tract infections (rUTIs) are a major health burden worldwide, with history of infection being a significant risk factor. While the gut is a known reservoir for uropathogenic bacteria, the role of the microbiota in rUTI remains unclear. We conducted a year-long study of women with (n = 15) and without (n = 16) history of rUTI, from whom we collected urine, blood and monthly faecal samples for metagenomic and transcriptomic interrogation. During the study 24 UTIs were reported, with additional samples collected during and after infection. The gut microbiome of individuals with a history of rUTI was significantly depleted in microbial richness and butyrate-producing bacteria compared with controls, reminiscent of other inflammatory conditions. However, Escherichia coli gut and bladder populations were comparable between cohorts in both relative abundance and phylogroup. Transcriptional analysis of peripheral blood mononuclear cells revealed expression profiles indicative of differential systemic immunity between cohorts. Altogether, these results suggest that rUTI susceptibility is in part mediated through the gut–bladder axis, comprising gut dysbiosis and differential immune response to bacterial bladder colonization, manifesting in symptoms.","container-title":"Nature Microbiology","DOI":"10.1038/s41564-022-01107-x","ISSN":"2058-5276","issue":"5","journalAbbreviation":"Nat Microbiol","language":"en","license":"2022 The Author(s), under exclusive licence to Springer Nature Limited","note":"number: 5\npublisher: Nature Publishing Group","page":"630-639","source":"www.nature.com","title":"Longitudinal multi-omics analyses link gut microbiome dysbiosis with recurrent urinary tract infections in women","volume":"7","author":[{"family":"Worby","given":"Colin J."},{"family":"Schreiber","given":"Henry L."},{"family":"Straub","given":"Timothy J."},{"family":"Dijk","given":"Lucas R.","non-dropping-particle":"van"},{"family":"Bronson","given":"Ryan A."},{"family":"Olson","given":"Benjamin S."},{"family":"Pinkner","given":"Jerome S."},{"family":"Obernuefemann","given":"Chloe L. P."},{"family":"Muñoz","given":"Vanessa L."},{"family":"Paharik","given":"Alexandra E."},{"family":"Azimzadeh","given":"Philippe N."},{"family":"Walker","given":"Bruce J."},{"family":"Desjardins","given":"Christopher A."},{"family":"Chou","given":"Wen-Chi"},{"family":"Bergeron","given":"Karla"},{"family":"Chapman","given":"Sinéad B."},{"family":"Klim","given":"Aleksandra"},{"family":"Manson","given":"Abigail L."},{"family":"Hannan","given":"Thomas J."},{"family":"Hooton","given":"Thomas M."},{"family":"Kau","given":"Andrew L."},{"family":"Lai","given":"H. Henry"},{"family":"Dodson","given":"Karen W."},{"family":"Hultgren","given":"Scott J."},{"family":"Earl","given":"Ashlee M."}],"issued":{"date-parts":[["2022",5]]}}}],"schema":"https://github.com/citation-style-language/schema/raw/master/csl-citation.json"}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(Worby et al., 2022)</w:t>
      </w:r>
      <w:r w:rsidR="00DF0F01" w:rsidRPr="000718B9">
        <w:rPr>
          <w:rFonts w:eastAsia="Times New Roman" w:cs="Times New Roman"/>
          <w:lang w:val="en-GB"/>
        </w:rPr>
        <w:fldChar w:fldCharType="end"/>
      </w:r>
      <w:r w:rsidR="00DF0F01" w:rsidRPr="000718B9">
        <w:rPr>
          <w:rFonts w:eastAsia="Times New Roman" w:cs="Times New Roman"/>
          <w:lang w:val="en-GB"/>
        </w:rPr>
        <w:t xml:space="preserve">. Cohorts in these studies ranged from 5 to more than 300 </w:t>
      </w:r>
      <w:r w:rsidR="00291290" w:rsidRPr="000718B9">
        <w:rPr>
          <w:rFonts w:eastAsia="Times New Roman" w:cs="Times New Roman"/>
          <w:lang w:val="en-GB"/>
        </w:rPr>
        <w:t>participants, followed</w:t>
      </w:r>
      <w:r w:rsidR="00DF0F01" w:rsidRPr="000718B9">
        <w:rPr>
          <w:rFonts w:eastAsia="Times New Roman" w:cs="Times New Roman"/>
          <w:lang w:val="en-GB"/>
        </w:rPr>
        <w:t xml:space="preserve"> for at least six months to </w:t>
      </w:r>
      <w:r w:rsidR="00291290" w:rsidRPr="000718B9">
        <w:rPr>
          <w:rFonts w:eastAsia="Times New Roman" w:cs="Times New Roman"/>
          <w:lang w:val="en-GB"/>
        </w:rPr>
        <w:t xml:space="preserve">a </w:t>
      </w:r>
      <w:r w:rsidR="00DF0F01" w:rsidRPr="000718B9">
        <w:rPr>
          <w:rFonts w:eastAsia="Times New Roman" w:cs="Times New Roman"/>
          <w:lang w:val="en-GB"/>
        </w:rPr>
        <w:t>year</w:t>
      </w:r>
      <w:r w:rsidR="00291290" w:rsidRPr="000718B9">
        <w:rPr>
          <w:rFonts w:eastAsia="Times New Roman" w:cs="Times New Roman"/>
          <w:lang w:val="en-GB"/>
        </w:rPr>
        <w:t>, with sampling every few weeks to every few months</w:t>
      </w:r>
      <w:r w:rsidR="00DF0F01" w:rsidRPr="000718B9">
        <w:rPr>
          <w:rFonts w:eastAsia="Times New Roman" w:cs="Times New Roman"/>
          <w:lang w:val="en-GB"/>
        </w:rPr>
        <w:t xml:space="preserve">. </w:t>
      </w:r>
    </w:p>
    <w:p w14:paraId="712E7888" w14:textId="4109212D" w:rsidR="00162FE1" w:rsidRPr="000718B9" w:rsidRDefault="00291290" w:rsidP="00DF0F01">
      <w:pPr>
        <w:rPr>
          <w:rFonts w:eastAsia="Times New Roman" w:cs="Times New Roman"/>
          <w:lang w:val="en-GB"/>
        </w:rPr>
      </w:pPr>
      <w:r w:rsidRPr="000718B9">
        <w:rPr>
          <w:rFonts w:eastAsia="Times New Roman" w:cs="Times New Roman"/>
          <w:lang w:val="en-GB"/>
        </w:rPr>
        <w:t>M</w:t>
      </w:r>
      <w:r w:rsidR="00DF0F01" w:rsidRPr="000718B9">
        <w:rPr>
          <w:rFonts w:eastAsia="Times New Roman" w:cs="Times New Roman"/>
          <w:lang w:val="en-GB"/>
        </w:rPr>
        <w:t>etagenomic studies confirm</w:t>
      </w:r>
      <w:r w:rsidRPr="000718B9">
        <w:rPr>
          <w:rFonts w:eastAsia="Times New Roman" w:cs="Times New Roman"/>
          <w:lang w:val="en-GB"/>
        </w:rPr>
        <w:t xml:space="preserve"> that some species and strains can p</w:t>
      </w:r>
      <w:r w:rsidR="00A8151D" w:rsidRPr="000718B9">
        <w:rPr>
          <w:rFonts w:eastAsia="Times New Roman" w:cs="Times New Roman"/>
          <w:lang w:val="en-GB"/>
        </w:rPr>
        <w:t>ersist</w:t>
      </w:r>
      <w:r w:rsidRPr="000718B9">
        <w:rPr>
          <w:rFonts w:eastAsia="Times New Roman" w:cs="Times New Roman"/>
          <w:lang w:val="en-GB"/>
        </w:rPr>
        <w:t xml:space="preserve"> over long periods within individuals, whereas other show frequent replacement or large abundance shifts. </w:t>
      </w:r>
      <w:r w:rsidR="00DF0F01" w:rsidRPr="000718B9">
        <w:rPr>
          <w:rFonts w:eastAsia="Times New Roman" w:cs="Times New Roman"/>
          <w:lang w:val="en-GB"/>
        </w:rPr>
        <w:t xml:space="preserve">Stable colonizers include </w:t>
      </w:r>
      <w:r w:rsidRPr="000718B9">
        <w:rPr>
          <w:rFonts w:eastAsia="Times New Roman" w:cs="Times New Roman"/>
          <w:lang w:val="en-GB"/>
        </w:rPr>
        <w:t>many</w:t>
      </w:r>
      <w:r w:rsidR="00DF0F01" w:rsidRPr="000718B9">
        <w:rPr>
          <w:rFonts w:eastAsia="Times New Roman" w:cs="Times New Roman"/>
          <w:lang w:val="en-GB"/>
        </w:rPr>
        <w:t xml:space="preserve"> </w:t>
      </w:r>
      <w:r w:rsidR="00DF0F01" w:rsidRPr="000718B9">
        <w:rPr>
          <w:rFonts w:eastAsia="Times New Roman" w:cs="Times New Roman"/>
          <w:i/>
          <w:iCs/>
          <w:lang w:val="en-GB"/>
        </w:rPr>
        <w:t>Bacteroides</w:t>
      </w:r>
      <w:r w:rsidR="00DF0F01" w:rsidRPr="000718B9">
        <w:rPr>
          <w:rFonts w:eastAsia="Times New Roman" w:cs="Times New Roman"/>
          <w:lang w:val="en-GB"/>
        </w:rPr>
        <w:t xml:space="preserve"> </w:t>
      </w:r>
      <w:r w:rsidRPr="000718B9">
        <w:rPr>
          <w:rFonts w:eastAsia="Times New Roman" w:cs="Times New Roman"/>
          <w:lang w:val="en-GB"/>
        </w:rPr>
        <w:t>species</w:t>
      </w:r>
      <w:r w:rsidR="00DF0F01" w:rsidRPr="000718B9">
        <w:rPr>
          <w:rFonts w:eastAsia="Times New Roman" w:cs="Times New Roman"/>
          <w:lang w:val="en-GB"/>
        </w:rPr>
        <w:t xml:space="preserve">, while representatives of the </w:t>
      </w:r>
      <w:r w:rsidR="00DF0F01" w:rsidRPr="000718B9">
        <w:rPr>
          <w:rFonts w:eastAsia="Times New Roman" w:cs="Times New Roman"/>
          <w:i/>
          <w:iCs/>
          <w:lang w:val="en-GB"/>
        </w:rPr>
        <w:t>Bacillota</w:t>
      </w:r>
      <w:r w:rsidR="00DF0F01" w:rsidRPr="000718B9">
        <w:rPr>
          <w:rFonts w:eastAsia="Times New Roman" w:cs="Times New Roman"/>
          <w:lang w:val="en-GB"/>
        </w:rPr>
        <w:t xml:space="preserve"> phylum </w:t>
      </w:r>
      <w:r w:rsidRPr="000718B9">
        <w:rPr>
          <w:rFonts w:eastAsia="Times New Roman" w:cs="Times New Roman"/>
          <w:lang w:val="en-GB"/>
        </w:rPr>
        <w:t xml:space="preserve">are part of the more </w:t>
      </w:r>
      <w:r w:rsidR="00DF0F01" w:rsidRPr="000718B9">
        <w:rPr>
          <w:rFonts w:eastAsia="Times New Roman" w:cs="Times New Roman"/>
          <w:lang w:val="en-GB"/>
        </w:rPr>
        <w:t xml:space="preserve">variable </w:t>
      </w:r>
      <w:r w:rsidR="00162FE1" w:rsidRPr="000718B9">
        <w:rPr>
          <w:rFonts w:eastAsia="Times New Roman" w:cs="Times New Roman"/>
          <w:lang w:val="en-GB"/>
        </w:rPr>
        <w:t>in the gut</w:t>
      </w:r>
      <w:r w:rsidR="00DF0F01" w:rsidRPr="000718B9">
        <w:rPr>
          <w:rFonts w:eastAsia="Times New Roman" w:cs="Times New Roman"/>
          <w:lang w:val="en-GB"/>
        </w:rPr>
        <w:t xml:space="preserve"> </w:t>
      </w:r>
      <w:r w:rsidR="00162FE1" w:rsidRPr="000718B9">
        <w:rPr>
          <w:rFonts w:eastAsia="Times New Roman" w:cs="Times New Roman"/>
          <w:lang w:val="en-GB"/>
        </w:rPr>
        <w:t>community</w:t>
      </w:r>
      <w:r w:rsidR="00DF0F01" w:rsidRPr="000718B9">
        <w:rPr>
          <w:rFonts w:eastAsia="Times New Roman" w:cs="Times New Roman"/>
          <w:lang w:val="en-GB"/>
        </w:rPr>
        <w:t xml:space="preserve"> </w:t>
      </w:r>
      <w:r w:rsidR="00DF0F01" w:rsidRPr="000718B9">
        <w:rPr>
          <w:rFonts w:eastAsia="Times New Roman" w:cs="Times New Roman"/>
          <w:lang w:val="en-GB"/>
        </w:rPr>
        <w:fldChar w:fldCharType="begin"/>
      </w:r>
      <w:r w:rsidR="00162FE1" w:rsidRPr="000718B9">
        <w:rPr>
          <w:rFonts w:eastAsia="Times New Roman" w:cs="Times New Roman"/>
          <w:lang w:val="en-GB"/>
        </w:rPr>
        <w:instrText xml:space="preserve"> ADDIN ZOTERO_ITEM CSL_CITATION {"citationID":"mbUBY8NF","properties":{"formattedCitation":"(Abu-Ali et al., 2018; Heidrich et al., 2025; Mehta et al., 2018)","plainCitation":"(Abu-Ali et al., 2018; Heidrich et al., 2025; Mehta et al., 2018)","noteIndex":0},"citationItems":[{"id":1958,"uris":["http://zotero.org/users/8873894/items/VF9RJEHA"],"itemData":{"id":1958,"type":"article-journal","abstract":"The gut microbiome is intimately related to human health, but it is not yet known which functional activities are driven by specific microorganisms' ecological configurations or transcription. We report a large-scale investigation of 372 human faecal metatranscriptomes and 929 metagenomes from a subset of 308 men in the Health Professionals Follow-Up Study. We identified a metatranscriptomic 'core' universally transcribed over time and across participants, often by different microorganisms. In contrast to the housekeeping functions enriched in this core, a 'variable' metatranscriptome included specialized pathways that were differentially expressed both across participants and among microorganisms. Finally, longitudinal metagenomic profiles allowed ecological interaction network reconstruction, which remained stable over the six-month timespan, as did strain tracking within and between participants. These results provide an initial characterization of human faecal microbial ecology into core, subject-specific, microorganism-specific and temporally variable transcription, and they differentiate metagenomically versus metatranscriptomically informative aspects of the human faecal microbiome.","container-title":"Nature Microbiology","DOI":"10.1038/s41564-017-0084-4","ISSN":"2058-5276","issue":"3","journalAbbreviation":"Nat Microbiol","language":"en","license":"2018 © The Authors 2017, under exclusive licence to Macmillan Publishers Ltd, part of Springer Nature","note":"number: 3\npublisher: Nature Publishing Group","page":"356-366","source":"www.nature.com","title":"Metatranscriptome of human faecal microbial communities in a cohort of adult men","volume":"3","author":[{"family":"Abu-Ali","given":"Galeb S."},{"family":"Mehta","given":"Raaj S."},{"family":"Lloyd-Price","given":"Jason"},{"family":"Mallick","given":"Himel"},{"family":"Branck","given":"Tobyn"},{"family":"Ivey","given":"Kerry L."},{"family":"Drew","given":"David A."},{"family":"DuLong","given":"Casey"},{"family":"Rimm","given":"Eric"},{"family":"Izard","given":"Jacques"},{"family":"Chan","given":"Andrew T."},{"family":"Huttenhower","given":"Curtis"}],"issued":{"date-parts":[["2018",3]]}}},{"id":3463,"uris":["http://zotero.org/users/8873894/items/U5A8LQ4G"],"itemData":{"id":3463,"type":"article-journal","abstract":"As humans, we host personal microbiomes intricately connected to our biology and health. Far from being isolated entities, our microbiomes are dynamically shaped by microbial exchange with the surroundings, in lifelong microbiome acquisition and transmission processes. In this Review, we explore recent studies on how our microbiomes are transmitted, beginning at birth and during interactions with other humans and the environment. We also describe the key methodological aspects of transmission inference, based on the uniqueness of the building blocks of the microbiome — single microbial strains. A better understanding of human microbiome transmission will have implications for studies of microbial host regulation, of microbiome-associated diseases, and for effective microbiome-targeting strategies. Besides exchanging strains with other humans, there is also preliminary evidence we acquire microorganisms from animals and food, and thus a complete understanding of microbiome acquisition and transmission can only be attained by adopting a One Health perspective.","container-title":"Nature Reviews Microbiology","DOI":"10.1038/s41579-025-01166-x","ISSN":"1740-1534","issue":"9","journalAbbreviation":"Nat Rev Microbiol","language":"en","license":"2025 Springer Nature Limited","note":"publisher: Nature Publishing Group","page":"568-584","source":"www.nature.com","title":"Human microbiome acquisition and transmission","volume":"23","author":[{"family":"Heidrich","given":"Vitor"},{"family":"Valles-Colomer","given":"Mireia"},{"family":"Segata","given":"Nicola"}],"issued":{"date-parts":[["2025",9]]}}},{"id":1064,"uris":["http://zotero.org/users/8873894/items/F6E4BV38"],"itemData":{"id":1064,"type":"article-journal","abstract":"Characterizing the stability of the gut microbiome is important to exploit it as a therapeutic target and diagnostic biomarker. We metagenomically and metatranscriptomically sequenced the faecal microbiomes of 308 participants in the Health Professionals Follow-Up Study. Participants provided four stool samples—one pair collected 24–72 h apart and a second pair ~6 months later. Within-person taxonomic and functional variation was consistently lower than between-person variation over time. In contrast, metatranscriptomic profiles were comparably variable within and between subjects due to higher within-subject longitudinal variation. Metagenomic instability accounted for ~74% of corresponding metatranscriptomic instability. The rest was probably attributable to sources such as regulation. Among the pathways that were differentially regulated, most were consistently over- or under-transcribed at each time point. Together, these results suggest that a single measurement of the faecal microbiome can provide long-term information regarding organismal composition and functional potential, but repeated or short-term measures may be necessary for dynamic features identified by metatranscriptomics.","container-title":"Nature Microbiology","DOI":"10.1038/s41564-017-0096-0","ISSN":"2058-5276","issue":"3","journalAbbreviation":"Nat Microbiol","language":"en","license":"2018 The Author(s)","note":"number: 3\npublisher: Nature Publishing Group","page":"347-355","source":"www.nature.com","title":"Stability of the human faecal microbiome in a cohort of adult men","volume":"3","author":[{"family":"Mehta","given":"Raaj S."},{"family":"Abu-Ali","given":"Galeb S."},{"family":"Drew","given":"David A."},{"family":"Lloyd-Price","given":"Jason"},{"family":"Subramanian","given":"Ayshwarya"},{"family":"Lochhead","given":"Paul"},{"family":"Joshi","given":"Amit D."},{"family":"Ivey","given":"Kerry L."},{"family":"Khalili","given":"Hamed"},{"family":"Brown","given":"Gordon T."},{"family":"DuLong","given":"Casey"},{"family":"Song","given":"Mingyang"},{"family":"Nguyen","given":"Long H."},{"family":"Mallick","given":"Himel"},{"family":"Rimm","given":"Eric B."},{"family":"Izard","given":"Jacques"},{"family":"Huttenhower","given":"Curtis"},{"family":"Chan","given":"Andrew T."}],"issued":{"date-parts":[["2018",3]]}}}],"schema":"https://github.com/citation-style-language/schema/raw/master/csl-citation.json"} </w:instrText>
      </w:r>
      <w:r w:rsidR="00DF0F01" w:rsidRPr="000718B9">
        <w:rPr>
          <w:rFonts w:eastAsia="Times New Roman" w:cs="Times New Roman"/>
          <w:lang w:val="en-GB"/>
        </w:rPr>
        <w:fldChar w:fldCharType="separate"/>
      </w:r>
      <w:r w:rsidR="00162FE1" w:rsidRPr="000718B9">
        <w:rPr>
          <w:rFonts w:cs="Times New Roman"/>
          <w:lang w:val="en-GB"/>
        </w:rPr>
        <w:t>(Abu-Ali et al., 2018; Heidrich et al., 2025; Mehta et al., 2018)</w:t>
      </w:r>
      <w:r w:rsidR="00DF0F01" w:rsidRPr="000718B9">
        <w:rPr>
          <w:rFonts w:eastAsia="Times New Roman" w:cs="Times New Roman"/>
          <w:lang w:val="en-GB"/>
        </w:rPr>
        <w:fldChar w:fldCharType="end"/>
      </w:r>
      <w:r w:rsidR="00C4203B" w:rsidRPr="000718B9">
        <w:rPr>
          <w:rFonts w:eastAsia="Times New Roman" w:cs="Times New Roman"/>
          <w:lang w:val="en-GB"/>
        </w:rPr>
        <w:t xml:space="preserve">. </w:t>
      </w:r>
      <w:r w:rsidR="00162FE1" w:rsidRPr="000718B9">
        <w:rPr>
          <w:rFonts w:eastAsia="Times New Roman" w:cs="Times New Roman"/>
          <w:lang w:val="en-GB"/>
        </w:rPr>
        <w:t>L</w:t>
      </w:r>
      <w:r w:rsidR="00162FE1" w:rsidRPr="000718B9">
        <w:rPr>
          <w:rFonts w:eastAsia="Times New Roman" w:cs="Times New Roman"/>
          <w:lang w:val="en-GB"/>
        </w:rPr>
        <w:t>ongitudinal studies show that changes in species or strain persistence are shaped by the same host and environmental factors known from cross</w:t>
      </w:r>
      <w:r w:rsidR="00162FE1" w:rsidRPr="000718B9">
        <w:rPr>
          <w:rFonts w:eastAsia="Times New Roman" w:cs="Times New Roman"/>
          <w:lang w:val="en-GB"/>
        </w:rPr>
        <w:noBreakHyphen/>
        <w:t xml:space="preserve">sectional </w:t>
      </w:r>
      <w:r w:rsidR="00162FE1" w:rsidRPr="000718B9">
        <w:rPr>
          <w:rFonts w:eastAsia="Times New Roman" w:cs="Times New Roman"/>
          <w:lang w:val="en-GB"/>
        </w:rPr>
        <w:t>studies</w:t>
      </w:r>
      <w:r w:rsidR="00162FE1" w:rsidRPr="000718B9">
        <w:rPr>
          <w:rFonts w:eastAsia="Times New Roman" w:cs="Times New Roman"/>
          <w:lang w:val="en-GB"/>
        </w:rPr>
        <w:t>, including diet, physical activity, medications and antibiotics, disease status, environment and host genetics</w:t>
      </w:r>
      <w:r w:rsidR="00162FE1" w:rsidRPr="000718B9">
        <w:rPr>
          <w:rFonts w:eastAsia="Times New Roman" w:cs="Times New Roman"/>
          <w:lang w:val="en-GB"/>
        </w:rPr>
        <w:t xml:space="preserve"> </w:t>
      </w:r>
      <w:r w:rsidR="00DF0F01" w:rsidRPr="000718B9">
        <w:rPr>
          <w:rFonts w:eastAsia="Times New Roman" w:cs="Times New Roman"/>
          <w:lang w:val="en-GB"/>
        </w:rPr>
        <w:fldChar w:fldCharType="begin"/>
      </w:r>
      <w:r w:rsidR="00DF0F01" w:rsidRPr="000718B9">
        <w:rPr>
          <w:rFonts w:eastAsia="Times New Roman" w:cs="Times New Roman"/>
          <w:lang w:val="en-GB"/>
        </w:rPr>
        <w:instrText xml:space="preserve"> ADDIN ZOTERO_ITEM CSL_CITATION {"citationID":"3ooT3Cba","properties":{"formattedCitation":"(Thursby &amp; Juge, 2017)","plainCitation":"(Thursby &amp; Juge, 2017)","noteIndex":0},"citationItems":[{"id":121,"uris":["http://zotero.org/users/8873894/items/C4E3VNLM"],"itemData":{"id":121,"type":"article-journal","abstract":"The human gastrointestinal (GI) tract harbours a complex and dynamic population of microorganisms, the gut microbiota, which exert a marked influence on the host during homeostasis and disease. Multiple factors contribute to the establishment of the human gut microbiota during infancy. Diet is considered as one of the main drivers in shaping the gut microbiota across the life time. Intestinal bacteria play a crucial role in maintaining immune and metabolic homeostasis and protecting against pathogens. Altered gut bacterial composition (dysbiosis) has been associated with the pathogenesis of many inflammatory diseases and infections. The interpretation of these studies relies on a better understanding of inter-individual variations, heterogeneity of bacterial communities along and across the GI tract, functional redundancy and the need to distinguish cause from effect in states of dysbiosis. This review summarises our current understanding of the development and composition of the human GI microbiota, and its impact on gut integrity and host health, underlying the need for mechanistic studies focusing on host–microbe interactions.","container-title":"Biochemical Journal","DOI":"10.1042/BCJ20160510","ISSN":"0264-6021","issue":"11","journalAbbreviation":"Biochem J","note":"PMID: 28512250\nPMCID: PMC5433529","page":"1823-1836","source":"PubMed Central","title":"Introduction to the human gut microbiota","volume":"474","author":[{"family":"Thursby","given":"Elizabeth"},{"family":"Juge","given":"Nathalie"}],"issued":{"date-parts":[["2017",6,1]]}}}],"schema":"https://github.com/citation-style-language/schema/raw/master/csl-citation.json"} </w:instrText>
      </w:r>
      <w:r w:rsidR="00DF0F01" w:rsidRPr="000718B9">
        <w:rPr>
          <w:rFonts w:eastAsia="Times New Roman" w:cs="Times New Roman"/>
          <w:lang w:val="en-GB"/>
        </w:rPr>
        <w:fldChar w:fldCharType="separate"/>
      </w:r>
      <w:r w:rsidR="00DF0F01" w:rsidRPr="000718B9">
        <w:rPr>
          <w:rFonts w:cs="Times New Roman"/>
          <w:lang w:val="en-GB"/>
        </w:rPr>
        <w:t>(Thursby &amp; Juge, 2017)</w:t>
      </w:r>
      <w:r w:rsidR="00DF0F01" w:rsidRPr="000718B9">
        <w:rPr>
          <w:rFonts w:eastAsia="Times New Roman" w:cs="Times New Roman"/>
          <w:lang w:val="en-GB"/>
        </w:rPr>
        <w:fldChar w:fldCharType="end"/>
      </w:r>
      <w:r w:rsidR="00DF0F01" w:rsidRPr="000718B9">
        <w:rPr>
          <w:rFonts w:eastAsia="Times New Roman" w:cs="Times New Roman"/>
          <w:lang w:val="en-GB"/>
        </w:rPr>
        <w:t xml:space="preserve">. </w:t>
      </w:r>
    </w:p>
    <w:p w14:paraId="35826064" w14:textId="77777777" w:rsidR="00C66DA0" w:rsidRPr="000718B9" w:rsidRDefault="00C66DA0" w:rsidP="00C66DA0">
      <w:pPr>
        <w:rPr>
          <w:rFonts w:eastAsia="Times New Roman" w:cs="Times New Roman"/>
          <w:lang w:val="en-GB"/>
        </w:rPr>
      </w:pPr>
      <w:r w:rsidRPr="000718B9">
        <w:rPr>
          <w:rFonts w:eastAsia="Times New Roman" w:cs="Times New Roman"/>
          <w:lang w:val="en-GB"/>
        </w:rPr>
        <w:t xml:space="preserve">Longitudinal studies have provided insight into changes at the level of individual strains using cultural or molecular approaches over time. Two longitudinal studies investigated the stability of the intestinal microbiota at the level of individual bacterial species. In one study, PCR genotyping was used to compare the presence of different strains of </w:t>
      </w:r>
      <w:r w:rsidRPr="000718B9">
        <w:rPr>
          <w:rFonts w:eastAsia="Times New Roman" w:cs="Times New Roman"/>
          <w:i/>
          <w:iCs/>
          <w:lang w:val="en-GB"/>
        </w:rPr>
        <w:t>Escherichia coli</w:t>
      </w:r>
      <w:r w:rsidRPr="000718B9">
        <w:rPr>
          <w:rFonts w:eastAsia="Times New Roman" w:cs="Times New Roman"/>
          <w:lang w:val="en-GB"/>
        </w:rPr>
        <w:t xml:space="preserve"> over time, revealing that some strains were consistently present while others varied </w:t>
      </w:r>
      <w:r w:rsidRPr="000718B9">
        <w:rPr>
          <w:rFonts w:eastAsia="Times New Roman" w:cs="Times New Roman"/>
          <w:lang w:val="en-GB"/>
        </w:rPr>
        <w:fldChar w:fldCharType="begin"/>
      </w:r>
      <w:r w:rsidRPr="000718B9">
        <w:rPr>
          <w:rFonts w:eastAsia="Times New Roman" w:cs="Times New Roman"/>
          <w:lang w:val="en-GB"/>
        </w:rPr>
        <w:instrText xml:space="preserve"> ADDIN ZOTERO_ITEM CSL_CITATION {"citationID":"payKEeOo","properties":{"formattedCitation":"(Martinson et al., 2019)","plainCitation":"(Martinson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9\npublisher: Nature Publishing Group","page":"2306-2318","source":"www.nature.com","title":"Rethinking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T."}],"issued":{"date-parts":[["2019",9]]}}}],"schema":"https://github.com/citation-style-language/schema/raw/master/csl-citation.json"} </w:instrText>
      </w:r>
      <w:r w:rsidRPr="000718B9">
        <w:rPr>
          <w:rFonts w:eastAsia="Times New Roman" w:cs="Times New Roman"/>
          <w:lang w:val="en-GB"/>
        </w:rPr>
        <w:fldChar w:fldCharType="separate"/>
      </w:r>
      <w:r w:rsidRPr="000718B9">
        <w:rPr>
          <w:rFonts w:cs="Times New Roman"/>
          <w:lang w:val="en-GB"/>
        </w:rPr>
        <w:t>(Martinson et al., 2019)</w:t>
      </w:r>
      <w:r w:rsidRPr="000718B9">
        <w:rPr>
          <w:rFonts w:eastAsia="Times New Roman" w:cs="Times New Roman"/>
          <w:lang w:val="en-GB"/>
        </w:rPr>
        <w:fldChar w:fldCharType="end"/>
      </w:r>
      <w:r w:rsidRPr="000718B9">
        <w:rPr>
          <w:rFonts w:eastAsia="Times New Roman" w:cs="Times New Roman"/>
          <w:lang w:val="en-GB"/>
        </w:rPr>
        <w:t xml:space="preserve">. In another study, the genomes of isolated strains of </w:t>
      </w:r>
      <w:r w:rsidRPr="000718B9">
        <w:rPr>
          <w:rFonts w:eastAsia="Times New Roman" w:cs="Times New Roman"/>
          <w:i/>
          <w:iCs/>
          <w:lang w:val="en-GB"/>
        </w:rPr>
        <w:t xml:space="preserve">Bacteroides </w:t>
      </w:r>
      <w:proofErr w:type="spellStart"/>
      <w:r w:rsidRPr="000718B9">
        <w:rPr>
          <w:rFonts w:eastAsia="Times New Roman" w:cs="Times New Roman"/>
          <w:i/>
          <w:iCs/>
          <w:lang w:val="en-GB"/>
        </w:rPr>
        <w:t>vulgatus</w:t>
      </w:r>
      <w:proofErr w:type="spellEnd"/>
      <w:r w:rsidRPr="000718B9">
        <w:rPr>
          <w:rFonts w:eastAsia="Times New Roman" w:cs="Times New Roman"/>
          <w:lang w:val="en-GB"/>
        </w:rPr>
        <w:t xml:space="preserve"> and </w:t>
      </w:r>
      <w:r w:rsidRPr="000718B9">
        <w:rPr>
          <w:rFonts w:eastAsia="Times New Roman" w:cs="Times New Roman"/>
          <w:i/>
          <w:iCs/>
          <w:lang w:val="en-GB"/>
        </w:rPr>
        <w:t>Bacteroides ovatus</w:t>
      </w:r>
      <w:r w:rsidRPr="000718B9">
        <w:rPr>
          <w:rFonts w:eastAsia="Times New Roman" w:cs="Times New Roman"/>
          <w:lang w:val="en-GB"/>
        </w:rPr>
        <w:t xml:space="preserve"> were </w:t>
      </w:r>
      <w:proofErr w:type="spellStart"/>
      <w:r w:rsidRPr="000718B9">
        <w:rPr>
          <w:rFonts w:eastAsia="Times New Roman" w:cs="Times New Roman"/>
          <w:lang w:val="en-GB"/>
        </w:rPr>
        <w:t>analyzed</w:t>
      </w:r>
      <w:proofErr w:type="spellEnd"/>
      <w:r w:rsidRPr="000718B9">
        <w:rPr>
          <w:rFonts w:eastAsia="Times New Roman" w:cs="Times New Roman"/>
          <w:lang w:val="en-GB"/>
        </w:rPr>
        <w:t xml:space="preserve">, showing that a single colonization event occurred, while the spore-forming bacterium </w:t>
      </w:r>
      <w:proofErr w:type="spellStart"/>
      <w:r w:rsidRPr="000718B9">
        <w:rPr>
          <w:rFonts w:eastAsia="Times New Roman" w:cs="Times New Roman"/>
          <w:i/>
          <w:iCs/>
          <w:lang w:val="en-GB"/>
        </w:rPr>
        <w:t>Turicibacter</w:t>
      </w:r>
      <w:proofErr w:type="spellEnd"/>
      <w:r w:rsidRPr="000718B9">
        <w:rPr>
          <w:rFonts w:eastAsia="Times New Roman" w:cs="Times New Roman"/>
          <w:i/>
          <w:iCs/>
          <w:lang w:val="en-GB"/>
        </w:rPr>
        <w:t xml:space="preserve"> sanguinis</w:t>
      </w:r>
      <w:r w:rsidRPr="000718B9">
        <w:rPr>
          <w:rFonts w:eastAsia="Times New Roman" w:cs="Times New Roman"/>
          <w:lang w:val="en-GB"/>
        </w:rPr>
        <w:t xml:space="preserve"> replaced previous strains with each colonization attempt </w:t>
      </w:r>
      <w:r w:rsidRPr="000718B9">
        <w:rPr>
          <w:rFonts w:eastAsia="Times New Roman" w:cs="Times New Roman"/>
          <w:lang w:val="en-GB"/>
        </w:rPr>
        <w:fldChar w:fldCharType="begin"/>
      </w:r>
      <w:r w:rsidRPr="000718B9">
        <w:rPr>
          <w:rFonts w:eastAsia="Times New Roman" w:cs="Times New Roman"/>
          <w:lang w:val="en-GB"/>
        </w:rPr>
        <w:instrText xml:space="preserve"> ADDIN ZOTERO_ITEM CSL_CITATION {"citationID":"muko0Zk6","properties":{"formattedCitation":"(Poyet et al., 2019)","plainCitation":"(Poyet et al., 2019)","noteIndex":0},"citationItems":[{"id":175,"uris":["http://zotero.org/users/8873894/items/D73U5VSG"],"itemData":{"id":175,"type":"article-journal","abstract":"Our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Med","language":"eng","note":"PMID: 31477907","page":"1442-1452","source":"PubMed","title":"A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Pr="000718B9">
        <w:rPr>
          <w:rFonts w:eastAsia="Times New Roman" w:cs="Times New Roman"/>
          <w:lang w:val="en-GB"/>
        </w:rPr>
        <w:fldChar w:fldCharType="separate"/>
      </w:r>
      <w:r w:rsidRPr="000718B9">
        <w:rPr>
          <w:rFonts w:cs="Times New Roman"/>
          <w:lang w:val="en-GB"/>
        </w:rPr>
        <w:t>(Poyet et al., 2019)</w:t>
      </w:r>
      <w:r w:rsidRPr="000718B9">
        <w:rPr>
          <w:rFonts w:eastAsia="Times New Roman" w:cs="Times New Roman"/>
          <w:lang w:val="en-GB"/>
        </w:rPr>
        <w:fldChar w:fldCharType="end"/>
      </w:r>
      <w:r w:rsidRPr="000718B9">
        <w:rPr>
          <w:rFonts w:eastAsia="Times New Roman" w:cs="Times New Roman"/>
          <w:lang w:val="en-GB"/>
        </w:rPr>
        <w:t xml:space="preserve">. </w:t>
      </w:r>
    </w:p>
    <w:p w14:paraId="65597FA2" w14:textId="77777777" w:rsidR="00C66DA0" w:rsidRPr="000718B9" w:rsidRDefault="00C66DA0" w:rsidP="00DF0F01">
      <w:pPr>
        <w:rPr>
          <w:rFonts w:eastAsia="Times New Roman" w:cs="Times New Roman"/>
          <w:lang w:val="en-GB"/>
        </w:rPr>
      </w:pPr>
    </w:p>
    <w:p w14:paraId="45A61064" w14:textId="1694D9E7" w:rsidR="00C4203B" w:rsidRPr="000718B9" w:rsidRDefault="00C4203B" w:rsidP="0014682D">
      <w:pPr>
        <w:pStyle w:val="ListParagraph"/>
        <w:numPr>
          <w:ilvl w:val="1"/>
          <w:numId w:val="13"/>
        </w:numPr>
        <w:rPr>
          <w:rFonts w:eastAsia="Times New Roman" w:cs="Times New Roman"/>
          <w:b/>
          <w:bCs/>
          <w:lang w:val="en-GB"/>
        </w:rPr>
      </w:pPr>
      <w:r w:rsidRPr="000718B9">
        <w:rPr>
          <w:rFonts w:eastAsia="Times New Roman" w:cs="Times New Roman"/>
          <w:b/>
          <w:bCs/>
          <w:lang w:val="en-GB"/>
        </w:rPr>
        <w:t xml:space="preserve">Stability </w:t>
      </w:r>
      <w:r w:rsidR="0014682D" w:rsidRPr="000718B9">
        <w:rPr>
          <w:rFonts w:eastAsia="Times New Roman" w:cs="Times New Roman"/>
          <w:b/>
          <w:bCs/>
          <w:lang w:val="en-GB"/>
        </w:rPr>
        <w:t xml:space="preserve">or why we choose the pre-defined events we did? </w:t>
      </w:r>
    </w:p>
    <w:p w14:paraId="7D2F7E7B" w14:textId="679B5EEE" w:rsidR="002E1231" w:rsidRPr="000718B9" w:rsidRDefault="002E1231" w:rsidP="00C4203B">
      <w:pPr>
        <w:rPr>
          <w:rFonts w:cs="Times New Roman"/>
          <w:lang w:val="en-GB"/>
        </w:rPr>
      </w:pPr>
      <w:r w:rsidRPr="000718B9">
        <w:rPr>
          <w:rFonts w:cs="Times New Roman"/>
          <w:lang w:val="en-GB"/>
        </w:rPr>
        <w:t xml:space="preserve">Most longitudinal studies aim to quantify some aspect of stability in the human gut community. </w:t>
      </w:r>
      <w:r w:rsidR="00C4203B" w:rsidRPr="000718B9">
        <w:rPr>
          <w:rFonts w:cs="Times New Roman"/>
          <w:lang w:val="en-GB"/>
        </w:rPr>
        <w:t>Stability is an ambiguous term with many</w:t>
      </w:r>
      <w:r w:rsidRPr="000718B9">
        <w:rPr>
          <w:rFonts w:cs="Times New Roman"/>
          <w:lang w:val="en-GB"/>
        </w:rPr>
        <w:t xml:space="preserve"> overlapping</w:t>
      </w:r>
      <w:r w:rsidR="00C4203B" w:rsidRPr="000718B9">
        <w:rPr>
          <w:rFonts w:cs="Times New Roman"/>
          <w:lang w:val="en-GB"/>
        </w:rPr>
        <w:t xml:space="preserve"> definitions</w:t>
      </w:r>
      <w:r w:rsidR="00214B4C" w:rsidRPr="000718B9">
        <w:rPr>
          <w:rFonts w:cs="Times New Roman"/>
          <w:lang w:val="en-GB"/>
        </w:rPr>
        <w:t xml:space="preserve"> </w:t>
      </w:r>
      <w:r w:rsidR="00214B4C" w:rsidRPr="000718B9">
        <w:rPr>
          <w:rFonts w:cs="Times New Roman"/>
          <w:lang w:val="en-GB"/>
        </w:rPr>
        <w:fldChar w:fldCharType="begin"/>
      </w:r>
      <w:r w:rsidR="00214B4C" w:rsidRPr="000718B9">
        <w:rPr>
          <w:rFonts w:cs="Times New Roman"/>
          <w:lang w:val="en-GB"/>
        </w:rPr>
        <w:instrText xml:space="preserve"> ADDIN ZOTERO_ITEM CSL_CITATION {"citationID":"WdAqCY7E","properties":{"formattedCitation":"(Grimm &amp; Wissel, 1996)","plainCitation":"(Grimm &amp;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00214B4C" w:rsidRPr="000718B9">
        <w:rPr>
          <w:rFonts w:cs="Times New Roman"/>
          <w:lang w:val="en-GB"/>
        </w:rPr>
        <w:fldChar w:fldCharType="separate"/>
      </w:r>
      <w:r w:rsidR="00214B4C" w:rsidRPr="000718B9">
        <w:rPr>
          <w:rFonts w:cs="Times New Roman"/>
          <w:lang w:val="en-GB"/>
        </w:rPr>
        <w:t>(Grimm &amp; Wissel, 1996)</w:t>
      </w:r>
      <w:r w:rsidR="00214B4C" w:rsidRPr="000718B9">
        <w:rPr>
          <w:rFonts w:cs="Times New Roman"/>
          <w:lang w:val="en-GB"/>
        </w:rPr>
        <w:fldChar w:fldCharType="end"/>
      </w:r>
      <w:r w:rsidR="00C4203B" w:rsidRPr="000718B9">
        <w:rPr>
          <w:rFonts w:cs="Times New Roman"/>
          <w:lang w:val="en-GB"/>
        </w:rPr>
        <w:t xml:space="preserve">. </w:t>
      </w:r>
      <w:r w:rsidR="00214B4C" w:rsidRPr="000718B9">
        <w:rPr>
          <w:rFonts w:cs="Times New Roman"/>
          <w:lang w:val="en-GB"/>
        </w:rPr>
        <w:t xml:space="preserve">Here we focus on </w:t>
      </w:r>
      <w:r w:rsidRPr="000718B9">
        <w:rPr>
          <w:rFonts w:cs="Times New Roman"/>
          <w:lang w:val="en-GB"/>
        </w:rPr>
        <w:lastRenderedPageBreak/>
        <w:t>two</w:t>
      </w:r>
      <w:r w:rsidR="00214B4C" w:rsidRPr="000718B9">
        <w:rPr>
          <w:rFonts w:cs="Times New Roman"/>
          <w:lang w:val="en-GB"/>
        </w:rPr>
        <w:t xml:space="preserve"> </w:t>
      </w:r>
      <w:r w:rsidRPr="000718B9">
        <w:rPr>
          <w:rFonts w:cs="Times New Roman"/>
          <w:lang w:val="en-GB"/>
        </w:rPr>
        <w:t>key properties at the level of strains, species or OTUs depending on the method used: resilience and resistance, b</w:t>
      </w:r>
      <w:r w:rsidRPr="000718B9">
        <w:rPr>
          <w:rFonts w:cs="Times New Roman"/>
          <w:lang w:val="en-GB"/>
        </w:rPr>
        <w:t>oth of which can be explored with persistence in longitudinal studies</w:t>
      </w:r>
      <w:r w:rsidRPr="000718B9">
        <w:rPr>
          <w:rFonts w:cs="Times New Roman"/>
          <w:lang w:val="en-GB"/>
        </w:rPr>
        <w:t xml:space="preserve"> </w:t>
      </w:r>
      <w:r w:rsidRPr="000718B9">
        <w:rPr>
          <w:rFonts w:cs="Times New Roman"/>
          <w:lang w:val="en-GB"/>
        </w:rPr>
        <w:fldChar w:fldCharType="begin"/>
      </w:r>
      <w:r w:rsidRPr="000718B9">
        <w:rPr>
          <w:rFonts w:cs="Times New Roman"/>
          <w:lang w:val="en-GB"/>
        </w:rPr>
        <w:instrText xml:space="preserve"> ADDIN ZOTERO_ITEM CSL_CITATION {"citationID":"xOwjLtYR","properties":{"formattedCitation":"(Shade et al., 2012)","plainCitation":"(Shade et al., 2012)","noteIndex":0},"citationItems":[{"id":3472,"uris":["http://zotero.org/users/8873894/items/9ZVMFDGQ"],"itemData":{"id":3472,"type":"article-journal","abstract":"Microbial communities are at the heart of all ecosystems, and yet microbial community behavior in disturbed environments remains difficult to measure and predict. Understanding the drivers of microbial community stability, including resistance (insensitivity to disturbance) and resilience (the rate of recovery after disturbance) is important for predicting community response to disturbance. Here, we provide an overview of the concepts of stability that are relevant for microbial communities. First, we highlight insights from ecology that are useful for defining and measuring stability. To determine whether general disturbance responses exist for microbial communities, we next examine representative studies from the literature that investigated community responses to press (long-term) and pulse (short-term) disturbances in a variety of habitats. Then we discuss the biological features of individual microorganisms, of microbial populations, and of microbial communities that may govern overall community stability. We conclude with thoughts about the unique insights that systems perspectives - informed by meta-omics data- may provide about microbial community stability.","container-title":"Frontiers in Microbiology","DOI":"10.3389/fmicb.2012.00417","ISSN":"1664-302X","journalAbbreviation":"Front. Microbiol.","language":"English","note":"publisher: Frontiers","source":"Frontiers","title":"Fundamentals of Microbial Community Resistance and Resilience","URL":"https://www.frontiersin.org/journals/microbiology/articles/10.3389/fmicb.2012.00417/full","volume":"3","author":[{"family":"Shade","given":"Ashley"},{"family":"Peter","given":"Hannes"},{"family":"Allison","given":"Steven D."},{"family":"Baho","given":"Didier"},{"family":"Berga","given":"Mercé"},{"family":"Buergmann","given":"Helmut"},{"family":"Huber","given":"David H."},{"family":"Langenheder","given":"Silke"},{"family":"Lennon","given":"Jay T."},{"family":"Martiny","given":"Jennifer BH"},{"family":"Matulich","given":"Kristin L."},{"family":"Schmidt","given":"Thomas M."},{"family":"Handelsman","given":"Jo"}],"accessed":{"date-parts":[["2025",12,17]]},"issued":{"date-parts":[["2012",12,19]]}}}],"schema":"https://github.com/citation-style-language/schema/raw/master/csl-citation.json"} </w:instrText>
      </w:r>
      <w:r w:rsidRPr="000718B9">
        <w:rPr>
          <w:rFonts w:cs="Times New Roman"/>
          <w:lang w:val="en-GB"/>
        </w:rPr>
        <w:fldChar w:fldCharType="separate"/>
      </w:r>
      <w:r w:rsidRPr="000718B9">
        <w:rPr>
          <w:rFonts w:cs="Times New Roman"/>
          <w:lang w:val="en-GB"/>
        </w:rPr>
        <w:t>(Shade et al., 2012)</w:t>
      </w:r>
      <w:r w:rsidRPr="000718B9">
        <w:rPr>
          <w:rFonts w:cs="Times New Roman"/>
          <w:lang w:val="en-GB"/>
        </w:rPr>
        <w:fldChar w:fldCharType="end"/>
      </w:r>
      <w:r w:rsidRPr="000718B9">
        <w:rPr>
          <w:rFonts w:cs="Times New Roman"/>
          <w:lang w:val="en-GB"/>
        </w:rPr>
        <w:t xml:space="preserve">. </w:t>
      </w:r>
    </w:p>
    <w:p w14:paraId="2237C1D0" w14:textId="50131237" w:rsidR="00D83058" w:rsidRPr="000718B9" w:rsidRDefault="00214B4C" w:rsidP="00DF0F01">
      <w:pPr>
        <w:rPr>
          <w:rFonts w:eastAsia="Times New Roman" w:cs="Times New Roman"/>
          <w:lang w:val="en-GB"/>
        </w:rPr>
      </w:pPr>
      <w:r w:rsidRPr="000718B9">
        <w:rPr>
          <w:rFonts w:cs="Times New Roman"/>
          <w:lang w:val="en-GB"/>
        </w:rPr>
        <w:t>Resistance of a community is defined by insensitivity to introduction of a new variable into the community, while resilience is defined as a rate of recovery after disturbance</w:t>
      </w:r>
      <w:r w:rsidR="002E1231" w:rsidRPr="000718B9">
        <w:rPr>
          <w:rFonts w:cs="Times New Roman"/>
          <w:lang w:val="en-GB"/>
        </w:rPr>
        <w:t xml:space="preserve">. Persistence in turn, is a useful longitudinal metric that captures </w:t>
      </w:r>
      <w:r w:rsidR="002E1231" w:rsidRPr="000718B9">
        <w:rPr>
          <w:rFonts w:cs="Times New Roman"/>
          <w:lang w:val="en-GB"/>
        </w:rPr>
        <w:t xml:space="preserve">whether </w:t>
      </w:r>
      <w:r w:rsidR="002E1231" w:rsidRPr="000718B9">
        <w:rPr>
          <w:rFonts w:cs="Times New Roman"/>
          <w:lang w:val="en-GB"/>
        </w:rPr>
        <w:t>taxa</w:t>
      </w:r>
      <w:r w:rsidR="002E1231" w:rsidRPr="000718B9">
        <w:rPr>
          <w:rFonts w:cs="Times New Roman"/>
          <w:lang w:val="en-GB"/>
        </w:rPr>
        <w:t xml:space="preserve"> remain detectable over time and so integrates information about both resistance (limited initial change) and resilience (recovery after change) when inferred from sequencing data</w:t>
      </w:r>
      <w:r w:rsidR="000714BD" w:rsidRPr="000718B9">
        <w:rPr>
          <w:rFonts w:cs="Times New Roman"/>
          <w:lang w:val="en-GB"/>
        </w:rPr>
        <w:t xml:space="preserve"> </w:t>
      </w:r>
      <w:r w:rsidR="000714BD" w:rsidRPr="000718B9">
        <w:rPr>
          <w:rFonts w:cs="Times New Roman"/>
          <w:lang w:val="en-GB"/>
        </w:rPr>
        <w:fldChar w:fldCharType="begin"/>
      </w:r>
      <w:r w:rsidR="000714BD" w:rsidRPr="000718B9">
        <w:rPr>
          <w:rFonts w:cs="Times New Roman"/>
          <w:lang w:val="en-GB"/>
        </w:rPr>
        <w:instrText xml:space="preserve"> ADDIN ZOTERO_ITEM CSL_CITATION {"citationID":"omp8ikIX","properties":{"formattedCitation":"(Lozupone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7415\npublisher: Nature Publishing Group","page":"220-230","source":"www.nature.com","title":"Diversity,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000714BD" w:rsidRPr="000718B9">
        <w:rPr>
          <w:rFonts w:cs="Times New Roman"/>
          <w:lang w:val="en-GB"/>
        </w:rPr>
        <w:fldChar w:fldCharType="separate"/>
      </w:r>
      <w:r w:rsidR="000714BD" w:rsidRPr="000718B9">
        <w:rPr>
          <w:rFonts w:cs="Times New Roman"/>
          <w:lang w:val="en-GB"/>
        </w:rPr>
        <w:t>(</w:t>
      </w:r>
      <w:proofErr w:type="spellStart"/>
      <w:r w:rsidR="000714BD" w:rsidRPr="000718B9">
        <w:rPr>
          <w:rFonts w:cs="Times New Roman"/>
          <w:lang w:val="en-GB"/>
        </w:rPr>
        <w:t>Lozupone</w:t>
      </w:r>
      <w:proofErr w:type="spellEnd"/>
      <w:r w:rsidR="000714BD" w:rsidRPr="000718B9">
        <w:rPr>
          <w:rFonts w:cs="Times New Roman"/>
          <w:lang w:val="en-GB"/>
        </w:rPr>
        <w:t xml:space="preserve"> et al., 2012)</w:t>
      </w:r>
      <w:r w:rsidR="000714BD" w:rsidRPr="000718B9">
        <w:rPr>
          <w:rFonts w:cs="Times New Roman"/>
          <w:lang w:val="en-GB"/>
        </w:rPr>
        <w:fldChar w:fldCharType="end"/>
      </w:r>
      <w:r w:rsidR="002E1231" w:rsidRPr="000718B9">
        <w:rPr>
          <w:rFonts w:cs="Times New Roman"/>
          <w:lang w:val="en-GB"/>
        </w:rPr>
        <w:t>. Disturbance can act either directly on the community or indirectly via changes in the host environment; in both cases, some community members may die out, enter dormancy or change in relative abundance.</w:t>
      </w:r>
      <w:r w:rsidR="002E1231" w:rsidRPr="000718B9">
        <w:rPr>
          <w:rFonts w:cs="Times New Roman"/>
          <w:lang w:val="en-GB"/>
        </w:rPr>
        <w:t xml:space="preserve"> </w:t>
      </w:r>
      <w:r w:rsidRPr="000718B9">
        <w:rPr>
          <w:rFonts w:cs="Times New Roman"/>
          <w:lang w:val="en-GB"/>
        </w:rPr>
        <w:t>Disturbances are classified</w:t>
      </w:r>
      <w:r w:rsidR="002E1231" w:rsidRPr="000718B9">
        <w:rPr>
          <w:rFonts w:cs="Times New Roman"/>
          <w:lang w:val="en-GB"/>
        </w:rPr>
        <w:t xml:space="preserve"> by </w:t>
      </w:r>
      <w:r w:rsidR="000714BD" w:rsidRPr="000718B9">
        <w:rPr>
          <w:rFonts w:cs="Times New Roman"/>
          <w:lang w:val="en-GB"/>
        </w:rPr>
        <w:t>ecologists</w:t>
      </w:r>
      <w:r w:rsidRPr="000718B9">
        <w:rPr>
          <w:rFonts w:cs="Times New Roman"/>
          <w:lang w:val="en-GB"/>
        </w:rPr>
        <w:t xml:space="preserve"> as pulses (short term event) or presses (long-term or continuous) depending on their duration</w:t>
      </w:r>
      <w:r w:rsidR="000714BD" w:rsidRPr="000718B9">
        <w:rPr>
          <w:rFonts w:cs="Times New Roman"/>
          <w:lang w:val="en-GB"/>
        </w:rPr>
        <w:t xml:space="preserve"> </w:t>
      </w:r>
      <w:r w:rsidR="000714BD" w:rsidRPr="000718B9">
        <w:rPr>
          <w:rFonts w:cs="Times New Roman"/>
          <w:lang w:val="en-GB"/>
        </w:rPr>
        <w:fldChar w:fldCharType="begin"/>
      </w:r>
      <w:r w:rsidR="000714BD" w:rsidRPr="000718B9">
        <w:rPr>
          <w:rFonts w:cs="Times New Roman"/>
          <w:lang w:val="en-GB"/>
        </w:rPr>
        <w:instrText xml:space="preserve"> ADDIN ZOTERO_ITEM CSL_CITATION {"citationID":"3CgqWvhd","properties":{"formattedCitation":"(Grimm &amp; Wissel, 1996)","plainCitation":"(Grimm &amp;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000714BD" w:rsidRPr="000718B9">
        <w:rPr>
          <w:rFonts w:cs="Times New Roman"/>
          <w:lang w:val="en-GB"/>
        </w:rPr>
        <w:fldChar w:fldCharType="separate"/>
      </w:r>
      <w:r w:rsidR="000714BD" w:rsidRPr="000718B9">
        <w:rPr>
          <w:rFonts w:cs="Times New Roman"/>
          <w:lang w:val="en-GB"/>
        </w:rPr>
        <w:t>(Grimm &amp; Wissel, 1996)</w:t>
      </w:r>
      <w:r w:rsidR="000714BD" w:rsidRPr="000718B9">
        <w:rPr>
          <w:rFonts w:cs="Times New Roman"/>
          <w:lang w:val="en-GB"/>
        </w:rPr>
        <w:fldChar w:fldCharType="end"/>
      </w:r>
      <w:r w:rsidRPr="000718B9">
        <w:rPr>
          <w:rFonts w:cs="Times New Roman"/>
          <w:lang w:val="en-GB"/>
        </w:rPr>
        <w:t xml:space="preserve">. </w:t>
      </w:r>
      <w:r w:rsidR="000714BD" w:rsidRPr="000718B9">
        <w:rPr>
          <w:rFonts w:cs="Times New Roman"/>
          <w:lang w:val="en-GB"/>
        </w:rPr>
        <w:t>G</w:t>
      </w:r>
      <w:r w:rsidRPr="000718B9">
        <w:rPr>
          <w:rFonts w:cs="Times New Roman"/>
          <w:lang w:val="en-GB"/>
        </w:rPr>
        <w:t xml:space="preserve">eneration time </w:t>
      </w:r>
      <w:r w:rsidR="000714BD" w:rsidRPr="000718B9">
        <w:rPr>
          <w:rFonts w:cs="Times New Roman"/>
          <w:lang w:val="en-GB"/>
        </w:rPr>
        <w:t xml:space="preserve">for microbes </w:t>
      </w:r>
      <w:r w:rsidRPr="000718B9">
        <w:rPr>
          <w:rFonts w:cs="Times New Roman"/>
          <w:lang w:val="en-GB"/>
        </w:rPr>
        <w:t xml:space="preserve">is not long, so presses or pulses can be on scale of minutes to days or even years. Press disturbance in the human gut </w:t>
      </w:r>
      <w:r w:rsidR="000714BD" w:rsidRPr="000718B9">
        <w:rPr>
          <w:rFonts w:cs="Times New Roman"/>
          <w:lang w:val="en-GB"/>
        </w:rPr>
        <w:t>can</w:t>
      </w:r>
      <w:r w:rsidRPr="000718B9">
        <w:rPr>
          <w:rFonts w:cs="Times New Roman"/>
          <w:lang w:val="en-GB"/>
        </w:rPr>
        <w:t xml:space="preserve"> be change of diet, disease, moving to a new place, while pulse disturbance is more like one time over-consumption of alcohol</w:t>
      </w:r>
      <w:r w:rsidR="000714BD" w:rsidRPr="000718B9">
        <w:rPr>
          <w:rFonts w:cs="Times New Roman"/>
          <w:lang w:val="en-GB"/>
        </w:rPr>
        <w:t xml:space="preserve"> or a</w:t>
      </w:r>
      <w:r w:rsidRPr="000718B9">
        <w:rPr>
          <w:rFonts w:cs="Times New Roman"/>
          <w:lang w:val="en-GB"/>
        </w:rPr>
        <w:t xml:space="preserve"> short holiday</w:t>
      </w:r>
      <w:r w:rsidR="000714BD" w:rsidRPr="000718B9">
        <w:rPr>
          <w:rFonts w:cs="Times New Roman"/>
          <w:lang w:val="en-GB"/>
        </w:rPr>
        <w:t xml:space="preserve"> </w:t>
      </w:r>
      <w:r w:rsidR="000714BD" w:rsidRPr="000718B9">
        <w:rPr>
          <w:rFonts w:cs="Times New Roman"/>
          <w:lang w:val="en-GB"/>
        </w:rPr>
        <w:fldChar w:fldCharType="begin"/>
      </w:r>
      <w:r w:rsidR="000714BD" w:rsidRPr="000718B9">
        <w:rPr>
          <w:rFonts w:cs="Times New Roman"/>
          <w:lang w:val="en-GB"/>
        </w:rPr>
        <w:instrText xml:space="preserve"> ADDIN ZOTERO_ITEM CSL_CITATION {"citationID":"wWpksUP1","properties":{"formattedCitation":"(Lozupone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7415\npublisher: Nature Publishing Group","page":"220-230","source":"www.nature.com","title":"Diversity,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000714BD" w:rsidRPr="000718B9">
        <w:rPr>
          <w:rFonts w:cs="Times New Roman"/>
          <w:lang w:val="en-GB"/>
        </w:rPr>
        <w:fldChar w:fldCharType="separate"/>
      </w:r>
      <w:r w:rsidR="000714BD" w:rsidRPr="000718B9">
        <w:rPr>
          <w:rFonts w:cs="Times New Roman"/>
          <w:lang w:val="en-GB"/>
        </w:rPr>
        <w:t>(</w:t>
      </w:r>
      <w:proofErr w:type="spellStart"/>
      <w:r w:rsidR="000714BD" w:rsidRPr="000718B9">
        <w:rPr>
          <w:rFonts w:cs="Times New Roman"/>
          <w:lang w:val="en-GB"/>
        </w:rPr>
        <w:t>Lozupone</w:t>
      </w:r>
      <w:proofErr w:type="spellEnd"/>
      <w:r w:rsidR="000714BD" w:rsidRPr="000718B9">
        <w:rPr>
          <w:rFonts w:cs="Times New Roman"/>
          <w:lang w:val="en-GB"/>
        </w:rPr>
        <w:t xml:space="preserve"> et al., 2012)</w:t>
      </w:r>
      <w:r w:rsidR="000714BD" w:rsidRPr="000718B9">
        <w:rPr>
          <w:rFonts w:cs="Times New Roman"/>
          <w:lang w:val="en-GB"/>
        </w:rPr>
        <w:fldChar w:fldCharType="end"/>
      </w:r>
      <w:r w:rsidRPr="000718B9">
        <w:rPr>
          <w:rFonts w:cs="Times New Roman"/>
          <w:lang w:val="en-GB"/>
        </w:rPr>
        <w:t>.</w:t>
      </w:r>
      <w:r w:rsidRPr="000718B9">
        <w:rPr>
          <w:rFonts w:cs="Times New Roman"/>
          <w:lang w:val="en-GB"/>
        </w:rPr>
        <w:t xml:space="preserve"> </w:t>
      </w:r>
      <w:r w:rsidR="000714BD" w:rsidRPr="000718B9">
        <w:rPr>
          <w:rFonts w:cs="Times New Roman"/>
          <w:lang w:val="en-GB"/>
        </w:rPr>
        <w:t xml:space="preserve">Stable state in the human gut microbiota is still unknown despite many definitions. </w:t>
      </w:r>
      <w:r w:rsidR="000714BD" w:rsidRPr="000718B9">
        <w:rPr>
          <w:rFonts w:eastAsia="Times New Roman" w:cs="Times New Roman"/>
          <w:lang w:val="en-GB"/>
        </w:rPr>
        <w:t xml:space="preserve">By repeatedly sampling individuals over time, we can follow factors that modulate persistence of species or even strains and the dynamics of functions, providing essential context for interpreting microbiota–health associations </w:t>
      </w:r>
      <w:r w:rsidR="000714BD" w:rsidRPr="000718B9">
        <w:rPr>
          <w:rFonts w:eastAsia="Times New Roman" w:cs="Times New Roman"/>
          <w:lang w:val="en-GB"/>
        </w:rPr>
        <w:fldChar w:fldCharType="begin"/>
      </w:r>
      <w:r w:rsidR="000714BD" w:rsidRPr="000718B9">
        <w:rPr>
          <w:rFonts w:eastAsia="Times New Roman" w:cs="Times New Roman"/>
          <w:lang w:val="en-GB"/>
        </w:rPr>
        <w:instrText xml:space="preserve"> ADDIN ZOTERO_ITEM CSL_CITATION {"citationID":"uMZsxGLk","properties":{"formattedCitation":"(Lozupone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7415\npublisher: Nature Publishing Group","page":"220-230","source":"www.nature.com","title":"Diversity,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000714BD" w:rsidRPr="000718B9">
        <w:rPr>
          <w:rFonts w:eastAsia="Times New Roman" w:cs="Times New Roman"/>
          <w:lang w:val="en-GB"/>
        </w:rPr>
        <w:fldChar w:fldCharType="separate"/>
      </w:r>
      <w:r w:rsidR="000714BD" w:rsidRPr="000718B9">
        <w:rPr>
          <w:rFonts w:cs="Times New Roman"/>
          <w:lang w:val="en-GB"/>
        </w:rPr>
        <w:t>(</w:t>
      </w:r>
      <w:proofErr w:type="spellStart"/>
      <w:r w:rsidR="000714BD" w:rsidRPr="000718B9">
        <w:rPr>
          <w:rFonts w:cs="Times New Roman"/>
          <w:lang w:val="en-GB"/>
        </w:rPr>
        <w:t>Lozupone</w:t>
      </w:r>
      <w:proofErr w:type="spellEnd"/>
      <w:r w:rsidR="000714BD" w:rsidRPr="000718B9">
        <w:rPr>
          <w:rFonts w:cs="Times New Roman"/>
          <w:lang w:val="en-GB"/>
        </w:rPr>
        <w:t xml:space="preserve"> et al., 2012)</w:t>
      </w:r>
      <w:r w:rsidR="000714BD" w:rsidRPr="000718B9">
        <w:rPr>
          <w:rFonts w:eastAsia="Times New Roman" w:cs="Times New Roman"/>
          <w:lang w:val="en-GB"/>
        </w:rPr>
        <w:fldChar w:fldCharType="end"/>
      </w:r>
      <w:r w:rsidR="000714BD" w:rsidRPr="000718B9">
        <w:rPr>
          <w:rFonts w:eastAsia="Times New Roman" w:cs="Times New Roman"/>
          <w:lang w:val="en-GB"/>
        </w:rPr>
        <w:t>.</w:t>
      </w:r>
    </w:p>
    <w:p w14:paraId="77B0425C" w14:textId="77777777" w:rsidR="00D83058" w:rsidRPr="000718B9" w:rsidRDefault="00D83058" w:rsidP="00DF0F01">
      <w:pPr>
        <w:rPr>
          <w:rFonts w:eastAsia="Times New Roman" w:cs="Times New Roman"/>
          <w:lang w:val="en-GB"/>
        </w:rPr>
      </w:pPr>
    </w:p>
    <w:p w14:paraId="262338B3" w14:textId="0565745E" w:rsidR="0014682D" w:rsidRPr="000718B9" w:rsidRDefault="00835065" w:rsidP="0014682D">
      <w:pPr>
        <w:pStyle w:val="ListParagraph"/>
        <w:numPr>
          <w:ilvl w:val="0"/>
          <w:numId w:val="13"/>
        </w:numPr>
        <w:rPr>
          <w:rFonts w:eastAsia="Times New Roman" w:cs="Times New Roman"/>
          <w:b/>
          <w:bCs/>
          <w:lang w:val="en-GB"/>
        </w:rPr>
      </w:pPr>
      <w:r w:rsidRPr="000718B9">
        <w:rPr>
          <w:rFonts w:eastAsia="Times New Roman" w:cs="Times New Roman"/>
          <w:b/>
          <w:bCs/>
          <w:lang w:val="en-GB"/>
        </w:rPr>
        <w:t xml:space="preserve">Sporobiota of the human gut </w:t>
      </w:r>
    </w:p>
    <w:p w14:paraId="1D5DE0A9" w14:textId="44EE8ACB" w:rsidR="0014682D" w:rsidRPr="000718B9" w:rsidRDefault="0014682D" w:rsidP="0014682D">
      <w:pPr>
        <w:rPr>
          <w:rFonts w:cs="Times New Roman"/>
          <w:lang w:val="en-GB"/>
        </w:rPr>
      </w:pPr>
      <w:r w:rsidRPr="000718B9">
        <w:rPr>
          <w:rFonts w:eastAsia="Times New Roman" w:cs="Times New Roman"/>
          <w:lang w:val="en-GB"/>
        </w:rPr>
        <w:t xml:space="preserve">Sporobiota is defined as all endospore-forming species in a given environment </w:t>
      </w:r>
      <w:r w:rsidRPr="000718B9">
        <w:rPr>
          <w:rFonts w:eastAsia="Times New Roman" w:cs="Times New Roman"/>
          <w:lang w:val="en-GB"/>
        </w:rPr>
        <w:fldChar w:fldCharType="begin"/>
      </w:r>
      <w:r w:rsidRPr="000718B9">
        <w:rPr>
          <w:rFonts w:eastAsia="Times New Roman" w:cs="Times New Roman"/>
          <w:lang w:val="en-GB"/>
        </w:rPr>
        <w:instrText xml:space="preserve"> ADDIN ZOTERO_ITEM CSL_CITATION {"citationID":"ruaKfKDo","properties":{"formattedCitation":"(Tetz &amp; Tetz, 2017)","plainCitation":"(Tetz &amp; Tetz, 2017)","noteIndex":0},"citationItems":[{"id":1087,"uris":["http://zotero.org/users/8873894/items/G5RWXQYI"],"itemData":{"id":1087,"type":"article-journal","abstract":"Unrelated spore-forming bacteria share unique characteristics stemming from the presence of highly resistant endospores, leading to similar challenges in health and disease. These characteristics are related to the presence of these highly transmissible spores, which are commonly spread within the environment and are implicated in host-to-host transmission. In humans, spore-forming bacteria contribute to a variety of pathological processes that share similar characteristics, including persistence, chronicity, relapses and the maintenance of the resistome. We first outline the necessity of characterizing the totality of the spore-forming bacteria as the sporobiota based on their unique common characteristics. We further propose that the collection of all genes of spore-forming bacteria be known as the sporobiome. Such differentiation is critical for exploring the cross-talk between the sporobiota and other members of the gut microbiota, and will allow for a better understanding of the implications of the sporobiota and sporobiome in a variety of pathologies and the spread of antibiotic resistance.","container-title":"Gut Pathogens","DOI":"10.1186/s13099-017-0187-8","ISSN":"1757-4749","issue":"1","journalAbbreviation":"Gut Pathogens","page":"38","source":"BioMed Central","title":"Introducing the sporobiota and sporobiome","volume":"9","author":[{"family":"Tetz","given":"George"},{"family":"Tetz","given":"Victor"}],"issued":{"date-parts":[["2017",6,30]]}}}],"schema":"https://github.com/citation-style-language/schema/raw/master/csl-citation.json"} </w:instrText>
      </w:r>
      <w:r w:rsidRPr="000718B9">
        <w:rPr>
          <w:rFonts w:eastAsia="Times New Roman" w:cs="Times New Roman"/>
          <w:lang w:val="en-GB"/>
        </w:rPr>
        <w:fldChar w:fldCharType="separate"/>
      </w:r>
      <w:r w:rsidRPr="000718B9">
        <w:rPr>
          <w:rFonts w:cs="Times New Roman"/>
          <w:lang w:val="en-GB"/>
        </w:rPr>
        <w:t>(Tetz &amp; Tetz, 2017)</w:t>
      </w:r>
      <w:r w:rsidRPr="000718B9">
        <w:rPr>
          <w:rFonts w:eastAsia="Times New Roman" w:cs="Times New Roman"/>
          <w:lang w:val="en-GB"/>
        </w:rPr>
        <w:fldChar w:fldCharType="end"/>
      </w:r>
      <w:r w:rsidRPr="000718B9">
        <w:rPr>
          <w:rFonts w:eastAsia="Times New Roman" w:cs="Times New Roman"/>
          <w:lang w:val="en-GB"/>
        </w:rPr>
        <w:t xml:space="preserve">. </w:t>
      </w:r>
      <w:r w:rsidRPr="000718B9">
        <w:rPr>
          <w:rFonts w:cs="Times New Roman"/>
          <w:lang w:val="en-GB"/>
        </w:rPr>
        <w:t xml:space="preserve">The ability of spore-forming bacteria to endure unfavourable conditions, such as oxygen, antibiotic treatment, inflammation, and other diseases, allows them to persist and potentially recolonize the gut following disruptions but also facilitates transmission between individuals </w:t>
      </w:r>
      <w:r w:rsidRPr="000718B9">
        <w:rPr>
          <w:rFonts w:cs="Times New Roman"/>
          <w:lang w:val="en-GB"/>
        </w:rPr>
        <w:fldChar w:fldCharType="begin"/>
      </w:r>
      <w:r w:rsidRPr="000718B9">
        <w:rPr>
          <w:rFonts w:cs="Times New Roman"/>
          <w:lang w:val="en-GB"/>
        </w:rPr>
        <w:instrText xml:space="preserve"> ADDIN ZOTERO_ITEM CSL_CITATION {"citationID":"leLj8T4B","properties":{"formattedCitation":"(Swick et al., 2016)","plainCitation":"(Swick et al., 2016)","noteIndex":0},"citationItems":[{"id":2051,"uris":["http://zotero.org/users/8873894/items/8U7JDRN7"],"itemData":{"id":2051,"type":"article-journal","container-title":"Microbiology spectrum","DOI":"10.1128/microbiolspec.VMBF-0029-2015","ISSN":"2165-0497","issue":"4","journalAbbreviation":"Microbiol Spectr","note":"PMID: 27726794\nPMCID: PMC5062746","page":"10.1128/microbiolspec.VMBF-0029-2015","source":"PubMed Central","title":"Surviving Between Hosts: Sporulation and Transmission","title-short":"Surviving Between Hosts","volume":"4","author":[{"family":"Swick","given":"Michelle C."},{"family":"Koehler","given":"Theresa M."},{"family":"Driks","given":"Adam"}],"issued":{"date-parts":[["2016",8]]}}}],"schema":"https://github.com/citation-style-language/schema/raw/master/csl-citation.json"} </w:instrText>
      </w:r>
      <w:r w:rsidRPr="000718B9">
        <w:rPr>
          <w:rFonts w:cs="Times New Roman"/>
          <w:lang w:val="en-GB"/>
        </w:rPr>
        <w:fldChar w:fldCharType="separate"/>
      </w:r>
      <w:r w:rsidRPr="000718B9">
        <w:rPr>
          <w:rFonts w:cs="Times New Roman"/>
          <w:lang w:val="en-GB"/>
        </w:rPr>
        <w:t>(Swick et al., 2016)</w:t>
      </w:r>
      <w:r w:rsidRPr="000718B9">
        <w:rPr>
          <w:rFonts w:cs="Times New Roman"/>
          <w:lang w:val="en-GB"/>
        </w:rPr>
        <w:fldChar w:fldCharType="end"/>
      </w:r>
      <w:r w:rsidRPr="000718B9">
        <w:rPr>
          <w:rFonts w:cs="Times New Roman"/>
          <w:lang w:val="en-GB"/>
        </w:rPr>
        <w:t xml:space="preserve">. Previous studies have shown that a high proportion of gut bacteria, at least 50 to 60%  possess the genetic capability for sporulation, suggesting that a considerable fraction (more than 50%) of human gut microbiota harbour the capacity to survive conditions that are unfavourable for growth </w:t>
      </w:r>
      <w:r w:rsidRPr="000718B9">
        <w:rPr>
          <w:rFonts w:cs="Times New Roman"/>
          <w:lang w:val="en-GB"/>
        </w:rPr>
        <w:fldChar w:fldCharType="begin"/>
      </w:r>
      <w:r w:rsidRPr="000718B9">
        <w:rPr>
          <w:rFonts w:cs="Times New Roman"/>
          <w:lang w:val="en-GB"/>
        </w:rPr>
        <w:instrText xml:space="preserve"> ADDIN ZOTERO_ITEM CSL_CITATION {"citationID":"ik6cmWMM","properties":{"formattedCitation":"(Browne et al., 2016)","plainCitation":"(Browne et al., 2016)","noteIndex":0},"citationItems":[{"id":376,"uris":["http://zotero.org/users/8873894/items/YDIPWJ3L"],"itemData":{"id":376,"type":"article-journal","abstract":"A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D."}],"issued":{"date-parts":[["2016"]]}}}],"schema":"https://github.com/citation-style-language/schema/raw/master/csl-citation.json"} </w:instrText>
      </w:r>
      <w:r w:rsidRPr="000718B9">
        <w:rPr>
          <w:rFonts w:cs="Times New Roman"/>
          <w:lang w:val="en-GB"/>
        </w:rPr>
        <w:fldChar w:fldCharType="separate"/>
      </w:r>
      <w:r w:rsidRPr="000718B9">
        <w:rPr>
          <w:rFonts w:cs="Times New Roman"/>
          <w:lang w:val="en-GB"/>
        </w:rPr>
        <w:t>(Browne et al., 2016)</w:t>
      </w:r>
      <w:r w:rsidRPr="000718B9">
        <w:rPr>
          <w:rFonts w:cs="Times New Roman"/>
          <w:lang w:val="en-GB"/>
        </w:rPr>
        <w:fldChar w:fldCharType="end"/>
      </w:r>
      <w:r w:rsidRPr="000718B9">
        <w:rPr>
          <w:rFonts w:cs="Times New Roman"/>
          <w:lang w:val="en-GB"/>
        </w:rPr>
        <w:t xml:space="preserve">. </w:t>
      </w:r>
    </w:p>
    <w:p w14:paraId="15854B57" w14:textId="77777777" w:rsidR="0014682D" w:rsidRPr="000718B9" w:rsidRDefault="0014682D" w:rsidP="0014682D">
      <w:pPr>
        <w:rPr>
          <w:rFonts w:cs="Times New Roman"/>
          <w:lang w:val="en-GB"/>
        </w:rPr>
      </w:pPr>
    </w:p>
    <w:p w14:paraId="75360CE5" w14:textId="36DF6DA4" w:rsidR="00741F1A" w:rsidRPr="000718B9" w:rsidRDefault="00741F1A" w:rsidP="0014682D">
      <w:pPr>
        <w:pStyle w:val="ListParagraph"/>
        <w:numPr>
          <w:ilvl w:val="1"/>
          <w:numId w:val="13"/>
        </w:numPr>
        <w:rPr>
          <w:rFonts w:eastAsia="Times New Roman" w:cs="Times New Roman"/>
          <w:b/>
          <w:bCs/>
          <w:lang w:val="en-GB"/>
        </w:rPr>
      </w:pPr>
      <w:r w:rsidRPr="000718B9">
        <w:rPr>
          <w:rFonts w:eastAsia="Times New Roman" w:cs="Times New Roman"/>
          <w:b/>
          <w:bCs/>
          <w:lang w:val="en-GB"/>
        </w:rPr>
        <w:t xml:space="preserve">Defining sporobiota </w:t>
      </w:r>
    </w:p>
    <w:p w14:paraId="1306CCBA" w14:textId="5DC8DB78" w:rsidR="00B5055D" w:rsidRPr="000718B9" w:rsidRDefault="00B5055D" w:rsidP="00B5055D">
      <w:pPr>
        <w:rPr>
          <w:rFonts w:cs="Times New Roman"/>
          <w:lang w:val="en-GB"/>
        </w:rPr>
      </w:pPr>
      <w:r w:rsidRPr="000718B9">
        <w:rPr>
          <w:rFonts w:cs="Times New Roman"/>
          <w:lang w:val="en-GB"/>
        </w:rPr>
        <w:t xml:space="preserve">Evolutionary analyses of sporulation genes revealed that this developmental process evolved once in the phylum </w:t>
      </w:r>
      <w:r w:rsidRPr="000718B9">
        <w:rPr>
          <w:rFonts w:cs="Times New Roman"/>
          <w:i/>
          <w:iCs/>
          <w:lang w:val="en-GB"/>
        </w:rPr>
        <w:t>Bacillota</w:t>
      </w:r>
      <w:r w:rsidRPr="000718B9">
        <w:rPr>
          <w:rFonts w:cs="Times New Roman"/>
          <w:lang w:val="en-GB"/>
        </w:rPr>
        <w:t xml:space="preserve"> approximately 2.5 billion years ago (de Hoon et al., 2010). Spore formation and physiology has since diverged to great genetic diversity in many different species, this makes them differently resistant to stressors (Thomas, 2012). </w:t>
      </w:r>
      <w:r w:rsidR="00D83058" w:rsidRPr="000718B9">
        <w:rPr>
          <w:rFonts w:cs="Times New Roman"/>
          <w:lang w:val="en-GB"/>
        </w:rPr>
        <w:t>Sporulation is one of the most researched strategies for increasing survival time outside of the human gut. Within the human gut, spore</w:t>
      </w:r>
      <w:r w:rsidR="00D83058" w:rsidRPr="000718B9">
        <w:rPr>
          <w:rFonts w:cs="Times New Roman"/>
          <w:lang w:val="en-GB"/>
        </w:rPr>
        <w:noBreakHyphen/>
        <w:t xml:space="preserve">formers are </w:t>
      </w:r>
      <w:r w:rsidR="00D83058" w:rsidRPr="000718B9">
        <w:rPr>
          <w:rFonts w:cs="Times New Roman"/>
          <w:lang w:val="en-GB"/>
        </w:rPr>
        <w:lastRenderedPageBreak/>
        <w:t xml:space="preserve">phylogenetically diverse but are </w:t>
      </w:r>
      <w:r w:rsidR="00D83058" w:rsidRPr="000718B9">
        <w:rPr>
          <w:rFonts w:cs="Times New Roman"/>
          <w:lang w:val="en-GB"/>
        </w:rPr>
        <w:t>mostly representatives from t</w:t>
      </w:r>
      <w:r w:rsidR="00D83058" w:rsidRPr="000718B9">
        <w:rPr>
          <w:rFonts w:cs="Times New Roman"/>
          <w:lang w:val="en-GB"/>
        </w:rPr>
        <w:t xml:space="preserve">he class </w:t>
      </w:r>
      <w:r w:rsidR="00D83058" w:rsidRPr="000718B9">
        <w:rPr>
          <w:rFonts w:cs="Times New Roman"/>
          <w:i/>
          <w:iCs/>
          <w:lang w:val="en-GB"/>
        </w:rPr>
        <w:t>Clostridia</w:t>
      </w:r>
      <w:r w:rsidRPr="000718B9">
        <w:rPr>
          <w:rFonts w:cs="Times New Roman"/>
          <w:lang w:val="en-GB"/>
        </w:rPr>
        <w:t xml:space="preserve">, </w:t>
      </w:r>
      <w:proofErr w:type="spellStart"/>
      <w:r w:rsidRPr="000718B9">
        <w:rPr>
          <w:rFonts w:cs="Times New Roman"/>
          <w:i/>
          <w:iCs/>
          <w:lang w:val="en-GB"/>
        </w:rPr>
        <w:t>Bacillales</w:t>
      </w:r>
      <w:proofErr w:type="spellEnd"/>
      <w:r w:rsidRPr="000718B9">
        <w:rPr>
          <w:rFonts w:cs="Times New Roman"/>
          <w:i/>
          <w:iCs/>
          <w:lang w:val="en-GB"/>
        </w:rPr>
        <w:t xml:space="preserve"> </w:t>
      </w:r>
      <w:r w:rsidR="00D83058" w:rsidRPr="000718B9">
        <w:rPr>
          <w:rFonts w:cs="Times New Roman"/>
          <w:lang w:val="en-GB"/>
        </w:rPr>
        <w:t xml:space="preserve">and </w:t>
      </w:r>
      <w:r w:rsidRPr="000718B9">
        <w:rPr>
          <w:rFonts w:cs="Times New Roman"/>
          <w:lang w:val="en-GB"/>
        </w:rPr>
        <w:t>other</w:t>
      </w:r>
      <w:r w:rsidR="00D83058" w:rsidRPr="000718B9">
        <w:rPr>
          <w:rFonts w:cs="Times New Roman"/>
          <w:lang w:val="en-GB"/>
        </w:rPr>
        <w:t xml:space="preserve"> genera traditionally regarded as non</w:t>
      </w:r>
      <w:r w:rsidR="00D83058" w:rsidRPr="000718B9">
        <w:rPr>
          <w:rFonts w:cs="Times New Roman"/>
          <w:lang w:val="en-GB"/>
        </w:rPr>
        <w:noBreakHyphen/>
        <w:t>spore</w:t>
      </w:r>
      <w:r w:rsidR="00D83058" w:rsidRPr="000718B9">
        <w:rPr>
          <w:rFonts w:cs="Times New Roman"/>
          <w:lang w:val="en-GB"/>
        </w:rPr>
        <w:noBreakHyphen/>
        <w:t xml:space="preserve">forming, such as </w:t>
      </w:r>
      <w:proofErr w:type="spellStart"/>
      <w:r w:rsidR="00D83058" w:rsidRPr="000718B9">
        <w:rPr>
          <w:rFonts w:cs="Times New Roman"/>
          <w:i/>
          <w:iCs/>
          <w:lang w:val="en-GB"/>
        </w:rPr>
        <w:t>Ruminococcus</w:t>
      </w:r>
      <w:proofErr w:type="spellEnd"/>
      <w:r w:rsidR="00D83058" w:rsidRPr="000718B9">
        <w:rPr>
          <w:rFonts w:cs="Times New Roman"/>
          <w:lang w:val="en-GB"/>
        </w:rPr>
        <w:t xml:space="preserve">, </w:t>
      </w:r>
      <w:proofErr w:type="spellStart"/>
      <w:r w:rsidR="00D83058" w:rsidRPr="000718B9">
        <w:rPr>
          <w:rFonts w:cs="Times New Roman"/>
          <w:i/>
          <w:iCs/>
          <w:lang w:val="en-GB"/>
        </w:rPr>
        <w:t>Blautia</w:t>
      </w:r>
      <w:proofErr w:type="spellEnd"/>
      <w:r w:rsidR="00D83058" w:rsidRPr="000718B9">
        <w:rPr>
          <w:rFonts w:cs="Times New Roman"/>
          <w:lang w:val="en-GB"/>
        </w:rPr>
        <w:t xml:space="preserve">, </w:t>
      </w:r>
      <w:proofErr w:type="spellStart"/>
      <w:r w:rsidR="00D83058" w:rsidRPr="000718B9">
        <w:rPr>
          <w:rFonts w:cs="Times New Roman"/>
          <w:i/>
          <w:iCs/>
          <w:lang w:val="en-GB"/>
        </w:rPr>
        <w:t>Coprococcus</w:t>
      </w:r>
      <w:proofErr w:type="spellEnd"/>
      <w:r w:rsidR="00D83058" w:rsidRPr="000718B9">
        <w:rPr>
          <w:rFonts w:cs="Times New Roman"/>
          <w:lang w:val="en-GB"/>
        </w:rPr>
        <w:t xml:space="preserve">, </w:t>
      </w:r>
      <w:r w:rsidR="00D83058" w:rsidRPr="000718B9">
        <w:rPr>
          <w:rFonts w:cs="Times New Roman"/>
          <w:i/>
          <w:iCs/>
          <w:lang w:val="en-GB"/>
        </w:rPr>
        <w:t>Eubacterium</w:t>
      </w:r>
      <w:r w:rsidR="00D83058" w:rsidRPr="000718B9">
        <w:rPr>
          <w:rFonts w:cs="Times New Roman"/>
          <w:lang w:val="en-GB"/>
        </w:rPr>
        <w:t xml:space="preserve"> and </w:t>
      </w:r>
      <w:proofErr w:type="spellStart"/>
      <w:r w:rsidR="00D83058" w:rsidRPr="000718B9">
        <w:rPr>
          <w:rFonts w:cs="Times New Roman"/>
          <w:i/>
          <w:iCs/>
          <w:lang w:val="en-GB"/>
        </w:rPr>
        <w:t>Flavonifractor</w:t>
      </w:r>
      <w:proofErr w:type="spellEnd"/>
      <w:r w:rsidR="00D83058" w:rsidRPr="000718B9">
        <w:rPr>
          <w:rFonts w:cs="Times New Roman"/>
          <w:lang w:val="en-GB"/>
        </w:rPr>
        <w:t xml:space="preserve">, </w:t>
      </w:r>
      <w:r w:rsidRPr="000718B9">
        <w:rPr>
          <w:rFonts w:cs="Times New Roman"/>
          <w:lang w:val="en-GB"/>
        </w:rPr>
        <w:t xml:space="preserve">which </w:t>
      </w:r>
      <w:r w:rsidR="00D83058" w:rsidRPr="000718B9">
        <w:rPr>
          <w:rFonts w:cs="Times New Roman"/>
          <w:lang w:val="en-GB"/>
        </w:rPr>
        <w:t xml:space="preserve">have now been shown to contain </w:t>
      </w:r>
      <w:r w:rsidRPr="000718B9">
        <w:rPr>
          <w:rFonts w:cs="Times New Roman"/>
          <w:lang w:val="en-GB"/>
        </w:rPr>
        <w:t>species</w:t>
      </w:r>
      <w:r w:rsidR="00D83058" w:rsidRPr="000718B9">
        <w:rPr>
          <w:rFonts w:cs="Times New Roman"/>
          <w:lang w:val="en-GB"/>
        </w:rPr>
        <w:t xml:space="preserve"> that sporulate or to possess sporulation gene sets, indicating that spore formation is more widespread than previously appreciated </w:t>
      </w:r>
      <w:r w:rsidR="00D83058" w:rsidRPr="000718B9">
        <w:rPr>
          <w:rFonts w:cs="Times New Roman"/>
          <w:lang w:val="en-GB"/>
        </w:rPr>
        <w:fldChar w:fldCharType="begin"/>
      </w:r>
      <w:r w:rsidRPr="000718B9">
        <w:rPr>
          <w:rFonts w:cs="Times New Roman"/>
          <w:lang w:val="en-GB"/>
        </w:rPr>
        <w:instrText xml:space="preserve"> ADDIN ZOTERO_ITEM CSL_CITATION {"citationID":"cBQcjrow","properties":{"formattedCitation":"(Egan et al., 2021; Koopman et al., 2022)","plainCitation":"(Egan et al., 2021; Koopman et al., 2022)","noteIndex":0},"citationItems":[{"id":1088,"uris":["http://zotero.org/users/8873894/items/SJCCTPEG"],"itemData":{"id":1088,"type":"article-journal","abstract":"The human gut microbiome is a diverse and complex ecosystem that plays a critical role in health and disease. The composition of the gut microbiome has been well studied across all stages of life. In recent years, studies have investigated the production of endospores by specific members of the gut microbiome. An endospore is a tough, dormant structure formed by members of the Firmicutes phylum, which allows for greater resistance to otherwise inhospitable conditions. This innate resis­ tance has consequences for human health and disease, as well as in biotechnology. In particular, the formation of endospores is strongly linked to antibiotic resistance and the spread of antibiotic resistance genes, also known as the resistome. The term sporobiota has been used to define the spore-forming cohort of a microbial community. In this review, we present an overview of the current knowledge of the sporobiota in the human gut. We discuss the development of the sporobiota in the infant gut and the perinatal factors that may have an effect on vertical transmission from mother to infant. Finally, we examine the sporobiota of critically important food sources for the developing infant, breast milk and powdered infant formula.","container-title":"Gut Microbes","DOI":"10.1080/19490976.2020.1863134","ISSN":"1949-0976, 1949-0984","issue":"1","journalAbbreviation":"Gut Microbes","language":"en","page":"1863134","source":"DOI.org (Crossref)","title":"The Sporobiota of the Human Gut","volume":"13","author":[{"family":"Egan","given":"Muireann"},{"family":"Dempsey","given":"Eugene"},{"family":"Ryan","given":"C. Anthony"},{"family":"Ross","given":"R. Paul"},{"family":"Stanton","given":"Catherine"}],"issued":{"date-parts":[["2021",1,1]]}}},{"id":1593,"uris":["http://zotero.org/users/8873894/items/CWNLIUM4"],"itemData":{"id":1593,"type":"article-journal","abstract":"Recent studies have suggested a major role for endospore forming bacteria within the gut microbiota, not only as pathogens but also as commensal and beneficial members contributing to gut homeostasis. In this review the sporulation processes, spore properties, and germination processes will be explained within the scope of the human gut. Within the gut, spore-forming bacteria are known to interact with the host’s immune system, both in vegetative cell and spore form. Together with the resistant nature of the spore, these characteristics offer potential for spores’ use as delivery vehicles for therapeutics. In the last part of the review, the therapeutic potential of spores as probiotics, vaccine vehicles, and drug delivery systems will be discussed.","container-title":"International Journal of Molecular Sciences","DOI":"10.3390/ijms23063405","ISSN":"1422-0067","issue":"6","journalAbbreviation":"Int J Mol Sci","note":"PMID: 35328823\nPMCID: PMC8953710","page":"3405","source":"PubMed Central","title":"Mechanisms and Applications of Bacterial Sporulation and Germination in the Intestine","volume":"23","author":[{"family":"Koopman","given":"Nienke"},{"family":"Remijas","given":"Lauren"},{"family":"Seppen","given":"Jurgen"},{"family":"Setlow","given":"Peter"},{"family":"Brul","given":"Stanley"}],"issued":{"date-parts":[["2022",3,21]]}}}],"schema":"https://github.com/citation-style-language/schema/raw/master/csl-citation.json"} </w:instrText>
      </w:r>
      <w:r w:rsidR="00D83058" w:rsidRPr="000718B9">
        <w:rPr>
          <w:rFonts w:cs="Times New Roman"/>
          <w:lang w:val="en-GB"/>
        </w:rPr>
        <w:fldChar w:fldCharType="separate"/>
      </w:r>
      <w:r w:rsidRPr="000718B9">
        <w:rPr>
          <w:rFonts w:cs="Times New Roman"/>
          <w:lang w:val="en-GB"/>
        </w:rPr>
        <w:t>(Egan et al., 2021; Koopman et al., 2022)</w:t>
      </w:r>
      <w:r w:rsidR="00D83058" w:rsidRPr="000718B9">
        <w:rPr>
          <w:rFonts w:cs="Times New Roman"/>
          <w:lang w:val="en-GB"/>
        </w:rPr>
        <w:fldChar w:fldCharType="end"/>
      </w:r>
      <w:r w:rsidR="00D83058" w:rsidRPr="000718B9">
        <w:rPr>
          <w:rFonts w:cs="Times New Roman"/>
          <w:lang w:val="en-GB"/>
        </w:rPr>
        <w:t>.</w:t>
      </w:r>
      <w:r w:rsidRPr="000718B9">
        <w:rPr>
          <w:rFonts w:cs="Times New Roman"/>
          <w:lang w:val="en-GB"/>
        </w:rPr>
        <w:t xml:space="preserve"> Many</w:t>
      </w:r>
      <w:r w:rsidRPr="000718B9">
        <w:rPr>
          <w:rFonts w:cs="Times New Roman"/>
          <w:lang w:val="en-GB"/>
        </w:rPr>
        <w:t xml:space="preserve"> spore-forming species have been implicated as commensal and are even central to a healthy gut microbiome. Commensal spore-formers include members of the Clostridium clusters XI and </w:t>
      </w:r>
      <w:proofErr w:type="spellStart"/>
      <w:r w:rsidRPr="000718B9">
        <w:rPr>
          <w:rFonts w:cs="Times New Roman"/>
          <w:lang w:val="en-GB"/>
        </w:rPr>
        <w:t>XIVa</w:t>
      </w:r>
      <w:proofErr w:type="spellEnd"/>
      <w:r w:rsidRPr="000718B9">
        <w:rPr>
          <w:rFonts w:cs="Times New Roman"/>
          <w:lang w:val="en-GB"/>
        </w:rPr>
        <w:t>, such as </w:t>
      </w:r>
      <w:r w:rsidRPr="000718B9">
        <w:rPr>
          <w:rFonts w:cs="Times New Roman"/>
          <w:i/>
          <w:iCs/>
          <w:lang w:val="en-GB"/>
        </w:rPr>
        <w:t xml:space="preserve">Clostridium </w:t>
      </w:r>
      <w:proofErr w:type="spellStart"/>
      <w:r w:rsidRPr="000718B9">
        <w:rPr>
          <w:rFonts w:cs="Times New Roman"/>
          <w:i/>
          <w:iCs/>
          <w:lang w:val="en-GB"/>
        </w:rPr>
        <w:t>leptum</w:t>
      </w:r>
      <w:proofErr w:type="spellEnd"/>
      <w:r w:rsidRPr="000718B9">
        <w:rPr>
          <w:rFonts w:cs="Times New Roman"/>
          <w:lang w:val="en-GB"/>
        </w:rPr>
        <w:t>, </w:t>
      </w:r>
      <w:r w:rsidRPr="000718B9">
        <w:rPr>
          <w:rFonts w:cs="Times New Roman"/>
          <w:i/>
          <w:iCs/>
          <w:lang w:val="en-GB"/>
        </w:rPr>
        <w:t xml:space="preserve">Clostridium </w:t>
      </w:r>
      <w:proofErr w:type="spellStart"/>
      <w:r w:rsidRPr="000718B9">
        <w:rPr>
          <w:rFonts w:cs="Times New Roman"/>
          <w:i/>
          <w:iCs/>
          <w:lang w:val="en-GB"/>
        </w:rPr>
        <w:t>scindens</w:t>
      </w:r>
      <w:proofErr w:type="spellEnd"/>
      <w:r w:rsidRPr="000718B9">
        <w:rPr>
          <w:rFonts w:cs="Times New Roman"/>
          <w:i/>
          <w:iCs/>
          <w:lang w:val="en-GB"/>
        </w:rPr>
        <w:t>,</w:t>
      </w:r>
      <w:r w:rsidRPr="000718B9">
        <w:rPr>
          <w:rFonts w:cs="Times New Roman"/>
          <w:lang w:val="en-GB"/>
        </w:rPr>
        <w:t> and </w:t>
      </w:r>
      <w:r w:rsidRPr="000718B9">
        <w:rPr>
          <w:rFonts w:cs="Times New Roman"/>
          <w:i/>
          <w:iCs/>
          <w:lang w:val="en-GB"/>
        </w:rPr>
        <w:t xml:space="preserve">C. </w:t>
      </w:r>
      <w:proofErr w:type="spellStart"/>
      <w:r w:rsidRPr="000718B9">
        <w:rPr>
          <w:rFonts w:cs="Times New Roman"/>
          <w:i/>
          <w:iCs/>
          <w:lang w:val="en-GB"/>
        </w:rPr>
        <w:t>innocuum</w:t>
      </w:r>
      <w:proofErr w:type="spellEnd"/>
      <w:r w:rsidRPr="000718B9">
        <w:rPr>
          <w:rFonts w:cs="Times New Roman"/>
          <w:lang w:val="en-GB"/>
        </w:rPr>
        <w:t>. Further, species from the </w:t>
      </w:r>
      <w:proofErr w:type="spellStart"/>
      <w:r w:rsidRPr="000718B9">
        <w:rPr>
          <w:rFonts w:cs="Times New Roman"/>
          <w:i/>
          <w:iCs/>
          <w:lang w:val="en-GB"/>
        </w:rPr>
        <w:t>Ruminococcaceae</w:t>
      </w:r>
      <w:proofErr w:type="spellEnd"/>
      <w:r w:rsidRPr="000718B9">
        <w:rPr>
          <w:rFonts w:cs="Times New Roman"/>
          <w:lang w:val="en-GB"/>
        </w:rPr>
        <w:t> family, such as </w:t>
      </w:r>
      <w:proofErr w:type="spellStart"/>
      <w:r w:rsidRPr="000718B9">
        <w:rPr>
          <w:rFonts w:cs="Times New Roman"/>
          <w:i/>
          <w:iCs/>
          <w:lang w:val="en-GB"/>
        </w:rPr>
        <w:t>Flavonifractor</w:t>
      </w:r>
      <w:proofErr w:type="spellEnd"/>
      <w:r w:rsidRPr="000718B9">
        <w:rPr>
          <w:rFonts w:cs="Times New Roman"/>
          <w:i/>
          <w:iCs/>
          <w:lang w:val="en-GB"/>
        </w:rPr>
        <w:t xml:space="preserve"> </w:t>
      </w:r>
      <w:proofErr w:type="spellStart"/>
      <w:r w:rsidRPr="000718B9">
        <w:rPr>
          <w:rFonts w:cs="Times New Roman"/>
          <w:i/>
          <w:iCs/>
          <w:lang w:val="en-GB"/>
        </w:rPr>
        <w:t>plautii</w:t>
      </w:r>
      <w:proofErr w:type="spellEnd"/>
      <w:r w:rsidRPr="000718B9">
        <w:rPr>
          <w:rFonts w:cs="Times New Roman"/>
          <w:lang w:val="en-GB"/>
        </w:rPr>
        <w:t> and </w:t>
      </w:r>
      <w:proofErr w:type="spellStart"/>
      <w:r w:rsidRPr="000718B9">
        <w:rPr>
          <w:rFonts w:cs="Times New Roman"/>
          <w:i/>
          <w:iCs/>
          <w:lang w:val="en-GB"/>
        </w:rPr>
        <w:t>Ruminococcus</w:t>
      </w:r>
      <w:proofErr w:type="spellEnd"/>
      <w:r w:rsidRPr="000718B9">
        <w:rPr>
          <w:rFonts w:cs="Times New Roman"/>
          <w:i/>
          <w:iCs/>
          <w:lang w:val="en-GB"/>
        </w:rPr>
        <w:t xml:space="preserve"> </w:t>
      </w:r>
      <w:proofErr w:type="spellStart"/>
      <w:r w:rsidRPr="000718B9">
        <w:rPr>
          <w:rFonts w:cs="Times New Roman"/>
          <w:i/>
          <w:iCs/>
          <w:lang w:val="en-GB"/>
        </w:rPr>
        <w:t>bromii</w:t>
      </w:r>
      <w:proofErr w:type="spellEnd"/>
      <w:r w:rsidRPr="000718B9">
        <w:rPr>
          <w:rFonts w:cs="Times New Roman"/>
          <w:lang w:val="en-GB"/>
        </w:rPr>
        <w:t> were recently implicated as spore-forming commensals of the gut</w:t>
      </w:r>
      <w:r w:rsidRPr="000718B9">
        <w:rPr>
          <w:rFonts w:cs="Times New Roman"/>
          <w:lang w:val="en-GB"/>
        </w:rPr>
        <w:t xml:space="preserve">. </w:t>
      </w:r>
      <w:r w:rsidRPr="000718B9">
        <w:rPr>
          <w:rFonts w:cs="Times New Roman"/>
          <w:lang w:val="en-GB"/>
        </w:rPr>
        <w:t>Other common intestinal species, such as </w:t>
      </w:r>
      <w:r w:rsidRPr="000718B9">
        <w:rPr>
          <w:rFonts w:cs="Times New Roman"/>
          <w:i/>
          <w:iCs/>
          <w:lang w:val="en-GB"/>
        </w:rPr>
        <w:t xml:space="preserve">Eubacterium </w:t>
      </w:r>
      <w:proofErr w:type="spellStart"/>
      <w:r w:rsidRPr="000718B9">
        <w:rPr>
          <w:rFonts w:cs="Times New Roman"/>
          <w:i/>
          <w:iCs/>
          <w:lang w:val="en-GB"/>
        </w:rPr>
        <w:t>rectale</w:t>
      </w:r>
      <w:proofErr w:type="spellEnd"/>
      <w:r w:rsidRPr="000718B9">
        <w:rPr>
          <w:rFonts w:cs="Times New Roman"/>
          <w:lang w:val="en-GB"/>
        </w:rPr>
        <w:t> and </w:t>
      </w:r>
      <w:r w:rsidRPr="000718B9">
        <w:rPr>
          <w:rFonts w:cs="Times New Roman"/>
          <w:i/>
          <w:iCs/>
          <w:lang w:val="en-GB"/>
        </w:rPr>
        <w:t>Eubacterium elegans</w:t>
      </w:r>
      <w:r w:rsidRPr="000718B9">
        <w:rPr>
          <w:rFonts w:cs="Times New Roman"/>
          <w:lang w:val="en-GB"/>
        </w:rPr>
        <w:t> may also be capable of spore-formation. Specifically, short chain fatty acids (</w:t>
      </w:r>
      <w:proofErr w:type="spellStart"/>
      <w:r w:rsidRPr="000718B9">
        <w:rPr>
          <w:rFonts w:cs="Times New Roman"/>
          <w:lang w:val="en-GB"/>
        </w:rPr>
        <w:t>SCFAs</w:t>
      </w:r>
      <w:proofErr w:type="spellEnd"/>
      <w:r w:rsidRPr="000718B9">
        <w:rPr>
          <w:rFonts w:cs="Times New Roman"/>
          <w:lang w:val="en-GB"/>
        </w:rPr>
        <w:t xml:space="preserve">) generated by spore forming bacteria that break down dietary </w:t>
      </w:r>
      <w:proofErr w:type="spellStart"/>
      <w:r w:rsidRPr="000718B9">
        <w:rPr>
          <w:rFonts w:cs="Times New Roman"/>
          <w:lang w:val="en-GB"/>
        </w:rPr>
        <w:t>fibers</w:t>
      </w:r>
      <w:proofErr w:type="spellEnd"/>
      <w:r w:rsidRPr="000718B9">
        <w:rPr>
          <w:rFonts w:cs="Times New Roman"/>
          <w:lang w:val="en-GB"/>
        </w:rPr>
        <w:t>, are linked to improved gut homeostasis, suppressed inflammatory responses, and epithelial barrier functioning</w:t>
      </w:r>
      <w:r w:rsidRPr="000718B9">
        <w:rPr>
          <w:rFonts w:cs="Times New Roman"/>
          <w:lang w:val="en-GB"/>
        </w:rPr>
        <w:t xml:space="preserve"> (reviewed in Koopman et al., 2022).</w:t>
      </w:r>
    </w:p>
    <w:p w14:paraId="6854E7B4" w14:textId="77777777" w:rsidR="0014682D" w:rsidRPr="000718B9" w:rsidRDefault="0014682D" w:rsidP="00B5055D">
      <w:pPr>
        <w:rPr>
          <w:rFonts w:cs="Times New Roman"/>
          <w:lang w:val="en-GB"/>
        </w:rPr>
      </w:pPr>
    </w:p>
    <w:p w14:paraId="795FA03D" w14:textId="45D30A86" w:rsidR="0014682D" w:rsidRPr="000718B9" w:rsidRDefault="0014682D" w:rsidP="00B5055D">
      <w:pPr>
        <w:rPr>
          <w:rFonts w:cs="Times New Roman"/>
          <w:b/>
          <w:bCs/>
          <w:lang w:val="en-GB"/>
        </w:rPr>
      </w:pPr>
      <w:r w:rsidRPr="000718B9">
        <w:rPr>
          <w:rFonts w:cs="Times New Roman"/>
          <w:b/>
          <w:bCs/>
          <w:lang w:val="en-GB"/>
        </w:rPr>
        <w:t xml:space="preserve">2.3 </w:t>
      </w:r>
      <w:r w:rsidR="00E05E30" w:rsidRPr="000718B9">
        <w:rPr>
          <w:rFonts w:cs="Times New Roman"/>
          <w:b/>
          <w:bCs/>
          <w:lang w:val="en-GB"/>
        </w:rPr>
        <w:t>Culture dependant and independent a</w:t>
      </w:r>
      <w:r w:rsidRPr="000718B9">
        <w:rPr>
          <w:rFonts w:cs="Times New Roman"/>
          <w:b/>
          <w:bCs/>
          <w:lang w:val="en-GB"/>
        </w:rPr>
        <w:t xml:space="preserve">nalysis of sporobiota </w:t>
      </w:r>
    </w:p>
    <w:p w14:paraId="57D2D39E" w14:textId="69C13A7F" w:rsidR="00B5055D" w:rsidRPr="000718B9" w:rsidRDefault="00E05E30" w:rsidP="00D83058">
      <w:pPr>
        <w:rPr>
          <w:rFonts w:cs="Times New Roman"/>
          <w:lang w:val="en-GB"/>
        </w:rPr>
      </w:pPr>
      <w:r w:rsidRPr="000718B9">
        <w:rPr>
          <w:rFonts w:cs="Times New Roman"/>
          <w:lang w:val="en-GB"/>
        </w:rPr>
        <w:t xml:space="preserve">While most research has focused on the pathogenic endospores related to food safety and intestinal infections </w:t>
      </w:r>
      <w:r w:rsidRPr="000718B9">
        <w:rPr>
          <w:rFonts w:cs="Times New Roman"/>
          <w:lang w:val="en-GB"/>
        </w:rPr>
        <w:fldChar w:fldCharType="begin"/>
      </w:r>
      <w:r w:rsidRPr="000718B9">
        <w:rPr>
          <w:rFonts w:cs="Times New Roman"/>
          <w:lang w:val="en-GB"/>
        </w:rPr>
        <w:instrText xml:space="preserve"> ADDIN ZOTERO_ITEM CSL_CITATION {"citationID":"zr9CxxsE","properties":{"formattedCitation":"(Brown, 2000)","plainCitation":"(Brown, 2000)","dontUpdate":true,"noteIndex":0},"citationItems":[{"id":2993,"uris":["http://zotero.org/users/8873894/items/D6H26382"],"itemData":{"id":2993,"type":"article-journal","abstract":"Bacterial spores are much more resistant than their vegetative counterparts. The most dangerous spore-former is Clostridium botulinum which produces a potent neurotoxin that can prove fatal. The most common food poisoning from a spore-former is caused by C. perfringens . Other food poisoning spore-formers include Bacillus cereus, B. subtilis and B. licheniformis There are a number of non-pathogenic spore-formers including butyric and thermophilic anaerobes that cause significant economic losses to food producers. Some unusual spoilage complaints have been reported, for example, B. sporothermodurans in UHT milk, Alicylobacillus acidoterrestris in apple and orange juice and Desulfotomaculum nigrificans in hot vending machines. Control of spore-formers requires an understanding of both the resistance and outgrowth characteristics of the spores.","container-title":"British Medical Bulletin","DOI":"10.1258/0007142001902860","ISSN":"0007-1420","issue":"1","journalAbbreviation":"British Medical Bulletin","page":"158-171","source":"Silverchair","title":"Control of bacterial spores","volume":"56","author":[{"family":"Brown","given":"K L"}],"issued":{"date-parts":[["2000",1,1]]}}}],"schema":"https://github.com/citation-style-language/schema/raw/master/csl-citation.json"} </w:instrText>
      </w:r>
      <w:r w:rsidRPr="000718B9">
        <w:rPr>
          <w:rFonts w:cs="Times New Roman"/>
          <w:lang w:val="en-GB"/>
        </w:rPr>
        <w:fldChar w:fldCharType="separate"/>
      </w:r>
      <w:r w:rsidRPr="000718B9">
        <w:rPr>
          <w:rFonts w:cs="Times New Roman"/>
          <w:lang w:val="en-GB"/>
        </w:rPr>
        <w:t>(reviewed in Brown, 2000)</w:t>
      </w:r>
      <w:r w:rsidRPr="000718B9">
        <w:rPr>
          <w:rFonts w:cs="Times New Roman"/>
          <w:lang w:val="en-GB"/>
        </w:rPr>
        <w:fldChar w:fldCharType="end"/>
      </w:r>
      <w:r w:rsidRPr="000718B9">
        <w:rPr>
          <w:rFonts w:cs="Times New Roman"/>
          <w:lang w:val="en-GB"/>
        </w:rPr>
        <w:t>, these strains constitute a miniscule fraction of the microbiota and far less is known about the ecological dynamics of commensal, spore-forming bacteria that are highly abundant within healthy individuals. This is in-part due to the difficulty of isolating spores</w:t>
      </w:r>
      <w:r w:rsidRPr="000718B9">
        <w:rPr>
          <w:rFonts w:cs="Times New Roman"/>
          <w:lang w:val="en-GB"/>
        </w:rPr>
        <w:t xml:space="preserve">, which have </w:t>
      </w:r>
      <w:r w:rsidRPr="000718B9">
        <w:rPr>
          <w:rFonts w:cs="Times New Roman"/>
          <w:lang w:val="en-GB"/>
        </w:rPr>
        <w:t xml:space="preserve">proved to be one of the most resistant structures to live on Earth and space (Leggett at al., 2012, Horneck et al., 1994). </w:t>
      </w:r>
      <w:r w:rsidR="00B5055D" w:rsidRPr="000718B9">
        <w:rPr>
          <w:rFonts w:cs="Times New Roman"/>
          <w:lang w:val="en-GB"/>
        </w:rPr>
        <w:t>Due to diverse evolutionary history b</w:t>
      </w:r>
      <w:r w:rsidR="00B5055D" w:rsidRPr="000718B9">
        <w:rPr>
          <w:rFonts w:cs="Times New Roman"/>
          <w:lang w:val="en-GB"/>
        </w:rPr>
        <w:t xml:space="preserve">acterial spores can withstand many different environmental pressures such as heat, desiccation, radiation, oxidation or exposure to chemicals. Endospore producing bacteria have different mechanisms for defence from high temperature or prolonged emersion in high concentration of ethanol (Beaman et al., 1988; Thomas, 2012; Salvage et al., 2014; Tetz and Tetz, 2017). </w:t>
      </w:r>
      <w:r w:rsidR="00B5055D" w:rsidRPr="000718B9">
        <w:rPr>
          <w:rFonts w:cs="Times New Roman"/>
          <w:color w:val="D9D9D9" w:themeColor="background1" w:themeShade="D9"/>
          <w:lang w:val="en-GB"/>
        </w:rPr>
        <w:t xml:space="preserve">Spores resistance to ethanol is enabled with detoxification trough external layers of spore coat (Henriques and Moran, 2007), reduced permeability and mobility of inner membrane (Cowan et al., 2004), and the protection of core content through a restriction of the </w:t>
      </w:r>
      <w:r w:rsidR="00B5055D" w:rsidRPr="000718B9">
        <w:rPr>
          <w:rFonts w:cs="Times New Roman"/>
          <w:color w:val="D9D9D9" w:themeColor="background1" w:themeShade="D9"/>
          <w:lang w:val="en-GB"/>
        </w:rPr>
        <w:t xml:space="preserve">macromolecule </w:t>
      </w:r>
      <w:r w:rsidR="00B5055D" w:rsidRPr="000718B9">
        <w:rPr>
          <w:rFonts w:cs="Times New Roman"/>
          <w:color w:val="D9D9D9" w:themeColor="background1" w:themeShade="D9"/>
          <w:lang w:val="en-GB"/>
        </w:rPr>
        <w:t>mobility in the coat. Outer spore coat layer is composed of more than 70 different proteins (</w:t>
      </w:r>
      <w:proofErr w:type="spellStart"/>
      <w:r w:rsidR="00B5055D" w:rsidRPr="000718B9">
        <w:rPr>
          <w:rFonts w:cs="Times New Roman"/>
          <w:color w:val="D9D9D9" w:themeColor="background1" w:themeShade="D9"/>
          <w:lang w:val="en-GB"/>
        </w:rPr>
        <w:t>Driks</w:t>
      </w:r>
      <w:proofErr w:type="spellEnd"/>
      <w:r w:rsidR="00B5055D" w:rsidRPr="000718B9">
        <w:rPr>
          <w:rFonts w:cs="Times New Roman"/>
          <w:color w:val="D9D9D9" w:themeColor="background1" w:themeShade="D9"/>
          <w:lang w:val="en-GB"/>
        </w:rPr>
        <w:t xml:space="preserve"> and Eichenberger, 2016) which are impermeable to alcohol that would denaturalize proteins and disable the cell metabolism and by disruption of membranes lead cell lysis. Spores resistant to heat shock (wet heat) have low core water content with high concentration of </w:t>
      </w:r>
      <w:proofErr w:type="spellStart"/>
      <w:r w:rsidR="00B5055D" w:rsidRPr="000718B9">
        <w:rPr>
          <w:rFonts w:cs="Times New Roman"/>
          <w:color w:val="D9D9D9" w:themeColor="background1" w:themeShade="D9"/>
          <w:lang w:val="en-GB"/>
        </w:rPr>
        <w:t>dipicolinic</w:t>
      </w:r>
      <w:proofErr w:type="spellEnd"/>
      <w:r w:rsidR="00B5055D" w:rsidRPr="000718B9">
        <w:rPr>
          <w:rFonts w:cs="Times New Roman"/>
          <w:color w:val="D9D9D9" w:themeColor="background1" w:themeShade="D9"/>
          <w:lang w:val="en-GB"/>
        </w:rPr>
        <w:t xml:space="preserve"> acid (DPA), </w:t>
      </w:r>
      <w:proofErr w:type="spellStart"/>
      <w:r w:rsidR="00B5055D" w:rsidRPr="000718B9">
        <w:rPr>
          <w:rFonts w:cs="Times New Roman"/>
          <w:color w:val="D9D9D9" w:themeColor="background1" w:themeShade="D9"/>
          <w:lang w:val="en-GB"/>
        </w:rPr>
        <w:t>Ca</w:t>
      </w:r>
      <w:r w:rsidR="00B5055D" w:rsidRPr="000718B9">
        <w:rPr>
          <w:rFonts w:cs="Times New Roman"/>
          <w:color w:val="D9D9D9" w:themeColor="background1" w:themeShade="D9"/>
          <w:vertAlign w:val="superscript"/>
          <w:lang w:val="en-GB"/>
        </w:rPr>
        <w:t>2</w:t>
      </w:r>
      <w:proofErr w:type="spellEnd"/>
      <w:r w:rsidR="00B5055D" w:rsidRPr="000718B9">
        <w:rPr>
          <w:rFonts w:cs="Times New Roman"/>
          <w:color w:val="D9D9D9" w:themeColor="background1" w:themeShade="D9"/>
          <w:vertAlign w:val="superscript"/>
          <w:lang w:val="en-GB"/>
        </w:rPr>
        <w:t>+</w:t>
      </w:r>
      <w:r w:rsidR="00B5055D" w:rsidRPr="000718B9">
        <w:rPr>
          <w:rFonts w:cs="Times New Roman"/>
          <w:color w:val="D9D9D9" w:themeColor="background1" w:themeShade="D9"/>
          <w:lang w:val="en-GB"/>
        </w:rPr>
        <w:t xml:space="preserve"> ions and α/β-type small acid-soluble spore proteins (</w:t>
      </w:r>
      <w:proofErr w:type="spellStart"/>
      <w:r w:rsidR="00B5055D" w:rsidRPr="000718B9">
        <w:rPr>
          <w:rFonts w:cs="Times New Roman"/>
          <w:color w:val="D9D9D9" w:themeColor="background1" w:themeShade="D9"/>
          <w:lang w:val="en-GB"/>
        </w:rPr>
        <w:t>SASP</w:t>
      </w:r>
      <w:proofErr w:type="spellEnd"/>
      <w:r w:rsidR="00B5055D" w:rsidRPr="000718B9">
        <w:rPr>
          <w:rFonts w:cs="Times New Roman"/>
          <w:color w:val="D9D9D9" w:themeColor="background1" w:themeShade="D9"/>
          <w:lang w:val="en-GB"/>
        </w:rPr>
        <w:t>) which protect DNA from damage (</w:t>
      </w:r>
      <w:proofErr w:type="spellStart"/>
      <w:r w:rsidR="00B5055D" w:rsidRPr="000718B9">
        <w:rPr>
          <w:rFonts w:cs="Times New Roman"/>
          <w:color w:val="D9D9D9" w:themeColor="background1" w:themeShade="D9"/>
          <w:lang w:val="en-GB"/>
        </w:rPr>
        <w:t>Jamroskovic</w:t>
      </w:r>
      <w:proofErr w:type="spellEnd"/>
      <w:r w:rsidR="00B5055D" w:rsidRPr="000718B9">
        <w:rPr>
          <w:rFonts w:cs="Times New Roman"/>
          <w:color w:val="D9D9D9" w:themeColor="background1" w:themeShade="D9"/>
          <w:lang w:val="en-GB"/>
        </w:rPr>
        <w:t xml:space="preserve">, 2016). </w:t>
      </w:r>
      <w:proofErr w:type="spellStart"/>
      <w:r w:rsidR="00B5055D" w:rsidRPr="000718B9">
        <w:rPr>
          <w:rFonts w:cs="Times New Roman"/>
          <w:color w:val="D9D9D9" w:themeColor="background1" w:themeShade="D9"/>
          <w:lang w:val="en-GB"/>
        </w:rPr>
        <w:t>SASPs</w:t>
      </w:r>
      <w:proofErr w:type="spellEnd"/>
      <w:r w:rsidR="00B5055D" w:rsidRPr="000718B9">
        <w:rPr>
          <w:rFonts w:cs="Times New Roman"/>
          <w:color w:val="D9D9D9" w:themeColor="background1" w:themeShade="D9"/>
          <w:lang w:val="en-GB"/>
        </w:rPr>
        <w:t xml:space="preserve"> also enable DNA repair in spore outgrowth (</w:t>
      </w:r>
      <w:proofErr w:type="spellStart"/>
      <w:r w:rsidR="00B5055D" w:rsidRPr="000718B9">
        <w:rPr>
          <w:rFonts w:cs="Times New Roman"/>
          <w:color w:val="D9D9D9" w:themeColor="background1" w:themeShade="D9"/>
          <w:lang w:val="en-GB"/>
        </w:rPr>
        <w:t>Setlow</w:t>
      </w:r>
      <w:proofErr w:type="spellEnd"/>
      <w:r w:rsidR="00B5055D" w:rsidRPr="000718B9">
        <w:rPr>
          <w:rFonts w:cs="Times New Roman"/>
          <w:color w:val="D9D9D9" w:themeColor="background1" w:themeShade="D9"/>
          <w:lang w:val="en-GB"/>
        </w:rPr>
        <w:t xml:space="preserve">, 2006). </w:t>
      </w:r>
      <w:proofErr w:type="spellStart"/>
      <w:r w:rsidR="00B5055D" w:rsidRPr="000718B9">
        <w:rPr>
          <w:rFonts w:cs="Times New Roman"/>
          <w:color w:val="D9D9D9" w:themeColor="background1" w:themeShade="D9"/>
          <w:lang w:val="en-GB"/>
        </w:rPr>
        <w:t>SASPs</w:t>
      </w:r>
      <w:proofErr w:type="spellEnd"/>
      <w:r w:rsidR="00B5055D" w:rsidRPr="000718B9">
        <w:rPr>
          <w:rFonts w:cs="Times New Roman"/>
          <w:color w:val="D9D9D9" w:themeColor="background1" w:themeShade="D9"/>
          <w:lang w:val="en-GB"/>
        </w:rPr>
        <w:t xml:space="preserve"> and DPA present up to 20% of spore core dry weight (Sunde et al., 2009). It has been observed that heat </w:t>
      </w:r>
      <w:r w:rsidR="00B5055D" w:rsidRPr="000718B9">
        <w:rPr>
          <w:rFonts w:cs="Times New Roman"/>
          <w:color w:val="D9D9D9" w:themeColor="background1" w:themeShade="D9"/>
          <w:lang w:val="en-GB"/>
        </w:rPr>
        <w:lastRenderedPageBreak/>
        <w:t>resistance develops late in the sporulation process, after calcium is incorporated and the cortex is formed or after DPA is synthesized (</w:t>
      </w:r>
      <w:proofErr w:type="spellStart"/>
      <w:r w:rsidR="00B5055D" w:rsidRPr="000718B9">
        <w:rPr>
          <w:rFonts w:cs="Times New Roman"/>
          <w:color w:val="D9D9D9" w:themeColor="background1" w:themeShade="D9"/>
          <w:lang w:val="en-GB"/>
        </w:rPr>
        <w:t>Bonsen</w:t>
      </w:r>
      <w:proofErr w:type="spellEnd"/>
      <w:r w:rsidR="00B5055D" w:rsidRPr="000718B9">
        <w:rPr>
          <w:rFonts w:cs="Times New Roman"/>
          <w:color w:val="D9D9D9" w:themeColor="background1" w:themeShade="D9"/>
          <w:lang w:val="en-GB"/>
        </w:rPr>
        <w:t>, 1969).</w:t>
      </w:r>
    </w:p>
    <w:p w14:paraId="629B1488" w14:textId="5E2ECE61" w:rsidR="00630A35" w:rsidRPr="000718B9" w:rsidRDefault="00B5055D" w:rsidP="00630A35">
      <w:pPr>
        <w:rPr>
          <w:rFonts w:cs="Times New Roman"/>
          <w:lang w:val="en-GB"/>
        </w:rPr>
      </w:pPr>
      <w:r w:rsidRPr="000718B9">
        <w:rPr>
          <w:rFonts w:cs="Times New Roman"/>
          <w:lang w:val="en-GB"/>
        </w:rPr>
        <w:t>Exposure to high temperatures or to ethanol are two main procedures used for selective enrichment of spores</w:t>
      </w:r>
      <w:r w:rsidRPr="000718B9">
        <w:rPr>
          <w:rFonts w:cs="Times New Roman"/>
          <w:lang w:val="en-GB"/>
        </w:rPr>
        <w:t xml:space="preserve"> in both cultivation-dependant and independent approaches. This can either be </w:t>
      </w:r>
      <w:r w:rsidRPr="000718B9">
        <w:rPr>
          <w:rFonts w:cs="Times New Roman"/>
          <w:lang w:val="en-GB"/>
        </w:rPr>
        <w:t>heat</w:t>
      </w:r>
      <w:r w:rsidR="00E05E30" w:rsidRPr="000718B9">
        <w:rPr>
          <w:rFonts w:cs="Times New Roman"/>
          <w:lang w:val="en-GB"/>
        </w:rPr>
        <w:t xml:space="preserve"> shock</w:t>
      </w:r>
      <w:r w:rsidRPr="000718B9">
        <w:rPr>
          <w:rFonts w:cs="Times New Roman"/>
          <w:lang w:val="en-GB"/>
        </w:rPr>
        <w:t xml:space="preserve"> at 80 °C </w:t>
      </w:r>
      <w:r w:rsidRPr="000718B9">
        <w:rPr>
          <w:rFonts w:cs="Times New Roman"/>
          <w:lang w:val="en-GB"/>
        </w:rPr>
        <w:t>or</w:t>
      </w:r>
      <w:r w:rsidRPr="000718B9">
        <w:rPr>
          <w:rFonts w:cs="Times New Roman"/>
          <w:lang w:val="en-GB"/>
        </w:rPr>
        <w:t xml:space="preserve"> 60 °C for 60 min and </w:t>
      </w:r>
      <w:r w:rsidR="00E05E30" w:rsidRPr="000718B9">
        <w:rPr>
          <w:rFonts w:cs="Times New Roman"/>
          <w:lang w:val="en-GB"/>
        </w:rPr>
        <w:t>ethanol shock</w:t>
      </w:r>
      <w:r w:rsidRPr="000718B9">
        <w:rPr>
          <w:rFonts w:cs="Times New Roman"/>
          <w:lang w:val="en-GB"/>
        </w:rPr>
        <w:t xml:space="preserve"> with 70% (v/v) </w:t>
      </w:r>
      <w:r w:rsidR="00E05E30" w:rsidRPr="000718B9">
        <w:rPr>
          <w:rFonts w:cs="Times New Roman"/>
          <w:lang w:val="en-GB"/>
        </w:rPr>
        <w:t xml:space="preserve">ethanol </w:t>
      </w:r>
      <w:r w:rsidRPr="000718B9">
        <w:rPr>
          <w:rFonts w:cs="Times New Roman"/>
          <w:lang w:val="en-GB"/>
        </w:rPr>
        <w:t xml:space="preserve">for </w:t>
      </w:r>
      <w:r w:rsidRPr="000718B9">
        <w:rPr>
          <w:rFonts w:cs="Times New Roman"/>
          <w:lang w:val="en-GB"/>
        </w:rPr>
        <w:t xml:space="preserve">at least </w:t>
      </w:r>
      <w:r w:rsidRPr="000718B9">
        <w:rPr>
          <w:rFonts w:cs="Times New Roman"/>
          <w:lang w:val="en-GB"/>
        </w:rPr>
        <w:t xml:space="preserve">4 h at room temperature </w:t>
      </w:r>
      <w:r w:rsidR="00E05E30" w:rsidRPr="000718B9">
        <w:rPr>
          <w:rFonts w:cs="Times New Roman"/>
          <w:lang w:val="en-GB"/>
        </w:rPr>
        <w:t xml:space="preserve">to kill vegetative cells, while leaving spores intact </w:t>
      </w:r>
      <w:r w:rsidRPr="000718B9">
        <w:rPr>
          <w:rFonts w:cs="Times New Roman"/>
          <w:lang w:val="en-GB"/>
        </w:rPr>
        <w:fldChar w:fldCharType="begin"/>
      </w:r>
      <w:r w:rsidR="00630A35" w:rsidRPr="000718B9">
        <w:rPr>
          <w:rFonts w:cs="Times New Roman"/>
          <w:lang w:val="en-GB"/>
        </w:rPr>
        <w:instrText xml:space="preserve"> ADDIN ZOTERO_ITEM CSL_CITATION {"citationID":"NXJBvk5M","properties":{"formattedCitation":"(Browne et al., 2016; Fakhry et al., 2008; Setlow et al., 2017)","plainCitation":"(Browne et al., 2016; Fakhry et al., 2008; Setlow et al., 2017)","noteIndex":0},"citationItems":[{"id":376,"uris":["http://zotero.org/users/8873894/items/YDIPWJ3L"],"itemData":{"id":376,"type":"article-journal","abstract":"A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D."}],"issued":{"date-parts":[["2016"]]}}},{"id":3476,"uris":["http://zotero.org/users/8873894/items/TIX5FA5X"],"itemData":{"id":3476,"type":"article-journal","abstract":"AIMS: To isolate and characterize spore-former bacteria able to colonize the human gastrointestinal tract (GIT).\nMETHODS AND RESULTS: A total of 25 spore-formers was isolated from faeces and ileal biopsies of healthy human volunteers and identified at the species level. Physiological analysis was performed to evaluate the ability of the various isolates to form biofilms, to swarm, to produce surfactants and molecules that have antimicrobial activity against selected pathogens. To assess the potential probiotic activity of the isolates, we tested the resistance of cells and spores to simulated gastric conditions, the ability to grow and sporulate in anaerobic conditions and the presence of toxin-encoding genes in their genome.\nCONCLUSIONS: Spore-formers belonging to various bacterial species have been isolated from the gut of healthy human volunteers. These strains appear to be well adapted to the intestinal environment and we propose them as potential probiotic strains for human use and as oral vaccine vehicles.\nSIGNIFICANCE AND IMPACT OF THE STUDY: To our knowledge this is the first detailed characterization of spore-forming Bacilli from the human GIT. Our data suggest that the isolated species do not transit, but rather colonize this specific habitat and propose them as probiotic strains for human use.","container-title":"Journal of Applied Microbiology","DOI":"10.1111/j.1365-2672.2008.03934.x","ISSN":"1365-2672","issue":"6","journalAbbreviation":"J Appl Microbiol","language":"eng","note":"PMID: 19120663","page":"2178-2186","source":"PubMed","title":"Characterization of spore forming Bacilli isolated from the human gastrointestinal tract","volume":"105","author":[{"family":"Fakhry","given":"S."},{"family":"Sorrentini","given":"I."},{"family":"Ricca","given":"E."},{"family":"De Felice","given":"M."},{"family":"Baccigalupi","given":"L."}],"issued":{"date-parts":[["2008",12]]}}},{"id":3478,"uris":["http://zotero.org/users/8873894/items/TARIRLF9"],"itemData":{"id":3478,"type":"article-journal","abstract":"Dormant Bacillales and Clostridiales spores begin to grow when small molecules (germinants) trigger germination, potentially leading to food spoilage or disease. Germination-specific proteins sense germinants, transport small molecules, and hydrolyze specific bonds in cortex peptidoglycan and specific proteins. Major events in germination include (a) germinant sensing; (b) commitment to germinate; (c) release of spores' depot of dipicolinic acid (DPA); (d) hydrolysis of spores' peptidoglycan cortex; and (e) spore core swelling and water uptake, cell wall peptidoglycan remodeling, and restoration of core protein and inner spore membrane lipid mobility. Germination is similar between Bacillales and Clostridiales, but some species differ in how germinants are sensed and how cortex hydrolysis and DPA release are triggered. Despite detailed knowledge of the proteins and signal transduction pathways involved in germination, precisely what some germination proteins do and how they do it remain unclear.","container-title":"Annual Review of Microbiology","DOI":"10.1146/annurev-micro-090816-093558","ISSN":"1545-3251","journalAbbreviation":"Annu Rev Microbiol","language":"eng","note":"PMID: 28697670","page":"459-477","source":"PubMed","title":"Germination of Spores of the Orders Bacillales and Clostridiales","volume":"71","author":[{"family":"Setlow","given":"Peter"},{"family":"Wang","given":"Shiwei"},{"family":"Li","given":"Yong-Qing"}],"issued":{"date-parts":[["2017",9,8]]}}}],"schema":"https://github.com/citation-style-language/schema/raw/master/csl-citation.json"} </w:instrText>
      </w:r>
      <w:r w:rsidRPr="000718B9">
        <w:rPr>
          <w:rFonts w:cs="Times New Roman"/>
          <w:lang w:val="en-GB"/>
        </w:rPr>
        <w:fldChar w:fldCharType="separate"/>
      </w:r>
      <w:r w:rsidR="00630A35" w:rsidRPr="000718B9">
        <w:rPr>
          <w:rFonts w:cs="Times New Roman"/>
          <w:lang w:val="en-GB"/>
        </w:rPr>
        <w:t xml:space="preserve">(Browne et al., 2016; Fakhry et al., 2008; </w:t>
      </w:r>
      <w:proofErr w:type="spellStart"/>
      <w:r w:rsidR="00630A35" w:rsidRPr="000718B9">
        <w:rPr>
          <w:rFonts w:cs="Times New Roman"/>
          <w:lang w:val="en-GB"/>
        </w:rPr>
        <w:t>Setlow</w:t>
      </w:r>
      <w:proofErr w:type="spellEnd"/>
      <w:r w:rsidR="00630A35" w:rsidRPr="000718B9">
        <w:rPr>
          <w:rFonts w:cs="Times New Roman"/>
          <w:lang w:val="en-GB"/>
        </w:rPr>
        <w:t xml:space="preserve"> et al., 2017)</w:t>
      </w:r>
      <w:r w:rsidRPr="000718B9">
        <w:rPr>
          <w:rFonts w:cs="Times New Roman"/>
          <w:lang w:val="en-GB"/>
        </w:rPr>
        <w:fldChar w:fldCharType="end"/>
      </w:r>
      <w:r w:rsidR="00630A35" w:rsidRPr="000718B9">
        <w:rPr>
          <w:rFonts w:cs="Times New Roman"/>
          <w:lang w:val="en-GB"/>
        </w:rPr>
        <w:t xml:space="preserve">. </w:t>
      </w:r>
      <w:r w:rsidR="00630A35" w:rsidRPr="000718B9">
        <w:rPr>
          <w:rFonts w:cs="Times New Roman"/>
          <w:lang w:val="en-GB"/>
        </w:rPr>
        <w:t xml:space="preserve">These methods are followed by either culturing with added </w:t>
      </w:r>
      <w:r w:rsidR="00630A35" w:rsidRPr="000718B9">
        <w:rPr>
          <w:rFonts w:cs="Times New Roman"/>
          <w:lang w:val="en-GB"/>
        </w:rPr>
        <w:t>germinant</w:t>
      </w:r>
      <w:r w:rsidR="00630A35" w:rsidRPr="000718B9">
        <w:rPr>
          <w:rFonts w:cs="Times New Roman"/>
          <w:lang w:val="en-GB"/>
        </w:rPr>
        <w:t xml:space="preserve">, such as bile acids and amino acids, or DNA </w:t>
      </w:r>
      <w:r w:rsidR="00E05E30" w:rsidRPr="000718B9">
        <w:rPr>
          <w:rFonts w:cs="Times New Roman"/>
          <w:lang w:val="en-GB"/>
        </w:rPr>
        <w:t>isolation</w:t>
      </w:r>
      <w:r w:rsidR="00630A35" w:rsidRPr="000718B9">
        <w:rPr>
          <w:rFonts w:cs="Times New Roman"/>
          <w:lang w:val="en-GB"/>
        </w:rPr>
        <w:t xml:space="preserve"> and sequencing</w:t>
      </w:r>
      <w:r w:rsidR="0014682D" w:rsidRPr="000718B9">
        <w:rPr>
          <w:rFonts w:cs="Times New Roman"/>
          <w:lang w:val="en-GB"/>
        </w:rPr>
        <w:t xml:space="preserve"> </w:t>
      </w:r>
      <w:r w:rsidR="0014682D" w:rsidRPr="000718B9">
        <w:rPr>
          <w:rFonts w:cs="Times New Roman"/>
          <w:lang w:val="en-GB"/>
        </w:rPr>
        <w:fldChar w:fldCharType="begin"/>
      </w:r>
      <w:r w:rsidR="00E05E30" w:rsidRPr="000718B9">
        <w:rPr>
          <w:rFonts w:cs="Times New Roman"/>
          <w:lang w:val="en-GB"/>
        </w:rPr>
        <w:instrText xml:space="preserve"> ADDIN ZOTERO_ITEM CSL_CITATION {"citationID":"O4S7g659","properties":{"formattedCitation":"(Avershina et al., 2020; Browne et al., 2016; Kearney et al., 2018; Koransky et al., 1978; Onizuka et al., 2021; Tanaka et al., 2020)","plainCitation":"(Avershina et al., 2020; Browne et al., 2016; Kearney et al., 2018; Koransky et al., 1978; Onizuka et al., 2021; Tanaka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J."}],"issued":{"date-parts":[["2018",10]]}}},{"id":331,"uris":["http://zotero.org/users/8873894/items/XJN9RDPU"],"itemData":{"id":331,"type":"article-journal","abstract":"When mixed cultures containing sporeforming bacteria were treated with heat or with ethanol, the latter consistently resulted in better recovery of Clostridium and Bacillus species. Both techniques were effective in eliminating vegetative cells. An ethanol concentration greater than 25% and exposure for 45 min or longer were necessary to kill all vegetative cells in mixed-culture samples. Ethanol treatment (50% ethanol for 1 h) was effective for isolating sporeforming bacteria from intestinal specimens. Seven different species of Clostridium were the only bacteria isolated from the ethanol-treated specimen of intestinal contents from the large bowel of a patient. It was concluded that treatment with ethanol for 1 h is an effective technique for selective isolation of sporeforming bacteria from mixed cultures and certain types of clinical specimens.","container-title":"Applied and Environmental Microbiology","DOI":"10.1128/aem.35.4.762-765.1978","ISSN":"0099-2240, 1098-5336","issue":"4","journalAbbreviation":"Appl Environ Microbiol","language":"en","page":"762-765","source":"DOI.org (Crossref)","title":"Use of ethanol for selective isolation of sporeforming microorganisms","volume":"35","author":[{"family":"Koransky","given":"J R"},{"family":"Allen","given":"S D"},{"family":"Dowell","given":"V R"}],"issued":{"date-parts":[["1978",4]]}}},{"id":312,"uris":["http://zotero.org/users/8873894/items/EGKNDGK6"],"itemData":{"id":312,"type":"article-journal","abstract":"Spores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Rep","note":"PMID: 32929101\nPMCID: PMC7490687","page":"15041","source":"PubMed Central","title":"Cultural isolation of spore-forming bacteria in human feces using bile acids","volume":"10","author":[{"family":"Tanaka","given":"Masaru"},{"family":"Onizuka","given":"Sakura"},{"family":"Mishima","given":"Riko"},{"family":"Nakayama","given":"Jiro"}],"issued":{"date-parts":[["2020",9,14]]}}}],"schema":"https://github.com/citation-style-language/schema/raw/master/csl-citation.json"} </w:instrText>
      </w:r>
      <w:r w:rsidR="0014682D" w:rsidRPr="000718B9">
        <w:rPr>
          <w:rFonts w:cs="Times New Roman"/>
          <w:lang w:val="en-GB"/>
        </w:rPr>
        <w:fldChar w:fldCharType="separate"/>
      </w:r>
      <w:r w:rsidR="00E05E30" w:rsidRPr="000718B9">
        <w:rPr>
          <w:rFonts w:cs="Times New Roman"/>
          <w:lang w:val="en-GB"/>
        </w:rPr>
        <w:t>(</w:t>
      </w:r>
      <w:proofErr w:type="spellStart"/>
      <w:r w:rsidR="00E05E30" w:rsidRPr="000718B9">
        <w:rPr>
          <w:rFonts w:cs="Times New Roman"/>
          <w:lang w:val="en-GB"/>
        </w:rPr>
        <w:t>Avershina</w:t>
      </w:r>
      <w:proofErr w:type="spellEnd"/>
      <w:r w:rsidR="00E05E30" w:rsidRPr="000718B9">
        <w:rPr>
          <w:rFonts w:cs="Times New Roman"/>
          <w:lang w:val="en-GB"/>
        </w:rPr>
        <w:t xml:space="preserve"> et al., 2020; Browne et al., 2016; Kearney et al., 2018; </w:t>
      </w:r>
      <w:proofErr w:type="spellStart"/>
      <w:r w:rsidR="00E05E30" w:rsidRPr="000718B9">
        <w:rPr>
          <w:rFonts w:cs="Times New Roman"/>
          <w:lang w:val="en-GB"/>
        </w:rPr>
        <w:t>Koransky</w:t>
      </w:r>
      <w:proofErr w:type="spellEnd"/>
      <w:r w:rsidR="00E05E30" w:rsidRPr="000718B9">
        <w:rPr>
          <w:rFonts w:cs="Times New Roman"/>
          <w:lang w:val="en-GB"/>
        </w:rPr>
        <w:t xml:space="preserve"> et al., 1978; Onizuka et al., 2021; Tanaka et al., 2020)</w:t>
      </w:r>
      <w:r w:rsidR="0014682D" w:rsidRPr="000718B9">
        <w:rPr>
          <w:rFonts w:cs="Times New Roman"/>
          <w:lang w:val="en-GB"/>
        </w:rPr>
        <w:fldChar w:fldCharType="end"/>
      </w:r>
      <w:r w:rsidR="00630A35" w:rsidRPr="000718B9">
        <w:rPr>
          <w:rFonts w:cs="Times New Roman"/>
          <w:lang w:val="en-GB"/>
        </w:rPr>
        <w:t xml:space="preserve">. </w:t>
      </w:r>
    </w:p>
    <w:p w14:paraId="0A28775B" w14:textId="5C422320" w:rsidR="00E05E30" w:rsidRPr="000718B9" w:rsidRDefault="00630A35" w:rsidP="00E05E30">
      <w:pPr>
        <w:jc w:val="left"/>
        <w:rPr>
          <w:rFonts w:cs="Times New Roman"/>
          <w:lang w:val="en-GB"/>
        </w:rPr>
      </w:pPr>
      <w:r w:rsidRPr="000718B9">
        <w:rPr>
          <w:rFonts w:cs="Times New Roman"/>
          <w:lang w:val="en-GB"/>
        </w:rPr>
        <w:t xml:space="preserve">An advance in the isolation of ethanol resistant spore-forming bacteria was achieved with addition of bile acids to boost germination in the culture process </w:t>
      </w:r>
      <w:r w:rsidRPr="000718B9">
        <w:rPr>
          <w:rFonts w:cs="Times New Roman"/>
          <w:lang w:val="en-GB"/>
        </w:rPr>
        <w:fldChar w:fldCharType="begin"/>
      </w:r>
      <w:r w:rsidRPr="000718B9">
        <w:rPr>
          <w:rFonts w:cs="Times New Roman"/>
          <w:lang w:val="en-GB"/>
        </w:rPr>
        <w:instrText xml:space="preserve"> ADDIN ZOTERO_ITEM CSL_CITATION {"citationID":"RjU3bDsr","properties":{"formattedCitation":"(Browne et al., 2016; Onizuka et al., 2021; Tanaka et al., 2020)","plainCitation":"(Browne et al., 2016; Onizuka et al., 2021; Tanaka et al., 2020)","noteIndex":0},"citationItems":[{"id":376,"uris":["http://zotero.org/users/8873894/items/YDIPWJ3L"],"itemData":{"id":376,"type":"article-journal","abstract":"A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Rep","note":"PMID: 32929101\nPMCID: PMC7490687","page":"15041","source":"PubMed Central","title":"Cultural isolation of spore-forming bacteria in human feces using bile acids","volume":"10","author":[{"family":"Tanaka","given":"Masaru"},{"family":"Onizuka","given":"Sakura"},{"family":"Mishima","given":"Riko"},{"family":"Nakayama","given":"Jiro"}],"issued":{"date-parts":[["2020",9,14]]}}}],"schema":"https://github.com/citation-style-language/schema/raw/master/csl-citation.json"} </w:instrText>
      </w:r>
      <w:r w:rsidRPr="000718B9">
        <w:rPr>
          <w:rFonts w:cs="Times New Roman"/>
          <w:lang w:val="en-GB"/>
        </w:rPr>
        <w:fldChar w:fldCharType="separate"/>
      </w:r>
      <w:r w:rsidRPr="000718B9">
        <w:rPr>
          <w:rFonts w:cs="Times New Roman"/>
          <w:lang w:val="en-GB"/>
        </w:rPr>
        <w:t>(Browne et al., 2016; Onizuka et al., 2021; Tanaka et al., 2020)</w:t>
      </w:r>
      <w:r w:rsidRPr="000718B9">
        <w:rPr>
          <w:rFonts w:cs="Times New Roman"/>
          <w:lang w:val="en-GB"/>
        </w:rPr>
        <w:fldChar w:fldCharType="end"/>
      </w:r>
      <w:r w:rsidRPr="000718B9">
        <w:rPr>
          <w:rFonts w:cs="Times New Roman"/>
          <w:lang w:val="en-GB"/>
        </w:rPr>
        <w:t xml:space="preserve">. </w:t>
      </w:r>
      <w:r w:rsidR="00E05E30" w:rsidRPr="000718B9">
        <w:rPr>
          <w:rFonts w:cs="Times New Roman"/>
          <w:lang w:val="en-GB"/>
        </w:rPr>
        <w:t xml:space="preserve">This procedure enabled isolation of new species from families which were previously been though as non-spore-forming such as </w:t>
      </w:r>
      <w:proofErr w:type="spellStart"/>
      <w:r w:rsidR="00E05E30" w:rsidRPr="000718B9">
        <w:rPr>
          <w:rFonts w:cs="Times New Roman"/>
          <w:i/>
          <w:iCs/>
          <w:lang w:val="en-GB"/>
        </w:rPr>
        <w:t>Rumminococcus</w:t>
      </w:r>
      <w:proofErr w:type="spellEnd"/>
      <w:r w:rsidR="00E05E30" w:rsidRPr="000718B9">
        <w:rPr>
          <w:rFonts w:cs="Times New Roman"/>
          <w:i/>
          <w:iCs/>
          <w:lang w:val="en-GB"/>
        </w:rPr>
        <w:t xml:space="preserve">, </w:t>
      </w:r>
      <w:proofErr w:type="spellStart"/>
      <w:r w:rsidR="00E05E30" w:rsidRPr="000718B9">
        <w:rPr>
          <w:rFonts w:cs="Times New Roman"/>
          <w:i/>
          <w:iCs/>
          <w:lang w:val="en-GB"/>
        </w:rPr>
        <w:t>Blautia</w:t>
      </w:r>
      <w:proofErr w:type="spellEnd"/>
      <w:r w:rsidR="00E05E30" w:rsidRPr="000718B9">
        <w:rPr>
          <w:rFonts w:cs="Times New Roman"/>
          <w:i/>
          <w:iCs/>
          <w:lang w:val="en-GB"/>
        </w:rPr>
        <w:t xml:space="preserve">, </w:t>
      </w:r>
      <w:proofErr w:type="spellStart"/>
      <w:r w:rsidR="00E05E30" w:rsidRPr="000718B9">
        <w:rPr>
          <w:rFonts w:cs="Times New Roman"/>
          <w:i/>
          <w:iCs/>
          <w:lang w:val="en-GB"/>
        </w:rPr>
        <w:t>Coporococcus</w:t>
      </w:r>
      <w:proofErr w:type="spellEnd"/>
      <w:r w:rsidR="00E05E30" w:rsidRPr="000718B9">
        <w:rPr>
          <w:rFonts w:cs="Times New Roman"/>
          <w:i/>
          <w:iCs/>
          <w:lang w:val="en-GB"/>
        </w:rPr>
        <w:t xml:space="preserve">, </w:t>
      </w:r>
      <w:proofErr w:type="spellStart"/>
      <w:r w:rsidR="00E05E30" w:rsidRPr="000718B9">
        <w:rPr>
          <w:rFonts w:cs="Times New Roman"/>
          <w:i/>
          <w:iCs/>
          <w:lang w:val="en-GB"/>
        </w:rPr>
        <w:t>achnospiraceae</w:t>
      </w:r>
      <w:proofErr w:type="spellEnd"/>
      <w:r w:rsidR="00E05E30" w:rsidRPr="000718B9">
        <w:rPr>
          <w:rFonts w:cs="Times New Roman"/>
          <w:i/>
          <w:iCs/>
          <w:lang w:val="en-GB"/>
        </w:rPr>
        <w:t xml:space="preserve"> </w:t>
      </w:r>
      <w:r w:rsidR="00E05E30" w:rsidRPr="000718B9">
        <w:rPr>
          <w:rFonts w:cs="Times New Roman"/>
          <w:lang w:val="en-GB"/>
        </w:rPr>
        <w:t xml:space="preserve">and </w:t>
      </w:r>
      <w:proofErr w:type="spellStart"/>
      <w:r w:rsidR="00E05E30" w:rsidRPr="000718B9">
        <w:rPr>
          <w:rFonts w:cs="Times New Roman"/>
          <w:i/>
          <w:iCs/>
          <w:lang w:val="en-GB"/>
        </w:rPr>
        <w:t>Rumnococcaceae</w:t>
      </w:r>
      <w:proofErr w:type="spellEnd"/>
      <w:r w:rsidR="00E05E30" w:rsidRPr="000718B9">
        <w:rPr>
          <w:rFonts w:cs="Times New Roman"/>
          <w:lang w:val="en-GB"/>
        </w:rPr>
        <w:t xml:space="preserve">. </w:t>
      </w:r>
    </w:p>
    <w:p w14:paraId="02D2027A" w14:textId="18B06ACB" w:rsidR="00E05E30" w:rsidRPr="000718B9" w:rsidRDefault="00630A35" w:rsidP="00630A35">
      <w:pPr>
        <w:rPr>
          <w:rFonts w:cs="Times New Roman"/>
          <w:lang w:val="en-GB"/>
        </w:rPr>
      </w:pPr>
      <w:r w:rsidRPr="000718B9">
        <w:rPr>
          <w:rFonts w:cs="Times New Roman"/>
          <w:lang w:val="en-GB"/>
        </w:rPr>
        <w:t xml:space="preserve">More recently, culture-independent studies using either lysozyme treatment or ethanol shock to remove vegetative cells were used to investigate transmission of spore-forming bacteria between human hosts. In a cohort of healthy human adults, it was shown that lysozyme resistant OTUs are more frequently shared between individuals than other taxa </w:t>
      </w:r>
      <w:r w:rsidRPr="000718B9">
        <w:rPr>
          <w:rFonts w:cs="Times New Roman"/>
          <w:lang w:val="en-GB"/>
        </w:rPr>
        <w:fldChar w:fldCharType="begin"/>
      </w:r>
      <w:r w:rsidRPr="000718B9">
        <w:rPr>
          <w:rFonts w:cs="Times New Roman"/>
          <w:lang w:val="en-GB"/>
        </w:rPr>
        <w:instrText>ADDIN ZOTERO_ITEM CSL_CITATION {"citationID":"6hk28bW0","properties":{"formattedCitation":"(Kearney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w:instrText>
      </w:r>
      <w:r w:rsidRPr="000718B9">
        <w:rPr>
          <w:rFonts w:cs="Times New Roman"/>
          <w:lang w:val="en-GB"/>
        </w:rPr>
        <w:fldChar w:fldCharType="separate"/>
      </w:r>
      <w:r w:rsidRPr="000718B9">
        <w:rPr>
          <w:rFonts w:cs="Times New Roman"/>
          <w:lang w:val="en-GB"/>
        </w:rPr>
        <w:t>(Kearney et al., 2018)</w:t>
      </w:r>
      <w:r w:rsidRPr="000718B9">
        <w:rPr>
          <w:rFonts w:cs="Times New Roman"/>
          <w:lang w:val="en-GB"/>
        </w:rPr>
        <w:fldChar w:fldCharType="end"/>
      </w:r>
      <w:r w:rsidRPr="000718B9">
        <w:rPr>
          <w:rFonts w:cs="Times New Roman"/>
          <w:lang w:val="en-GB"/>
        </w:rPr>
        <w:t xml:space="preserve">. While a comparison of infant-mother pairs showed that the majority of OTUs determined as spore-forming are acquired from environment rather than mother-to-child transmission </w:t>
      </w:r>
      <w:r w:rsidRPr="000718B9">
        <w:rPr>
          <w:rFonts w:cs="Times New Roman"/>
          <w:lang w:val="en-GB"/>
        </w:rPr>
        <w:fldChar w:fldCharType="begin"/>
      </w:r>
      <w:r w:rsidRPr="000718B9">
        <w:rPr>
          <w:rFonts w:cs="Times New Roman"/>
          <w:lang w:val="en-GB"/>
        </w:rPr>
        <w:instrText>ADDIN ZOTERO_ITEM CSL_CITATION {"citationID":"CX2aF87G","properties":{"formattedCitation":"(Avershina et al., 2020)","plainCitation":"(Avershina et al., 2020)","noteIndex":0},"citationItems":[{"id":340,"uris":["http://zotero.org/users/8873894/items/UNE5VPVB"],"itemData":{"id":340,"type":"article-journal","abstract":"Abstract\n            \n              Spore forming bacteria comprise a large part of the human gut microbiota. However, study of the endospores in gut microbiota is limited due to difficulties of culturing and numerous unknown germination factors. In this study we propose a new method for culture-independent characterization of endospores in stool samples. We have enriched DNA of spore-forming bacterial species from stool samples of 40 mother-child pairs from a previously described mother-child cohort. The samples were exposed to a two-step purification process comprising ethanol and ethidium monoazide (EMA) treatment to first kill vegetative cells and to subsequently eliminate their DNA from the samples. The composition of the ethanol-EMA resistant DNA was characterized by 16S rRNA marker gene sequencing. Operational taxonomic units (OTUs) belonging to the Clostridia class (OTU1:\n              Romboutsia\n              , OTU5: Peptostreptococcaceae and OTU14:\n              Clostridium\n              senso stricto) and one belonging to the Bacillus class (OTU20:\n              Turicibacter\n              ) were significantly more abundant in the samples from mothers and children after ethanol-EMA treatment than in those treated with ethanol only. No correlation was observed between ethanol-EMA resistant OTUs detected in children and in their mothers, which indicates that a low level of spore-forming species are shared between mothers and their children. Anaerobic ethanol-resistant bacteria were isolated from all mothers and all children over 1 year of age. Generally, in 70% of the ethanol-treated samples used for anaerobic culturing, 16S rRNA gene sequences of bacterial isolates corresponded to OTUs detected in these samples after EMA treatment. We report a new DNA-based method for the characterization of endospores in gut microbiota. Our method has high degree of correspondence to the culture-based method, although it requires further optimization. Our results also indicate a high turnover of endospores in the gut during the first two years of life, perhaps with a high environmental impact.","container-title":"Scientific Reports","DOI":"10.1038/s41598-020-58858-y","ISSN":"2045-2322","issue":"1","journalAbbreviation":"Sci Rep","language":"en","page":"1832","source":"DOI.org (Crossref)","title":"Culture dependent and independent analyses suggest a low level of sharing of endospore-forming species between mothers and their children","volume":"10","author":[{"family":"Avershina","given":"Ekaterina"},{"family":"Larsen","given":"Marte Gro"},{"family":"Aspholm","given":"Marina"},{"family":"Lindback","given":"Toril"},{"family":"Storrø","given":"Ola"},{"family":"Øien","given":"Torbjørn"},{"family":"Johnsen","given":"Roar"},{"family":"Rudi","given":"Knut"}],"issued":{"date-parts":[["2020",12]]}}}],"schema":"https://github.com/citation-style-language/schema/raw/master/csl-citation.json"}</w:instrText>
      </w:r>
      <w:r w:rsidRPr="000718B9">
        <w:rPr>
          <w:rFonts w:cs="Times New Roman"/>
          <w:lang w:val="en-GB"/>
        </w:rPr>
        <w:fldChar w:fldCharType="separate"/>
      </w:r>
      <w:r w:rsidRPr="000718B9">
        <w:rPr>
          <w:rFonts w:cs="Times New Roman"/>
          <w:lang w:val="en-GB"/>
        </w:rPr>
        <w:t>(</w:t>
      </w:r>
      <w:proofErr w:type="spellStart"/>
      <w:r w:rsidRPr="000718B9">
        <w:rPr>
          <w:rFonts w:cs="Times New Roman"/>
          <w:lang w:val="en-GB"/>
        </w:rPr>
        <w:t>Avershina</w:t>
      </w:r>
      <w:proofErr w:type="spellEnd"/>
      <w:r w:rsidRPr="000718B9">
        <w:rPr>
          <w:rFonts w:cs="Times New Roman"/>
          <w:lang w:val="en-GB"/>
        </w:rPr>
        <w:t xml:space="preserve"> et al., 2020)</w:t>
      </w:r>
      <w:r w:rsidRPr="000718B9">
        <w:rPr>
          <w:rFonts w:cs="Times New Roman"/>
          <w:lang w:val="en-GB"/>
        </w:rPr>
        <w:fldChar w:fldCharType="end"/>
      </w:r>
      <w:r w:rsidRPr="000718B9">
        <w:rPr>
          <w:rFonts w:cs="Times New Roman"/>
          <w:lang w:val="en-GB"/>
        </w:rPr>
        <w:t xml:space="preserve">. The abundance of spore-forming bacteria is lower in infants than adults </w:t>
      </w:r>
      <w:r w:rsidRPr="000718B9">
        <w:rPr>
          <w:rFonts w:cs="Times New Roman"/>
          <w:lang w:val="en-GB"/>
        </w:rPr>
        <w:fldChar w:fldCharType="begin"/>
      </w:r>
      <w:r w:rsidRPr="000718B9">
        <w:rPr>
          <w:rFonts w:cs="Times New Roman"/>
          <w:lang w:val="en-GB"/>
        </w:rPr>
        <w:instrText xml:space="preserve"> ADDIN ZOTERO_ITEM CSL_CITATION {"citationID":"s0JotdMa","properties":{"formattedCitation":"(Korpela et al., 2018; Nayfach et al., 2016)","plainCitation":"(Korpela et al., 2018; Nayfach et al., 2016)","noteIndex":0},"citationItems":[{"id":1595,"uris":["http://zotero.org/users/8873894/items/B2CNGHMC"],"itemData":{"id":1595,"type":"article-journal","abstract":"Vertical transmission of bacteria from mother to infant at birth is postulated to initiate a life-long host-microbe symbiosis, playing an important role in early infant development. However, only the tracking of strictly defined unique microbial strains can clarify where the intestinal bacteria come from, how long the initial colonizers persist, and whether colonization by other strains from the environment can replace existing ones. Using rare single nucleotide variants in fecal metagenomes of infants and their family members, we show strong evidence of selective and persistent transmission of maternal strain populations to the vaginally born infant and their occasional replacement by strains from the environment, including those from family members, in later childhood. Only strains from the classes Actinobacteria and Bacteroidia, which are essential components of the infant microbiome, are transmitted from the mother and persist for at least 1 yr. In contrast, maternal strains of Clostridia, a dominant class in the mother's gut microbiome, are not observed in the infant. Caesarean-born infants show a striking lack of maternal transmission at birth. After the first year, strain influx from the family environment occurs and continues even in adulthood. Fathers appear to be more frequently donors of novel strains to other family members than receivers. Thus, the infant gut is seeded by selected maternal bacteria, which expand to form a stable community, with a rare but stable continuing strain influx over time.","container-title":"Genome Research","DOI":"10.1101/gr.233940.117","ISSN":"1088-9051","issue":"4","journalAbbreviation":"Genome Res","note":"PMID: 29496731\nPMCID: PMC5880245","page":"561-568","source":"PubMed Central","title":"Selective maternal seeding and environment shape the human gut microbiome","volume":"28","author":[{"family":"Korpela","given":"Katri"},{"family":"Costea","given":"Paul"},{"family":"Coelho","given":"Luis Pedro"},{"family":"Kandels-Lewis","given":"Stefanie"},{"family":"Willemsen","given":"Gonneke"},{"family":"Boomsma","given":"Dorret I."},{"family":"Segata","given":"Nicola"},{"family":"Bork","given":"Peer"}],"issued":{"date-parts":[["2018",4]]}}},{"id":372,"uris":["http://zotero.org/users/8873894/items/C8X2T89J"],"itemData":{"id":372,"type":"article-journal","abstract":"We present the Metagenomic Intra-species Diversity Analysis System (MIDAS), which is an integrated computational pipeline for quantifying bacterial species abundance and strain-level genomic variation, including gene content and single-nucleotide polymorphisms (SNPs), from shotgun metagenomes. Our method leverages a database of more than 30,000 bacterial reference genomes that we clustered into species groups. These cover the majority of abundant species in the human microbiome but only a small proportion of microbes in other environments, including soil and seawater. We applied MIDAS to stool metagenomes from 98 Swedish mothers and their infants over one year and used rare SNPs to track strains between hosts. Using this approach, we found that although species compositions of mothers and infants converged over time, strain-level similarity diverged. Specifically, early colonizing bacteria were often transmitted from an infant’s mother, while late colonizing bacteria were often transmitted from other sources in the environment and were enriched for spore-formation genes. We also applied MIDAS to 198 globally distributed marine metagenomes and used gene content to show that many prevalent bacterial species have population structure that correlates with geographic location. Strain-level genetic variants present in metagenomes clearly reveal extensive structure and dynamics that are obscured when data are analyzed at a coarser taxonomic resolution.","container-title":"Genome Research","DOI":"10.1101/gr.201863.115","ISSN":"1088-9051","issue":"11","journalAbbreviation":"Genome Res","note":"PMID: 27803195\nPMCID: PMC5088602","page":"1612-1625","source":"PubMed Central","title":"An integrated metagenomics pipeline for strain profiling reveals novel patterns of bacterial transmission and biogeography","volume":"26","author":[{"family":"Nayfach","given":"Stephen"},{"family":"Rodriguez-Mueller","given":"Beltran"},{"family":"Garud","given":"Nandita"},{"family":"Pollard","given":"Katherine S."}],"issued":{"date-parts":[["2016",11]]}}}],"schema":"https://github.com/citation-style-language/schema/raw/master/csl-citation.json"} </w:instrText>
      </w:r>
      <w:r w:rsidRPr="000718B9">
        <w:rPr>
          <w:rFonts w:cs="Times New Roman"/>
          <w:lang w:val="en-GB"/>
        </w:rPr>
        <w:fldChar w:fldCharType="separate"/>
      </w:r>
      <w:r w:rsidRPr="000718B9">
        <w:rPr>
          <w:rFonts w:cs="Times New Roman"/>
          <w:lang w:val="en-GB"/>
        </w:rPr>
        <w:t xml:space="preserve">(Korpela et al., 2018; </w:t>
      </w:r>
      <w:proofErr w:type="spellStart"/>
      <w:r w:rsidRPr="000718B9">
        <w:rPr>
          <w:rFonts w:cs="Times New Roman"/>
          <w:lang w:val="en-GB"/>
        </w:rPr>
        <w:t>Nayfach</w:t>
      </w:r>
      <w:proofErr w:type="spellEnd"/>
      <w:r w:rsidRPr="000718B9">
        <w:rPr>
          <w:rFonts w:cs="Times New Roman"/>
          <w:lang w:val="en-GB"/>
        </w:rPr>
        <w:t xml:space="preserve"> et al., 2016)</w:t>
      </w:r>
      <w:r w:rsidRPr="000718B9">
        <w:rPr>
          <w:rFonts w:cs="Times New Roman"/>
          <w:lang w:val="en-GB"/>
        </w:rPr>
        <w:fldChar w:fldCharType="end"/>
      </w:r>
      <w:r w:rsidRPr="000718B9">
        <w:rPr>
          <w:rFonts w:cs="Times New Roman"/>
          <w:lang w:val="en-GB"/>
        </w:rPr>
        <w:t xml:space="preserve">, but despite this, they are the initial producers of butyrate, which was shown to protect the gut from intestinal diseases such as inflammatory bowel disease and colon cancer </w:t>
      </w:r>
      <w:r w:rsidRPr="000718B9">
        <w:rPr>
          <w:rFonts w:cs="Times New Roman"/>
          <w:lang w:val="en-GB"/>
        </w:rPr>
        <w:fldChar w:fldCharType="begin"/>
      </w:r>
      <w:r w:rsidRPr="000718B9">
        <w:rPr>
          <w:rFonts w:cs="Times New Roman"/>
          <w:lang w:val="en-GB"/>
        </w:rPr>
        <w:instrText xml:space="preserve"> ADDIN ZOTERO_ITEM CSL_CITATION {"citationID":"gTJg8dEt","properties":{"formattedCitation":"(Appert et al., 2020; Hodgkinson et al., 2023)","plainCitation":"(Appert et al., 2020; Hodgkinson et al., 2023)","noteIndex":0},"citationItems":[{"id":1596,"uris":["http://zotero.org/users/8873894/items/WWYT9LM8"],"itemData":{"id":1596,"type":"article-journal","abstract":"The acquisition of the infant gut microbiota is key to establishing a host-microbiota symbiosis. Microbially produced metabolites tightly interact with the immune system, and the fermentation-derived short-chain fatty acid butyrate is considered an important mediator linked to chronic diseases later in life. The intestinal butyrate-forming bacterial population is taxonomically and functionally diverse and includes endospore formers with high transmission potential. Succession, and contribution of butyrate-producing taxa during infant gut microbiota development have been little investigated. We determined the abundance of major butyrate-forming groups and fermentation metabolites in faeces, isolated, cultivated and characterized the heat-resistant cell population, which included endospores, and compared butyrate formation efficiency of representative taxa in batch cultures. The endospore community contributed about 0.001% to total cells, and was mainly composed of the pioneer butyrate-producing Clostridium sensu stricto. We observed an increase in abundance of Faecalibacterium prausnitzii, butyrate-producing Lachnospiraceae and faecal butyrate levels with age that is likely explained by higher butyrate production capacity of contributing taxa compared with Clostridium sensu stricto. Our data suggest that a successional arrangement and an overall increase in abundance of butyrate forming populations occur during the first year of life, which is associated with an increase of intestinal butyrate formation capacity.","container-title":"Environmental Microbiology","DOI":"10.1111/1462-2920.15167","ISSN":"1462-2920","issue":"9","journalAbbreviation":"Environ Microbiol","language":"eng","note":"PMID: 32686173","page":"3909-3921","source":"PubMed","title":"Initial butyrate producers during infant gut microbiota development are endospore formers","volume":"22","author":[{"family":"Appert","given":"Olivia"},{"family":"Garcia","given":"Alejandro Ramirez"},{"family":"Frei","given":"Remo"},{"family":"Roduit","given":"Caroline"},{"family":"Constancias","given":"Florentin"},{"family":"Neuzil-Bunesova","given":"Vera"},{"family":"Ferstl","given":"Ruth"},{"family":"Zhang","given":"Jianbo"},{"family":"Akdis","given":"Cezmi"},{"family":"Lauener","given":"Roger"},{"family":"Lacroix","given":"Christophe"},{"family":"Schwab","given":"Clarissa"}],"issued":{"date-parts":[["2020",9]]}}},{"id":2995,"uris":["http://zotero.org/users/8873894/items/F7N7EXZU"],"itemData":{"id":2995,"type":"article-journal","abstract":"Butyrate is a key energy source for colonocytes and is produced by the gut microbiota through fermentation of dietary fiber.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inflammation, maintaining the gut barrier, and promoting a healthy microbiome. Butyrate has also shown protective actions in the context of intestinal diseases such as inflammatory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Nutrition","page":"61-75","source":"ScienceDirect","title":"Butyrate’s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2,1]]}}}],"schema":"https://github.com/citation-style-language/schema/raw/master/csl-citation.json"} </w:instrText>
      </w:r>
      <w:r w:rsidRPr="000718B9">
        <w:rPr>
          <w:rFonts w:cs="Times New Roman"/>
          <w:lang w:val="en-GB"/>
        </w:rPr>
        <w:fldChar w:fldCharType="separate"/>
      </w:r>
      <w:r w:rsidRPr="000718B9">
        <w:rPr>
          <w:rFonts w:cs="Times New Roman"/>
          <w:lang w:val="en-GB"/>
        </w:rPr>
        <w:t>(Appert et al., 2020; Hodgkinson et al., 2023)</w:t>
      </w:r>
      <w:r w:rsidRPr="000718B9">
        <w:rPr>
          <w:rFonts w:cs="Times New Roman"/>
          <w:lang w:val="en-GB"/>
        </w:rPr>
        <w:fldChar w:fldCharType="end"/>
      </w:r>
      <w:r w:rsidRPr="000718B9">
        <w:rPr>
          <w:rFonts w:cs="Times New Roman"/>
          <w:lang w:val="en-GB"/>
        </w:rPr>
        <w:t xml:space="preserve">. These recent improvements have vastly improved our knowledge of spore-formers and their environments. Previously regarded as primarily soil-dwellers, it is now apparent that both aerobic and anaerobic spore-formers occupy a significant niche within the human </w:t>
      </w:r>
      <w:r w:rsidR="00E05E30" w:rsidRPr="000718B9">
        <w:rPr>
          <w:rFonts w:cs="Times New Roman"/>
          <w:lang w:val="en-GB"/>
        </w:rPr>
        <w:t>gut</w:t>
      </w:r>
      <w:r w:rsidRPr="000718B9">
        <w:rPr>
          <w:rFonts w:cs="Times New Roman"/>
          <w:lang w:val="en-GB"/>
        </w:rPr>
        <w:t>.</w:t>
      </w:r>
    </w:p>
    <w:p w14:paraId="5F15EC46" w14:textId="77777777" w:rsidR="00630A35" w:rsidRPr="000718B9" w:rsidRDefault="00630A35" w:rsidP="00630A35">
      <w:pPr>
        <w:rPr>
          <w:rFonts w:cs="Times New Roman"/>
          <w:lang w:val="en-GB"/>
        </w:rPr>
      </w:pPr>
      <w:r w:rsidRPr="000718B9">
        <w:rPr>
          <w:rFonts w:cs="Times New Roman"/>
          <w:lang w:val="en-GB"/>
        </w:rPr>
        <w:t xml:space="preserve">A meta-metagenomic analysis of human gut microbiomes revealed that the loss of sporulation genes increases a bacterial species’ relative abundance in an individual, but decreases its overall prevalence in the broader population </w:t>
      </w:r>
      <w:r w:rsidRPr="000718B9">
        <w:rPr>
          <w:rFonts w:cs="Times New Roman"/>
          <w:lang w:val="en-GB"/>
        </w:rPr>
        <w:fldChar w:fldCharType="begin"/>
      </w:r>
      <w:r w:rsidRPr="000718B9">
        <w:rPr>
          <w:rFonts w:cs="Times New Roman"/>
          <w:lang w:val="en-GB"/>
        </w:rPr>
        <w:instrText>ADDIN ZOTERO_ITEM CSL_CITATION {"citationID":"ae5A75Lz","properties":{"formattedCitation":"(Browne et al., 2021)","plainCitation":"(Browne et al., 2021)","noteIndex":0},"citationItems":[{"id":380,"uris":["http://zotero.org/users/8873894/items/N88GZHKF"],"itemData":{"id":380,"type":"article-journal","abstract":"Background: Human-to-human transmission of symbiotic, anaerobic bacteria is a fundamental evolutionary adaptation essential for membership of the human gut microbiota. However, despite its importance, the genomic and biological adaptations underpinning symbiont transmission remain poorly understood. The Firmicutes are a dominant phylum within the intestinal microbiota that are capable of producing resistant endospores that maintain viability within the environment and germinate within the intestine to facilitate transmission. However, the impact of host transmission on the evolutionary and adaptive processes within the intestinal microbiota remains unknown.\nResults: We analyze 1358 genomes of Firmicutes bacteria derived from host and environment-associated habitats. Characterization of genomes as spore-forming based on the presence of sporulation-predictive genes reveals multiple losses of sporulation in many distinct lineages. Loss of sporulation in gut Firmicutes is associated with features of host-adaptation such as genome reduction and specialized metabolic capabilities. Consistent with these data, analysis of 9966 gut metagenomes from adults around the world demonstrates that bacteria now incapable of sporulation are more abundant within individuals but less prevalent in the human population compared to spore-forming bacteria.\nConclusions: Our results suggest host adaptation in gut Firmicutes is an evolutionary trade-off between transmission range and colonization abundance. We reveal host transmission as an underappreciated process that shapes the evolution, assembly, and functions of gut Firmicutes.","container-title":"Genome Biology","DOI":"10.1186/s13059-021-02428-6","ISSN":"1474-760X","issue":"1","journalAbbreviation":"Genome Biol","language":"en","page":"204","source":"DOI.org (Crossref)","title":"Host adaptation in gut Firmicutes is associated with sporulation loss and altered transmission cycle","volume":"22","author":[{"family":"Browne","given":"Hilary P."},{"family":"Almeida","given":"Alexandre"},{"family":"Kumar","given":"Nitin"},{"family":"Vervier","given":"Kevin"},{"family":"Adoum","given":"Anne T."},{"family":"Viciani","given":"Elisa"},{"family":"Dawson","given":"Nicholas J. R."},{"family":"Forster","given":"Samuel C."},{"family":"Cormie","given":"Claire"},{"family":"Goulding","given":"David"},{"family":"Lawley","given":"Trevor D."}],"issued":{"date-parts":[["2021",12]]}}}],"schema":"https://github.com/citation-style-language/schema/raw/master/csl-citation.json"}</w:instrText>
      </w:r>
      <w:r w:rsidRPr="000718B9">
        <w:rPr>
          <w:rFonts w:cs="Times New Roman"/>
          <w:lang w:val="en-GB"/>
        </w:rPr>
        <w:fldChar w:fldCharType="separate"/>
      </w:r>
      <w:r w:rsidRPr="000718B9">
        <w:rPr>
          <w:rFonts w:cs="Times New Roman"/>
          <w:lang w:val="en-GB"/>
        </w:rPr>
        <w:t>(Browne et al., 2021)</w:t>
      </w:r>
      <w:r w:rsidRPr="000718B9">
        <w:rPr>
          <w:rFonts w:cs="Times New Roman"/>
          <w:lang w:val="en-GB"/>
        </w:rPr>
        <w:fldChar w:fldCharType="end"/>
      </w:r>
      <w:r w:rsidRPr="000718B9">
        <w:rPr>
          <w:rFonts w:cs="Times New Roman"/>
          <w:lang w:val="en-GB"/>
        </w:rPr>
        <w:t xml:space="preserve">. At the level of cultured strains, the dynamics of three non-spore-forming and one spore-forming species have been tracked over time in human gut. The non-spore-forming strains of </w:t>
      </w:r>
      <w:r w:rsidRPr="000718B9">
        <w:rPr>
          <w:rFonts w:cs="Times New Roman"/>
          <w:i/>
          <w:iCs/>
          <w:lang w:val="en-GB"/>
        </w:rPr>
        <w:t xml:space="preserve">Bacteroides </w:t>
      </w:r>
      <w:proofErr w:type="spellStart"/>
      <w:r w:rsidRPr="000718B9">
        <w:rPr>
          <w:rFonts w:cs="Times New Roman"/>
          <w:i/>
          <w:iCs/>
          <w:lang w:val="en-GB"/>
        </w:rPr>
        <w:t>vulgatus</w:t>
      </w:r>
      <w:proofErr w:type="spellEnd"/>
      <w:r w:rsidRPr="000718B9">
        <w:rPr>
          <w:rFonts w:cs="Times New Roman"/>
          <w:lang w:val="en-GB"/>
        </w:rPr>
        <w:t xml:space="preserve"> and </w:t>
      </w:r>
      <w:r w:rsidRPr="000718B9">
        <w:rPr>
          <w:rFonts w:cs="Times New Roman"/>
          <w:i/>
          <w:iCs/>
          <w:lang w:val="en-GB"/>
        </w:rPr>
        <w:t>Bacteroides ovatus</w:t>
      </w:r>
      <w:r w:rsidRPr="000718B9">
        <w:rPr>
          <w:rFonts w:cs="Times New Roman"/>
          <w:lang w:val="en-GB"/>
        </w:rPr>
        <w:t xml:space="preserve"> colonized an individual only once, while </w:t>
      </w:r>
      <w:r w:rsidRPr="000718B9">
        <w:rPr>
          <w:rFonts w:cs="Times New Roman"/>
          <w:i/>
          <w:iCs/>
          <w:lang w:val="en-GB"/>
        </w:rPr>
        <w:t>Escherichia coli</w:t>
      </w:r>
      <w:r w:rsidRPr="000718B9">
        <w:rPr>
          <w:rFonts w:cs="Times New Roman"/>
          <w:lang w:val="en-GB"/>
        </w:rPr>
        <w:t xml:space="preserve"> exhibited a mix of strains that were persistent and those that were replaced over time. In contrast, the spore-forming bacterium </w:t>
      </w:r>
      <w:proofErr w:type="spellStart"/>
      <w:r w:rsidRPr="000718B9">
        <w:rPr>
          <w:rFonts w:cs="Times New Roman"/>
          <w:i/>
          <w:iCs/>
          <w:lang w:val="en-GB"/>
        </w:rPr>
        <w:t>Turicibacter</w:t>
      </w:r>
      <w:proofErr w:type="spellEnd"/>
      <w:r w:rsidRPr="000718B9">
        <w:rPr>
          <w:rFonts w:cs="Times New Roman"/>
          <w:i/>
          <w:iCs/>
          <w:lang w:val="en-GB"/>
        </w:rPr>
        <w:t xml:space="preserve"> sanguinis</w:t>
      </w:r>
      <w:r w:rsidRPr="000718B9">
        <w:rPr>
          <w:rFonts w:cs="Times New Roman"/>
          <w:lang w:val="en-GB"/>
        </w:rPr>
        <w:t xml:space="preserve"> showed a pattern of strain replacement with each colonization attempt </w:t>
      </w:r>
      <w:r w:rsidRPr="000718B9">
        <w:rPr>
          <w:rFonts w:cs="Times New Roman"/>
          <w:lang w:val="en-GB"/>
        </w:rPr>
        <w:fldChar w:fldCharType="begin"/>
      </w:r>
      <w:r w:rsidRPr="000718B9">
        <w:rPr>
          <w:rFonts w:cs="Times New Roman"/>
          <w:lang w:val="en-GB"/>
        </w:rPr>
        <w:instrText xml:space="preserve"> ADDIN ZOTERO_ITEM CSL_CITATION {"citationID":"elC5IpkA","properties":{"formattedCitation":"(Martinson et al., 2019; Poyet et al., 2019)","plainCitation":"(Martinson et al., 2019; Poyet et al., 2019)","noteIndex":0},"citationItems":[{"id":1067,"uris":["http://zotero.org/users/8873894/items/NLVU5PGV"],"itemData":{"id":1067,"type":"article-journal","abstract":"Longitudinal human gut microbiome datasets generated using community-level, sequence-based approaches often report a sub-set of long-lived “resident” taxa that rarely, if ever, are lost. This result contrasts with population-level turnover of resident clones on the order of months to years. We hypothesized that the disconnect between these results is due to a relative lack of simultaneous discrimination of the human gut microbiome at both the community and population-levels. Here, we present results of a small, longitudinal cohort study (n = 8 participants) of healthy human adults that identifies static and dynamic members of the gut microbiome at the clone level based on cultivation/genetic discrimination and at the operational taxonomic unit/amplified sequence variant levels based on 16S rRNA sequencing. We provide evidence that there is little “stability” within resident clonal populations of the common gut microbiome bacterial family, Enterobacteriaceae. Given that clones can vary substantially in genome content and that evolutionary processes operate on the population level, these results question the biological relevance of apparent stability at higher taxonomic levels.","container-title":"The ISME Journal","DOI":"10.1038/s41396-019-0435-7","ISSN":"1751-7370","issue":"9","journalAbbreviation":"ISME J","language":"en","license":"2019 The Author(s)","note":"number: 9\npublisher: Nature Publishing Group","page":"2306-2318","source":"www.nature.com","title":"Rethinking gut microbiome residency and the Enterobacteriaceae in healthy human adults","volume":"13","author":[{"family":"Martinson","given":"Jonathan N. V."},{"family":"Pinkham","given":"Nicholas V."},{"family":"Peters","given":"Garrett W."},{"family":"Cho","given":"Hanbyul"},{"family":"Heng","given":"Jeremy"},{"family":"Rauch","given":"Mychiel"},{"family":"Broadaway","given":"Susan C."},{"family":"Walk","given":"Seth T."}],"issued":{"date-parts":[["2019",9]]}}},{"id":175,"uris":["http://zotero.org/users/8873894/items/D73U5VSG"],"itemData":{"id":175,"type":"article-journal","abstract":"Our understanding of how the gut microbiome interacts with its human host has been restrained by limited access to longitudinal datasets to examine stability and dynamics, and by having only a few isolates to test mechanistic hypotheses. Here, we present the Broad Institute-OpenBiome Microbiome Library (BIO-ML), a comprehensive collection of 7,758 gut bacterial isolates paired with 3,632 genome sequences and longitudinal multi-omics data. We show that microbial species maintain stable population sizes within and across humans and that commonly used 'omics' survey methods are more reliable when using averages over multiple days of sampling. Variation of gut metabolites within people over time is associated with amino acid levels, and differences across people are associated with differences in bile acids. Finally, we show that genomic diversification can be used to infer eco-evolutionary dynamics and in vivo selection pressures for strains within individuals. The BIO-ML is a unique resource designed to enable hypothesis-driven microbiome research.","container-title":"Nature Medicine","DOI":"10.1038/s41591-019-0559-3","ISSN":"1546-170X","issue":"9","journalAbbreviation":"Nat Med","language":"eng","note":"PMID: 31477907","page":"1442-1452","source":"PubMed","title":"A library of human gut bacterial isolates paired with longitudinal multiomics data enables mechanistic microbiome research","volume":"25","author":[{"family":"Poyet","given":"M."},{"family":"Groussin","given":"M."},{"family":"Gibbons","given":"S. M."},{"family":"Avila-Pacheco","given":"J."},{"family":"Jiang","given":"X."},{"family":"Kearney","given":"S. M."},{"family":"Perrotta","given":"A. R."},{"family":"Berdy","given":"B."},{"family":"Zhao","given":"S."},{"family":"Lieberman","given":"T. D."},{"family":"Swanson","given":"P. K."},{"family":"Smith","given":"M."},{"family":"Roesemann","given":"S."},{"family":"Alexander","given":"J. E."},{"family":"Rich","given":"S. A."},{"family":"Livny","given":"J."},{"family":"Vlamakis","given":"H."},{"family":"Clish","given":"C."},{"family":"Bullock","given":"K."},{"family":"Deik","given":"A."},{"family":"Scott","given":"J."},{"family":"Pierce","given":"K. A."},{"family":"Xavier","given":"R. J."},{"family":"Alm","given":"E. J."}],"issued":{"date-parts":[["2019",9]]}}}],"schema":"https://github.com/citation-style-language/schema/raw/master/csl-citation.json"} </w:instrText>
      </w:r>
      <w:r w:rsidRPr="000718B9">
        <w:rPr>
          <w:rFonts w:cs="Times New Roman"/>
          <w:lang w:val="en-GB"/>
        </w:rPr>
        <w:fldChar w:fldCharType="separate"/>
      </w:r>
      <w:r w:rsidRPr="000718B9">
        <w:rPr>
          <w:rFonts w:cs="Times New Roman"/>
          <w:lang w:val="en-GB"/>
        </w:rPr>
        <w:t>(Martinson et al., 2019; Poyet et al., 2019)</w:t>
      </w:r>
      <w:r w:rsidRPr="000718B9">
        <w:rPr>
          <w:rFonts w:cs="Times New Roman"/>
          <w:lang w:val="en-GB"/>
        </w:rPr>
        <w:fldChar w:fldCharType="end"/>
      </w:r>
      <w:r w:rsidRPr="000718B9">
        <w:rPr>
          <w:rFonts w:cs="Times New Roman"/>
          <w:lang w:val="en-GB"/>
        </w:rPr>
        <w:t xml:space="preserve">. Interestingly, evidence from a 24-day time series of an individuals’ </w:t>
      </w:r>
      <w:proofErr w:type="spellStart"/>
      <w:r w:rsidRPr="000718B9">
        <w:rPr>
          <w:rFonts w:cs="Times New Roman"/>
          <w:lang w:val="en-GB"/>
        </w:rPr>
        <w:t>16S</w:t>
      </w:r>
      <w:proofErr w:type="spellEnd"/>
      <w:r w:rsidRPr="000718B9">
        <w:rPr>
          <w:rFonts w:cs="Times New Roman"/>
          <w:lang w:val="en-GB"/>
        </w:rPr>
        <w:t xml:space="preserve"> rRNA amplicon sequences showed  higher correlation </w:t>
      </w:r>
      <w:r w:rsidRPr="000718B9">
        <w:rPr>
          <w:rFonts w:cs="Times New Roman"/>
          <w:lang w:val="en-GB"/>
        </w:rPr>
        <w:lastRenderedPageBreak/>
        <w:t xml:space="preserve">between OTUs in the lysozyme resistant fraction than other OTUs in this person’s gut </w:t>
      </w:r>
      <w:r w:rsidRPr="000718B9">
        <w:rPr>
          <w:rFonts w:cs="Times New Roman"/>
          <w:lang w:val="en-GB"/>
        </w:rPr>
        <w:fldChar w:fldCharType="begin"/>
      </w:r>
      <w:r w:rsidRPr="000718B9">
        <w:rPr>
          <w:rFonts w:cs="Times New Roman"/>
          <w:lang w:val="en-GB"/>
        </w:rPr>
        <w:instrText xml:space="preserve"> ADDIN ZOTERO_ITEM CSL_CITATION {"citationID":"XiX6P6Q3","properties":{"formattedCitation":"(Kearney et al., 2018)","plainCitation":"(Kearney et al., 2018)","noteIndex":0},"citationItems":[{"id":381,"uris":["http://zotero.org/users/8873894/items/3G69ZQ2W"],"itemData":{"id":381,"type":"article-journal","abstract":"Endospore-formers in the human microbiota are well adapted for host-to-host transmission, and an emerging consensus points to their role in determining health and disease states in the gut. The human gut, more than any other environment, encourages the maintenance of endospore formation, with recent culture-based work suggesting that over 50% of genera in the microbiome carry genes attributed to this trait. However, there has been limited work on the ecological role of endospores and other stress-resistant cellular states in the human gut. In fact, there is no data to indicate whether organisms with the genetic potential to form endospores actually form endospores in situ and how sporulation varies across individuals and over time. Here we applied a culture-independent protocol to enrich for endospores and other stress-resistant cells in human feces to identify variation in these states across people and within an individual over time. We see that cells with resistant states are more likely than those without to be shared among multiple individuals, which suggests that these resistant states are particularly adapted for cross-host dissemination. Furthermore, we use untargeted fecal metabolomics in 24 individuals and within a person over time to show that these organisms respond to shared environmental signals, and in particular, dietary fatty acids, that likely mediate colonization of recently disturbed human guts.","container-title":"The ISME Journal","DOI":"10.1038/s41396-018-0192-z","ISSN":"1751-7362, 1751-7370","issue":"10","journalAbbreviation":"ISME J","language":"en","page":"2403-2416","source":"DOI.org (Crossref)","title":"Endospores and other lysis-resistant bacteria comprise a widely shared core community within the human microbiota","volume":"12","author":[{"family":"Kearney","given":"Sean M."},{"family":"Gibbons","given":"Sean M."},{"family":"Poyet","given":"Mathilde"},{"family":"Gurry","given":"Thomas"},{"family":"Bullock","given":"Kevin"},{"family":"Allegretti","given":"Jessica R."},{"family":"Clish","given":"Clary B."},{"family":"Alm","given":"Eric J."}],"issued":{"date-parts":[["2018",10]]}}}],"schema":"https://github.com/citation-style-language/schema/raw/master/csl-citation.json"} </w:instrText>
      </w:r>
      <w:r w:rsidRPr="000718B9">
        <w:rPr>
          <w:rFonts w:cs="Times New Roman"/>
          <w:lang w:val="en-GB"/>
        </w:rPr>
        <w:fldChar w:fldCharType="separate"/>
      </w:r>
      <w:r w:rsidRPr="000718B9">
        <w:rPr>
          <w:rFonts w:cs="Times New Roman"/>
          <w:lang w:val="en-GB"/>
        </w:rPr>
        <w:t>(Kearney et al., 2018)</w:t>
      </w:r>
      <w:r w:rsidRPr="000718B9">
        <w:rPr>
          <w:rFonts w:cs="Times New Roman"/>
          <w:lang w:val="en-GB"/>
        </w:rPr>
        <w:fldChar w:fldCharType="end"/>
      </w:r>
      <w:r w:rsidRPr="000718B9">
        <w:rPr>
          <w:rFonts w:cs="Times New Roman"/>
          <w:lang w:val="en-GB"/>
        </w:rPr>
        <w:t xml:space="preserve">, supporting the hypothesis that spore-forming bacteria can establish a persistent community of dormant cells in an environment termed ‘seed bank’ </w:t>
      </w:r>
      <w:r w:rsidRPr="000718B9">
        <w:rPr>
          <w:rFonts w:cs="Times New Roman"/>
          <w:lang w:val="en-GB"/>
        </w:rPr>
        <w:fldChar w:fldCharType="begin"/>
      </w:r>
      <w:r w:rsidRPr="000718B9">
        <w:rPr>
          <w:rFonts w:cs="Times New Roman"/>
          <w:lang w:val="en-GB"/>
        </w:rPr>
        <w:instrText xml:space="preserve"> ADDIN ZOTERO_ITEM CSL_CITATION {"citationID":"KT4TjCTH","properties":{"formattedCitation":"(Lennon &amp; Jones, 2011)","plainCitation":"(Lennon &amp; Jones, 2011)","noteIndex":0},"citationItems":[{"id":2880,"uris":["http://zotero.org/users/8873894/items/NNH74YH5"],"itemData":{"id":2880,"type":"article-journal","abstract":"Dormancy is a bet-hedging strategy used by a wide range of taxa, including microorganisms. It refers to an organism's ability to enter a reversible state of low metabolic activity when faced with unfavourable environmental conditions.Dormant microorganisms generate a seed bank, which consists of individuals that are capable of being resuscitated following environmental change. Seed banks can prolong the persistence of genotypes and populations, and also have important consequences for community- and ecosystem-level processes.A review of the literature demonstrates that dormancy is common and phylogenetically widespread. However, microorganisms have evolved diverse genetic and cellular mechanisms for entering and exiting dormancy.Dormancy may help explain various ecological and evolutionary phenomena in microbial systems, including: patterns of biogeography; outbreaks, blooms and successional dynamics; the maintenance of rare taxa; the inability of microbiologists to culture most microorganisms; and the inherent stability of ecosystem services.","container-title":"Nature Reviews Microbiology","DOI":"10.1038/nrmicro2504","ISSN":"1740-1534","issue":"2","journalAbbreviation":"Nat Rev Microbiol","language":"en","license":"2011 Springer Nature Limited","note":"publisher: Nature Publishing Group","page":"119-130","source":"www.nature.com","title":"Microbial seed banks: the ecological and evolutionary implications of dormancy","title-short":"Microbial seed banks","volume":"9","author":[{"family":"Lennon","given":"Jay T."},{"family":"Jones","given":"Stuart E."}],"issued":{"date-parts":[["2011",2]]}}}],"schema":"https://github.com/citation-style-language/schema/raw/master/csl-citation.json"} </w:instrText>
      </w:r>
      <w:r w:rsidRPr="000718B9">
        <w:rPr>
          <w:rFonts w:cs="Times New Roman"/>
          <w:lang w:val="en-GB"/>
        </w:rPr>
        <w:fldChar w:fldCharType="separate"/>
      </w:r>
      <w:r w:rsidRPr="000718B9">
        <w:rPr>
          <w:rFonts w:cs="Times New Roman"/>
          <w:lang w:val="en-GB"/>
        </w:rPr>
        <w:t>(Lennon &amp; Jones, 2011)</w:t>
      </w:r>
      <w:r w:rsidRPr="000718B9">
        <w:rPr>
          <w:rFonts w:cs="Times New Roman"/>
          <w:lang w:val="en-GB"/>
        </w:rPr>
        <w:fldChar w:fldCharType="end"/>
      </w:r>
      <w:r w:rsidRPr="000718B9">
        <w:rPr>
          <w:rFonts w:cs="Times New Roman"/>
          <w:lang w:val="en-GB"/>
        </w:rPr>
        <w:t xml:space="preserve">. </w:t>
      </w:r>
    </w:p>
    <w:p w14:paraId="20350C51" w14:textId="795A1FF3" w:rsidR="00C66DA0" w:rsidRPr="000718B9" w:rsidRDefault="00C66DA0" w:rsidP="00630A35">
      <w:pPr>
        <w:rPr>
          <w:rFonts w:cs="Times New Roman"/>
          <w:b/>
          <w:bCs/>
          <w:lang w:val="en-GB"/>
        </w:rPr>
      </w:pPr>
      <w:r w:rsidRPr="000718B9">
        <w:rPr>
          <w:rFonts w:cs="Times New Roman"/>
          <w:b/>
          <w:bCs/>
          <w:lang w:val="en-GB"/>
        </w:rPr>
        <w:t xml:space="preserve">2.4 Sporobiota of the human gut </w:t>
      </w:r>
    </w:p>
    <w:p w14:paraId="6B21A54A" w14:textId="3273008A" w:rsidR="00630A35" w:rsidRPr="000718B9" w:rsidRDefault="002800CB" w:rsidP="00630A35">
      <w:pPr>
        <w:rPr>
          <w:rFonts w:eastAsia="Times New Roman" w:cs="Times New Roman"/>
          <w:lang w:val="en-GB"/>
        </w:rPr>
      </w:pPr>
      <w:r w:rsidRPr="000718B9">
        <w:rPr>
          <w:rFonts w:cs="Times New Roman"/>
          <w:lang w:val="en-GB"/>
        </w:rPr>
        <w:t xml:space="preserve">Other mechanisms hypothesized to increase transmission between human hosts include </w:t>
      </w:r>
      <w:r w:rsidRPr="000718B9">
        <w:rPr>
          <w:rFonts w:cs="Times New Roman"/>
          <w:lang w:val="en-GB"/>
        </w:rPr>
        <w:t>aero-toleration</w:t>
      </w:r>
      <w:r w:rsidRPr="000718B9">
        <w:rPr>
          <w:rFonts w:cs="Times New Roman"/>
          <w:lang w:val="en-GB"/>
        </w:rPr>
        <w:t xml:space="preserve">, and viable, but not-culturable state, where an increased survival ability is achieved through decreased metabolic activity and strengthened cell walls </w:t>
      </w:r>
      <w:r w:rsidRPr="000718B9">
        <w:rPr>
          <w:rFonts w:cs="Times New Roman"/>
          <w:lang w:val="en-GB"/>
        </w:rPr>
        <w:fldChar w:fldCharType="begin"/>
      </w:r>
      <w:r w:rsidRPr="000718B9">
        <w:rPr>
          <w:rFonts w:cs="Times New Roman"/>
          <w:lang w:val="en-GB"/>
        </w:rPr>
        <w:instrText xml:space="preserve"> ADDIN ZOTERO_ITEM CSL_CITATION {"citationID":"CvrO8tBN","properties":{"formattedCitation":"(Browne et al., 2017)","plainCitation":"(Browne et al., 2017)","noteIndex":0},"citationItems":[{"id":2982,"uris":["http://zotero.org/users/8873894/items/4W6Y6Z8H"],"itemData":{"id":2982,"type":"article-journal","container-title":"Nature Reviews Microbiology","DOI":"10.1038/nrmicro.2017.50","ISSN":"1740-1526, 1740-1534","issue":"9","journalAbbreviation":"Nat Rev Microbiol","language":"en","page":"531-543","source":"DOI.org (Crossref)","title":"Transmission of the gut microbiota: spreading of health","title-short":"Transmission of the gut microbiota","volume":"15","author":[{"family":"Browne","given":"Hilary P."},{"family":"Neville","given":"B. Anne"},{"family":"Forster","given":"Samuel C."},{"family":"Lawley","given":"Trevor D."}],"issued":{"date-parts":[["2017",9]]}}}],"schema":"https://github.com/citation-style-language/schema/raw/master/csl-citation.json"} </w:instrText>
      </w:r>
      <w:r w:rsidRPr="000718B9">
        <w:rPr>
          <w:rFonts w:cs="Times New Roman"/>
          <w:lang w:val="en-GB"/>
        </w:rPr>
        <w:fldChar w:fldCharType="separate"/>
      </w:r>
      <w:r w:rsidRPr="000718B9">
        <w:rPr>
          <w:rFonts w:cs="Times New Roman"/>
          <w:lang w:val="en-GB"/>
        </w:rPr>
        <w:t>(Browne et al., 2017)</w:t>
      </w:r>
      <w:r w:rsidRPr="000718B9">
        <w:rPr>
          <w:rFonts w:cs="Times New Roman"/>
          <w:lang w:val="en-GB"/>
        </w:rPr>
        <w:fldChar w:fldCharType="end"/>
      </w:r>
      <w:r w:rsidRPr="000718B9">
        <w:rPr>
          <w:rFonts w:cs="Times New Roman"/>
          <w:lang w:val="en-GB"/>
        </w:rPr>
        <w:t xml:space="preserve">. </w:t>
      </w:r>
      <w:r w:rsidRPr="000718B9">
        <w:rPr>
          <w:rFonts w:eastAsia="Times New Roman" w:cs="Times New Roman"/>
          <w:lang w:val="en-GB"/>
        </w:rPr>
        <w:t xml:space="preserve">The likelihood of transmission increases with bacteria’s utilization of different life-history strategies (e.g. dormancy) and their prevalence, however high strain abundance within a host is not typically driven by transmission, but rather the bacterium’s ability to adapt and grow within a host </w:t>
      </w:r>
      <w:r w:rsidRPr="000718B9">
        <w:rPr>
          <w:rFonts w:cs="Times New Roman"/>
          <w:lang w:val="en-GB"/>
        </w:rPr>
        <w:fldChar w:fldCharType="begin"/>
      </w:r>
      <w:r w:rsidRPr="000718B9">
        <w:rPr>
          <w:rFonts w:cs="Times New Roman"/>
          <w:lang w:val="en-GB"/>
        </w:rPr>
        <w:instrText xml:space="preserve"> ADDIN ZOTERO_ITEM CSL_CITATION {"citationID":"IU5bP44E","properties":{"formattedCitation":"(Valles-Colomer et al., 2023)","plainCitation":"(Valles-Colomer et al., 2023)","noteIndex":0},"citationItems":[{"id":2030,"uris":["http://zotero.org/users/8873894/items/8PIGTYZD"],"itemData":{"id":2030,"type":"article-journal","abstract":"The human microbiome is an integral component of the human body and a co-determinant of several health conditions1,2. However, the extent to which interpersonal relations shape the individual genetic makeup of the microbiome and its transmission within and across populations remains largely unknown3,4. Here, capitalizing on more than 9,700 human metagenomes and computational strain-level profiling, we detected extensive bacterial strain sharing across individuals (more than 10 million instances) with distinct mother-to-infant, intra-household and intra-population transmission patterns. Mother-to-infant gut microbiome transmission was considerable and stable during infancy (around 50% of the same strains among shared species (strain-sharing rate)) and remained detectable at older ages. By contrast, the transmission of the oral microbiome occurred largely horizontally and was enhanced by the duration of cohabitation. There was substantial strain sharing among cohabiting individuals, with 12% and 32% median strain-sharing rates for the gut and oral microbiomes, and time since cohabitation affected strain sharing more than age or genetics did. Bacterial strain sharing additionally recapitulated host population structures better than species-level profiles did. Finally, distinct taxa appeared as efficient spreaders across transmission modes and were associated with different predicted bacterial phenotypes linked with out-of-host survival capabilities. The extent of microorganism transmission that we describe underscores its relevance in human microbiome studies5, especially those on non-infectious, microbiome-associated diseases.","container-title":"Nature","DOI":"10.1038/s41586-022-05620-1","ISSN":"1476-4687","issue":"7946","language":"en","license":"2023 The Author(s)","note":"number: 7946\npublisher: Nature Publishing Group","page":"125-135","source":"www.nature.com","title":"The person-to-person transmission landscape of the gut and oral microbiomes","volume":"614","author":[{"family":"Valles-Colomer","given":"Mireia"},{"family":"Blanco-Míguez","given":"Aitor"},{"family":"Manghi","given":"Paolo"},{"family":"Asnicar","given":"Francesco"},{"family":"Dubois","given":"Leonard"},{"family":"Golzato","given":"Davide"},{"family":"Armanini","given":"Federica"},{"family":"Cumbo","given":"Fabio"},{"family":"Huang","given":"Kun D."},{"family":"Manara","given":"Serena"},{"family":"Masetti","given":"Giulia"},{"family":"Pinto","given":"Federica"},{"family":"Piperni","given":"Elisa"},{"family":"Punčochář","given":"Michal"},{"family":"Ricci","given":"Liviana"},{"family":"Zolfo","given":"Moreno"},{"family":"Farrant","given":"Olivia"},{"family":"Goncalves","given":"Adriana"},{"family":"Selma-Royo","given":"Marta"},{"family":"Binetti","given":"Ana G."},{"family":"Becerra","given":"Jimmy E."},{"family":"Han","given":"Bei"},{"family":"Lusingu","given":"John"},{"family":"Amuasi","given":"John"},{"family":"Amoroso","given":"Loredana"},{"family":"Visconti","given":"Alessia"},{"family":"Steves","given":"Claire M."},{"family":"Falchi","given":"Mario"},{"family":"Filosi","given":"Michele"},{"family":"Tett","given":"Adrian"},{"family":"Last","given":"Anna"},{"family":"Xu","given":"Qian"},{"family":"Qin","given":"Nan"},{"family":"Qin","given":"Huanlong"},{"family":"May","given":"Jürgen"},{"family":"Eibach","given":"Daniel"},{"family":"Corrias","given":"Maria Valeria"},{"family":"Ponzoni","given":"Mirco"},{"family":"Pasolli","given":"Edoardo"},{"family":"Spector","given":"Tim D."},{"family":"Domenici","given":"Enrico"},{"family":"Collado","given":"Maria Carmen"},{"family":"Segata","given":"Nicola"}],"issued":{"date-parts":[["2023",2]]}}}],"schema":"https://github.com/citation-style-language/schema/raw/master/csl-citation.json"} </w:instrText>
      </w:r>
      <w:r w:rsidRPr="000718B9">
        <w:rPr>
          <w:rFonts w:cs="Times New Roman"/>
          <w:lang w:val="en-GB"/>
        </w:rPr>
        <w:fldChar w:fldCharType="separate"/>
      </w:r>
      <w:r w:rsidRPr="000718B9">
        <w:rPr>
          <w:rFonts w:cs="Times New Roman"/>
          <w:lang w:val="en-GB"/>
        </w:rPr>
        <w:t>(Valles-Colomer et al., 2023)</w:t>
      </w:r>
      <w:r w:rsidRPr="000718B9">
        <w:rPr>
          <w:rFonts w:cs="Times New Roman"/>
          <w:lang w:val="en-GB"/>
        </w:rPr>
        <w:fldChar w:fldCharType="end"/>
      </w:r>
      <w:r w:rsidRPr="000718B9">
        <w:rPr>
          <w:rFonts w:cs="Times New Roman"/>
          <w:lang w:val="en-GB"/>
        </w:rPr>
        <w:t>.</w:t>
      </w:r>
      <w:r w:rsidR="0014682D" w:rsidRPr="000718B9">
        <w:rPr>
          <w:rFonts w:cs="Times New Roman"/>
          <w:lang w:val="en-GB"/>
        </w:rPr>
        <w:t xml:space="preserve"> </w:t>
      </w:r>
      <w:r w:rsidR="00630A35" w:rsidRPr="000718B9">
        <w:rPr>
          <w:rFonts w:eastAsia="Times New Roman" w:cs="Times New Roman"/>
          <w:lang w:val="en-GB"/>
        </w:rPr>
        <w:t xml:space="preserve">Sporobiota plays a crucial role in the horizontal gene transfer of both commensal and pathogenic bacteria between different hosts and/or environments </w:t>
      </w:r>
      <w:r w:rsidR="00630A35" w:rsidRPr="000718B9">
        <w:rPr>
          <w:rFonts w:eastAsia="Times New Roman" w:cs="Times New Roman"/>
          <w:lang w:val="en-GB"/>
        </w:rPr>
        <w:fldChar w:fldCharType="begin"/>
      </w:r>
      <w:r w:rsidR="00630A35" w:rsidRPr="000718B9">
        <w:rPr>
          <w:rFonts w:eastAsia="Times New Roman" w:cs="Times New Roman"/>
          <w:lang w:val="en-GB"/>
        </w:rPr>
        <w:instrText xml:space="preserve"> ADDIN ZOTERO_ITEM CSL_CITATION {"citationID":"PJS5smZ5","properties":{"formattedCitation":"(Broaders et al., 2013)","plainCitation":"(Broaders et al., 2013)","noteIndex":0},"citationItems":[{"id":1966,"uris":["http://zotero.org/users/8873894/items/CE53ECHI"],"itemData":{"id":1966,"type":"article-journal","abstract":"The human intestine is an important location for horizontal gene transfer (HGT) due to the presence of a densely populated community of microorganisms which are essential to the health of the human superorganism. HGT in this niche has the potential to influence the evolution of members of this microbial community and to mediate the spread of antibiotic resistance genes from commensal organisms to potential pathogens. Recent culture-independent techniques and metagenomic studies have provided an insight into the distribution of mobile genetic elements (MGEs) and the extent of HGT in the human gastrointestinal tract. In this mini-review, we explore the current knowledge of mobile genetic elements in the gastrointestinal tract, the progress of research into the distribution of antibiotic resistance genes in the gut and the potential role of MGEs in the spread of antibiotic resistance. In the face of reduced treatment options for many clinical infections, understanding environmental and commensal antibiotic resistance and spread is critical to the future development of meaningful and long lasting anti-microbial therapies.","container-title":"Gut Microbes","DOI":"10.4161/gmic.24627","ISSN":"1949-0976","issue":"4","journalAbbreviation":"Gut Microbes","note":"PMID: 23651955\nPMCID: PMC3744512","page":"271-280","source":"PubMed Central","title":"Mobile genetic elements of the human gastrointestinal tract","volume":"4","author":[{"family":"Broaders","given":"Eileen"},{"family":"Gahan","given":"Cormac G.M."},{"family":"Marchesi","given":"Julian R."}],"issued":{"date-parts":[["2013",7,1]]}}}],"schema":"https://github.com/citation-style-language/schema/raw/master/csl-citation.json"} </w:instrText>
      </w:r>
      <w:r w:rsidR="00630A35" w:rsidRPr="000718B9">
        <w:rPr>
          <w:rFonts w:eastAsia="Times New Roman" w:cs="Times New Roman"/>
          <w:lang w:val="en-GB"/>
        </w:rPr>
        <w:fldChar w:fldCharType="separate"/>
      </w:r>
      <w:r w:rsidR="00630A35" w:rsidRPr="000718B9">
        <w:rPr>
          <w:rFonts w:cs="Times New Roman"/>
          <w:lang w:val="en-GB"/>
        </w:rPr>
        <w:t>(Broaders et al., 2013)</w:t>
      </w:r>
      <w:r w:rsidR="00630A35" w:rsidRPr="000718B9">
        <w:rPr>
          <w:rFonts w:eastAsia="Times New Roman" w:cs="Times New Roman"/>
          <w:lang w:val="en-GB"/>
        </w:rPr>
        <w:fldChar w:fldCharType="end"/>
      </w:r>
      <w:r w:rsidR="00630A35" w:rsidRPr="000718B9">
        <w:rPr>
          <w:rFonts w:eastAsia="Times New Roman" w:cs="Times New Roman"/>
          <w:lang w:val="en-GB"/>
        </w:rPr>
        <w:t xml:space="preserve">. The spread of antimicrobial resistance has become an increasing concern, with horizontal gene transfer playing a particularly significant role in this phenomenon </w:t>
      </w:r>
      <w:r w:rsidR="00630A35" w:rsidRPr="000718B9">
        <w:rPr>
          <w:rFonts w:eastAsia="Times New Roman" w:cs="Times New Roman"/>
          <w:lang w:val="en-GB"/>
        </w:rPr>
        <w:fldChar w:fldCharType="begin"/>
      </w:r>
      <w:r w:rsidR="00630A35" w:rsidRPr="000718B9">
        <w:rPr>
          <w:rFonts w:eastAsia="Times New Roman" w:cs="Times New Roman"/>
          <w:lang w:val="en-GB"/>
        </w:rPr>
        <w:instrText xml:space="preserve"> ADDIN ZOTERO_ITEM CSL_CITATION {"citationID":"MeZcMuDi","properties":{"formattedCitation":"(McInnes et al., 2020)","plainCitation":"(McInnes et al., 2020)","noteIndex":0},"citationItems":[{"id":1963,"uris":["http://zotero.org/users/8873894/items/4J86BWIN"],"itemData":{"id":1963,"type":"article-journal","abstract":"Infections caused by antibiotic-resistant bacteria are a major threat to public health. The pathogens causing these infections can acquire antibiotic resistance genes in a process termed horizontal gene transfer (HGT). HGT is a common event in the human gut microbiome, that is, the microbial ecosystem of the human intestinal tract. HGT in the gut microbiome can occur via different mechanisms of which transduction and conjugation have been best characterised. Novel bioinformatic tools and experimental approaches have been developed to determine the association of antibiotic resistance genes with their microbial hosts and to quantify the extent of HGT in the gut microbiome. Insights from studies into HGT in the gut microbiome may lead to the development of novel interventions to minimise the spread of antibiotic resistance genes among commensals and opportunistic pathogens.","container-title":"Current Opinion in Microbiology","DOI":"10.1016/j.mib.2020.02.002","ISSN":"1879-0364","journalAbbreviation":"Curr Opin Microbiol","language":"eng","note":"PMID: 32143027","page":"35-43","source":"PubMed","title":"Horizontal transfer of antibiotic resistance genes in the human gut microbiome","volume":"53","author":[{"family":"McInnes","given":"Ross S."},{"family":"McCallum","given":"Gregory E."},{"family":"Lamberte","given":"Lisa E."},{"family":"Schaik","given":"Willem","non-dropping-particle":"van"}],"issued":{"date-parts":[["2020",2]]}}}],"schema":"https://github.com/citation-style-language/schema/raw/master/csl-citation.json"} </w:instrText>
      </w:r>
      <w:r w:rsidR="00630A35" w:rsidRPr="000718B9">
        <w:rPr>
          <w:rFonts w:eastAsia="Times New Roman" w:cs="Times New Roman"/>
          <w:lang w:val="en-GB"/>
        </w:rPr>
        <w:fldChar w:fldCharType="separate"/>
      </w:r>
      <w:r w:rsidR="00630A35" w:rsidRPr="000718B9">
        <w:rPr>
          <w:rFonts w:cs="Times New Roman"/>
          <w:lang w:val="en-GB"/>
        </w:rPr>
        <w:t>(McInnes et al., 2020)</w:t>
      </w:r>
      <w:r w:rsidR="00630A35" w:rsidRPr="000718B9">
        <w:rPr>
          <w:rFonts w:eastAsia="Times New Roman" w:cs="Times New Roman"/>
          <w:lang w:val="en-GB"/>
        </w:rPr>
        <w:fldChar w:fldCharType="end"/>
      </w:r>
      <w:r w:rsidR="00630A35" w:rsidRPr="000718B9">
        <w:rPr>
          <w:rFonts w:eastAsia="Times New Roman" w:cs="Times New Roman"/>
          <w:lang w:val="en-GB"/>
        </w:rPr>
        <w:t xml:space="preserve">. Traditional molecular methods for investigating gut microbiota are not suitable for researching spore-forming bacteria due to the hardy outer cortex of spores, which hinders DNA isolation </w:t>
      </w:r>
      <w:r w:rsidR="00630A35" w:rsidRPr="000718B9">
        <w:rPr>
          <w:rFonts w:eastAsia="Times New Roman" w:cs="Times New Roman"/>
          <w:lang w:val="en-GB"/>
        </w:rPr>
        <w:fldChar w:fldCharType="begin"/>
      </w:r>
      <w:r w:rsidR="00630A35" w:rsidRPr="000718B9">
        <w:rPr>
          <w:rFonts w:eastAsia="Times New Roman" w:cs="Times New Roman"/>
          <w:lang w:val="en-GB"/>
        </w:rPr>
        <w:instrText xml:space="preserve"> ADDIN ZOTERO_ITEM CSL_CITATION {"citationID":"xSjr0IuG","properties":{"formattedCitation":"(Setlow, 2007)","plainCitation":"(Setlow, 2007)","noteIndex":0},"citationItems":[{"id":2003,"uris":["http://zotero.org/users/8873894/items/3GXVZUUG"],"itemData":{"id":2003,"type":"article-journal","container-title":"Trends in Microbiology","DOI":"10.1016/j.tim.2007.02.004","ISSN":"0966842X","issue":"4","journalAbbreviation":"Trends in Microbiology","language":"en","page":"172-180","source":"DOI.org (Crossref)","title":"I will survive: DNA protection in bacterial spores","title-short":"I will survive","volume":"15","author":[{"family":"Setlow","given":"Peter"}],"issued":{"date-parts":[["2007",4]]}}}],"schema":"https://github.com/citation-style-language/schema/raw/master/csl-citation.json"} </w:instrText>
      </w:r>
      <w:r w:rsidR="00630A35" w:rsidRPr="000718B9">
        <w:rPr>
          <w:rFonts w:eastAsia="Times New Roman" w:cs="Times New Roman"/>
          <w:lang w:val="en-GB"/>
        </w:rPr>
        <w:fldChar w:fldCharType="separate"/>
      </w:r>
      <w:r w:rsidR="00630A35" w:rsidRPr="000718B9">
        <w:rPr>
          <w:rFonts w:cs="Times New Roman"/>
          <w:lang w:val="en-GB"/>
        </w:rPr>
        <w:t>(</w:t>
      </w:r>
      <w:proofErr w:type="spellStart"/>
      <w:r w:rsidR="00630A35" w:rsidRPr="000718B9">
        <w:rPr>
          <w:rFonts w:cs="Times New Roman"/>
          <w:lang w:val="en-GB"/>
        </w:rPr>
        <w:t>Setlow</w:t>
      </w:r>
      <w:proofErr w:type="spellEnd"/>
      <w:r w:rsidR="00630A35" w:rsidRPr="000718B9">
        <w:rPr>
          <w:rFonts w:cs="Times New Roman"/>
          <w:lang w:val="en-GB"/>
        </w:rPr>
        <w:t>, 2007)</w:t>
      </w:r>
      <w:r w:rsidR="00630A35" w:rsidRPr="000718B9">
        <w:rPr>
          <w:rFonts w:eastAsia="Times New Roman" w:cs="Times New Roman"/>
          <w:lang w:val="en-GB"/>
        </w:rPr>
        <w:fldChar w:fldCharType="end"/>
      </w:r>
      <w:r w:rsidR="00630A35" w:rsidRPr="000718B9">
        <w:rPr>
          <w:rFonts w:eastAsia="Times New Roman" w:cs="Times New Roman"/>
          <w:lang w:val="en-GB"/>
        </w:rPr>
        <w:t xml:space="preserve">. Moreover, there is a sequencing bias as bacteria in the phylum </w:t>
      </w:r>
      <w:r w:rsidR="00630A35" w:rsidRPr="000718B9">
        <w:rPr>
          <w:rFonts w:eastAsia="Times New Roman" w:cs="Times New Roman"/>
          <w:i/>
          <w:iCs/>
          <w:lang w:val="en-GB"/>
        </w:rPr>
        <w:t>Bacillota (Firmicutes)</w:t>
      </w:r>
      <w:r w:rsidR="00630A35" w:rsidRPr="000718B9">
        <w:rPr>
          <w:rFonts w:eastAsia="Times New Roman" w:cs="Times New Roman"/>
          <w:lang w:val="en-GB"/>
        </w:rPr>
        <w:t xml:space="preserve"> possess more </w:t>
      </w:r>
      <w:proofErr w:type="spellStart"/>
      <w:r w:rsidR="00630A35" w:rsidRPr="000718B9">
        <w:rPr>
          <w:rFonts w:eastAsia="Times New Roman" w:cs="Times New Roman"/>
          <w:lang w:val="en-GB"/>
        </w:rPr>
        <w:t>rrn</w:t>
      </w:r>
      <w:proofErr w:type="spellEnd"/>
      <w:r w:rsidR="00630A35" w:rsidRPr="000718B9">
        <w:rPr>
          <w:rFonts w:eastAsia="Times New Roman" w:cs="Times New Roman"/>
          <w:lang w:val="en-GB"/>
        </w:rPr>
        <w:t xml:space="preserve"> operons (on average 7.01 copies), making it difficult to ensure the reliability of targeted sequencing </w:t>
      </w:r>
      <w:r w:rsidR="00630A35" w:rsidRPr="000718B9">
        <w:rPr>
          <w:rFonts w:eastAsia="Times New Roman" w:cs="Times New Roman"/>
          <w:lang w:val="en-GB"/>
        </w:rPr>
        <w:fldChar w:fldCharType="begin"/>
      </w:r>
      <w:r w:rsidR="00630A35" w:rsidRPr="000718B9">
        <w:rPr>
          <w:rFonts w:eastAsia="Times New Roman" w:cs="Times New Roman"/>
          <w:lang w:val="en-GB"/>
        </w:rPr>
        <w:instrText xml:space="preserve"> ADDIN ZOTERO_ITEM CSL_CITATION {"citationID":"6akzQfaS","properties":{"formattedCitation":"(Filippidou et al., 2015)","plainCitation":"(Filippidou et al., 2015)","noteIndex":0},"citationItems":[{"id":2064,"uris":["http://zotero.org/users/8873894/items/76D9CDDQ"],"itemData":{"id":2064,"type":"article-journal","abstract":"Microbial diversity studies based on metagenomic sequencing have greatly enhanced our knowledge of the microbial world. However, one caveat is the fact that not all microorganisms are equally well detected, questioning the universality of this approach. Firmicutes are known to be a dominant bacterial group. Several Firmicutes species are endospore formers and this property makes them hardy in potentially harsh conditions, and thus likely to be present in a wide variety of environments, even as residents and not functional players. While metagenomic libraries can be expected to contain endospore formers, endospores are known to be resilient to many traditional methods of DNA isolation and thus potentially undetectable. In this study we evaluated the representation of endospore-forming Firmicutes in 73 published metagenomic datasets using two molecular markers unique to this bacterial group (spo0A and gpr). Both markers were notably absent in well-known habitats of Firmicutes such as soil, with spo0A found only in three mammalian gut microbiomes. A tailored DNA extraction method resulted in the detection of a large diversity of endospore-formers in amplicon sequencing of the 16S rRNA and spo0A genes. However, shotgun classification was still poor with only a minor fraction of the community assigned to Firmicutes. Thus, removing a specific bias in a molecular workflow improves detection in amplicon sequencing, but it was insufficient to overcome the limitations for detecting endospore-forming Firmicutes in whole-genome metagenomics. In conclusion, this study highlights the importance of understanding the specific methodological biases that can contribute to improve the universality of metagenomic approaches.","container-title":"Computational and Structural Biotechnology Journal","DOI":"10.1016/j.csbj.2015.04.002","ISSN":"2001-0370","journalAbbreviation":"Computational and Structural Biotechnology Journal","language":"en","page":"299-306","source":"ScienceDirect","title":"Under-detection of endospore-forming Firmicutes in metagenomic data","volume":"13","author":[{"family":"Filippidou","given":"Sevasti"},{"family":"Junier","given":"Thomas"},{"family":"Wunderlin","given":"Tina"},{"family":"Lo","given":"Chien-Chi"},{"family":"Li","given":"Po-E"},{"family":"Chain","given":"Patrick S."},{"family":"Junier","given":"Pilar"}],"issued":{"date-parts":[["2015",1,1]]}}}],"schema":"https://github.com/citation-style-language/schema/raw/master/csl-citation.json"} </w:instrText>
      </w:r>
      <w:r w:rsidR="00630A35" w:rsidRPr="000718B9">
        <w:rPr>
          <w:rFonts w:eastAsia="Times New Roman" w:cs="Times New Roman"/>
          <w:lang w:val="en-GB"/>
        </w:rPr>
        <w:fldChar w:fldCharType="separate"/>
      </w:r>
      <w:r w:rsidR="00630A35" w:rsidRPr="000718B9">
        <w:rPr>
          <w:rFonts w:cs="Times New Roman"/>
          <w:lang w:val="en-GB"/>
        </w:rPr>
        <w:t>(Filippidou et al., 2015)</w:t>
      </w:r>
      <w:r w:rsidR="00630A35" w:rsidRPr="000718B9">
        <w:rPr>
          <w:rFonts w:eastAsia="Times New Roman" w:cs="Times New Roman"/>
          <w:lang w:val="en-GB"/>
        </w:rPr>
        <w:fldChar w:fldCharType="end"/>
      </w:r>
      <w:r w:rsidR="00630A35" w:rsidRPr="000718B9">
        <w:rPr>
          <w:rFonts w:eastAsia="Times New Roman" w:cs="Times New Roman"/>
          <w:lang w:val="en-GB"/>
        </w:rPr>
        <w:t>.</w:t>
      </w:r>
    </w:p>
    <w:p w14:paraId="27019386" w14:textId="1D97D587" w:rsidR="00B3513B" w:rsidRPr="000718B9" w:rsidRDefault="00B3513B" w:rsidP="00630A35">
      <w:pPr>
        <w:rPr>
          <w:rFonts w:cs="Times New Roman"/>
          <w:lang w:val="en-GB"/>
        </w:rPr>
      </w:pPr>
      <w:r w:rsidRPr="000718B9">
        <w:rPr>
          <w:rFonts w:cs="Times New Roman"/>
          <w:lang w:val="en-GB"/>
        </w:rPr>
        <w:t>Recent metagenomic studies treat spores and other resistant forms as a “seed bank” within the gut, analogous to seed banks in macroecology: a pool of dormant or slow‑growing cells that can persist at low abundance and re‑activate when conditions change. Lennon and colleagues have developed the seed‑bank framework in microbial ecology, arguing that dormancy and resistant life stages increase community persistence, buffer against environmental variability and maintain diversity by decoupling survival from immediate growth. Applied to the gut, this perspective implies that sporobiota contribute disproportionately to long‑term stability, resilience and functional redundancy by providing a reservoir of taxa that can re‑emerge after disturbances such as antibiotics, dietary shifts or infections.</w:t>
      </w:r>
    </w:p>
    <w:p w14:paraId="72173FC0" w14:textId="278E1CAF" w:rsidR="0014682D" w:rsidRPr="000718B9" w:rsidRDefault="00C66DA0" w:rsidP="00E05E30">
      <w:pPr>
        <w:pStyle w:val="ListParagraph"/>
        <w:numPr>
          <w:ilvl w:val="0"/>
          <w:numId w:val="13"/>
        </w:numPr>
        <w:rPr>
          <w:rFonts w:cs="Times New Roman"/>
          <w:b/>
          <w:bCs/>
          <w:lang w:val="en-GB"/>
        </w:rPr>
      </w:pPr>
      <w:r w:rsidRPr="000718B9">
        <w:rPr>
          <w:rFonts w:cs="Times New Roman"/>
          <w:b/>
          <w:bCs/>
          <w:lang w:val="en-GB"/>
        </w:rPr>
        <w:t xml:space="preserve">Culturomics of human gut bacteria </w:t>
      </w:r>
    </w:p>
    <w:p w14:paraId="268F0D5D" w14:textId="696D9751" w:rsidR="00B3513B" w:rsidRPr="000718B9" w:rsidRDefault="00630A35" w:rsidP="00146121">
      <w:pPr>
        <w:rPr>
          <w:rFonts w:eastAsia="Times New Roman" w:cs="Times New Roman"/>
          <w:lang w:val="en-GB"/>
        </w:rPr>
      </w:pPr>
      <w:r w:rsidRPr="000718B9">
        <w:rPr>
          <w:rFonts w:cs="Times New Roman"/>
          <w:lang w:val="en-GB"/>
        </w:rPr>
        <w:t>The cultivation of prokaryotes to obtain pure isolates remains essential to fully characterize the microorganisms residing in the gut</w:t>
      </w:r>
      <w:r w:rsidR="00B3513B" w:rsidRPr="000718B9">
        <w:rPr>
          <w:rFonts w:cs="Times New Roman"/>
          <w:lang w:val="en-GB"/>
        </w:rPr>
        <w:t>, despite the power of amplicon and metagenomic sequencing</w:t>
      </w:r>
      <w:r w:rsidR="00C66DA0" w:rsidRPr="000718B9">
        <w:rPr>
          <w:rFonts w:cs="Times New Roman"/>
          <w:lang w:val="en-GB"/>
        </w:rPr>
        <w:t xml:space="preserve"> </w:t>
      </w:r>
      <w:r w:rsidR="00C66DA0" w:rsidRPr="000718B9">
        <w:rPr>
          <w:rFonts w:cs="Times New Roman"/>
          <w:lang w:val="en-GB"/>
        </w:rPr>
        <w:fldChar w:fldCharType="begin"/>
      </w:r>
      <w:r w:rsidR="00C66DA0" w:rsidRPr="000718B9">
        <w:rPr>
          <w:rFonts w:cs="Times New Roman"/>
          <w:lang w:val="en-GB"/>
        </w:rPr>
        <w:instrText xml:space="preserve"> ADDIN ZOTERO_ITEM CSL_CITATION {"citationID":"SYis03GJ","properties":{"formattedCitation":"(Lagier et al., 2018)","plainCitation":"(Lagier et al., 2018)","noteIndex":0},"citationItems":[{"id":329,"uris":["http://zotero.org/users/8873894/items/ADFRVAB3"],"itemData":{"id":329,"type":"article-journal","abstract":"The gut microbiota has an important role in the maintenance of human health and in disease pathogenesis. This importance was realized through the advent of omics technologies and their application to improve our knowledge of the gut microbial ecosystem. In particular, the use of metagenomics has revealed the diversity of the gut microbiota, but it has also highlighted that the majority of bacteria in the gut remain uncultured. Culturomics was developed to culture and identify unknown bacteria that inhabit the human gut as a part of the rebirth of culture techniques in microbiology. Consisting of multiple culture conditions combined with the rapid identification of bacteria, the culturomic approach has enabled the culture of hundreds of new microorganisms that are associated with humans, providing exciting new perspectives on host–bacteria relationships. In this Review , we discuss why and how culturomics was developed. We describe how culturomics has extended our understanding of bacterial diversity and then explore how culturomics can be applied to the study of the human microbiota and the potential implications for human health.","container-title":"Nature Reviews Microbiology","DOI":"10.1038/s41579-018-0041-0","ISSN":"1740-1526, 1740-1534","issue":"9","journalAbbreviation":"Nat Rev Microbiol","language":"en","page":"540-550","source":"DOI.org (Crossref)","title":"Culturing the human microbiota and culturomics","volume":"16","author":[{"family":"Lagier","given":"Jean-Christophe"},{"family":"Dubourg","given":"Grégory"},{"family":"Million","given":"Matthieu"},{"family":"Cadoret","given":"Frédéric"},{"family":"Bilen","given":"Melhem"},{"family":"Fenollar","given":"Florence"},{"family":"Levasseur","given":"Anthony"},{"family":"Rolain","given":"Jean-Marc"},{"family":"Fournier","given":"Pierre-Edouard"},{"family":"Raoult","given":"Didier"}],"issued":{"date-parts":[["2018",9]]}}}],"schema":"https://github.com/citation-style-language/schema/raw/master/csl-citation.json"} </w:instrText>
      </w:r>
      <w:r w:rsidR="00C66DA0" w:rsidRPr="000718B9">
        <w:rPr>
          <w:rFonts w:cs="Times New Roman"/>
          <w:lang w:val="en-GB"/>
        </w:rPr>
        <w:fldChar w:fldCharType="separate"/>
      </w:r>
      <w:r w:rsidR="00C66DA0" w:rsidRPr="000718B9">
        <w:rPr>
          <w:rFonts w:cs="Times New Roman"/>
          <w:lang w:val="en-GB"/>
        </w:rPr>
        <w:t>(Lagier et al., 2018)</w:t>
      </w:r>
      <w:r w:rsidR="00C66DA0" w:rsidRPr="000718B9">
        <w:rPr>
          <w:rFonts w:cs="Times New Roman"/>
          <w:lang w:val="en-GB"/>
        </w:rPr>
        <w:fldChar w:fldCharType="end"/>
      </w:r>
      <w:r w:rsidR="00C66DA0" w:rsidRPr="000718B9">
        <w:rPr>
          <w:rFonts w:cs="Times New Roman"/>
          <w:lang w:val="en-GB"/>
        </w:rPr>
        <w:t xml:space="preserve">. </w:t>
      </w:r>
      <w:r w:rsidR="00B3513B" w:rsidRPr="000718B9">
        <w:rPr>
          <w:rFonts w:cs="Times New Roman"/>
          <w:lang w:val="en-GB"/>
        </w:rPr>
        <w:t>Biological and technical biases are introduced into microbiome studies of humans and animals. They include, but are not limited to the diet, lifestyle, sampling time (</w:t>
      </w:r>
      <w:proofErr w:type="spellStart"/>
      <w:r w:rsidR="00B3513B" w:rsidRPr="000718B9">
        <w:rPr>
          <w:rFonts w:cs="Times New Roman"/>
          <w:lang w:val="en-GB"/>
        </w:rPr>
        <w:t>Bibbò</w:t>
      </w:r>
      <w:proofErr w:type="spellEnd"/>
      <w:r w:rsidR="00B3513B" w:rsidRPr="000718B9">
        <w:rPr>
          <w:rFonts w:cs="Times New Roman"/>
          <w:lang w:val="en-GB"/>
        </w:rPr>
        <w:t xml:space="preserve"> et al., n.d.), nucleic acid isolation techniques, choice of primers (Chen et al., 2019), sequencing and analysis (Abellan-</w:t>
      </w:r>
      <w:proofErr w:type="spellStart"/>
      <w:r w:rsidR="00B3513B" w:rsidRPr="000718B9">
        <w:rPr>
          <w:rFonts w:cs="Times New Roman"/>
          <w:lang w:val="en-GB"/>
        </w:rPr>
        <w:t>Schneyder</w:t>
      </w:r>
      <w:proofErr w:type="spellEnd"/>
      <w:r w:rsidR="00B3513B" w:rsidRPr="000718B9">
        <w:rPr>
          <w:rFonts w:cs="Times New Roman"/>
          <w:lang w:val="en-GB"/>
        </w:rPr>
        <w:t xml:space="preserve"> et al., 2021). Cultured strains allow direct measurement of growth characteristics, metabolic capabilities, antibiotic susceptibility, host interaction phenotypes and interspecies interactions, which cannot be reliably inferred from sequence data alone. They are also required to generate high‑quality </w:t>
      </w:r>
      <w:r w:rsidR="00B3513B" w:rsidRPr="000718B9">
        <w:rPr>
          <w:rFonts w:cs="Times New Roman"/>
          <w:lang w:val="en-GB"/>
        </w:rPr>
        <w:lastRenderedPageBreak/>
        <w:t>reference genomes, to validate gene function, and to develop live biotherapeutic products, probiotics and defined microbial consortia</w:t>
      </w:r>
      <w:r w:rsidR="00B3513B" w:rsidRPr="000718B9">
        <w:rPr>
          <w:rFonts w:cs="Times New Roman"/>
          <w:lang w:val="en-GB"/>
        </w:rPr>
        <w:t>. But cu</w:t>
      </w:r>
      <w:r w:rsidR="00146121" w:rsidRPr="000718B9">
        <w:rPr>
          <w:rFonts w:eastAsia="Times New Roman" w:cs="Times New Roman"/>
          <w:lang w:val="en-GB"/>
        </w:rPr>
        <w:t xml:space="preserve">ltivation of many isolates of a specific bacterial species is a time-consuming and demanding process, and there are bacterial species that cannot be grown. </w:t>
      </w:r>
      <w:r w:rsidR="00B3513B" w:rsidRPr="000718B9">
        <w:rPr>
          <w:rFonts w:eastAsia="Times New Roman" w:cs="Times New Roman"/>
          <w:lang w:val="en-GB"/>
        </w:rPr>
        <w:t>Culturomics</w:t>
      </w:r>
      <w:r w:rsidR="000718B9">
        <w:rPr>
          <w:rFonts w:eastAsia="Times New Roman" w:cs="Times New Roman"/>
          <w:lang w:val="en-GB"/>
        </w:rPr>
        <w:t xml:space="preserve"> </w:t>
      </w:r>
      <w:r w:rsidR="00B3513B" w:rsidRPr="000718B9">
        <w:rPr>
          <w:rFonts w:eastAsia="Times New Roman" w:cs="Times New Roman"/>
          <w:lang w:val="en-GB"/>
        </w:rPr>
        <w:t>using many media and conditions, high‑throughput isolation and systematic identification</w:t>
      </w:r>
      <w:r w:rsidR="000718B9">
        <w:rPr>
          <w:rFonts w:eastAsia="Times New Roman" w:cs="Times New Roman"/>
          <w:lang w:val="en-GB"/>
        </w:rPr>
        <w:t xml:space="preserve"> </w:t>
      </w:r>
      <w:r w:rsidR="00B3513B" w:rsidRPr="000718B9">
        <w:rPr>
          <w:rFonts w:eastAsia="Times New Roman" w:cs="Times New Roman"/>
          <w:lang w:val="en-GB"/>
        </w:rPr>
        <w:t>was developed to overcome the limitations of traditional isolation method</w:t>
      </w:r>
      <w:r w:rsidR="000718B9">
        <w:rPr>
          <w:rFonts w:eastAsia="Times New Roman" w:cs="Times New Roman"/>
          <w:lang w:val="en-GB"/>
        </w:rPr>
        <w:t>s</w:t>
      </w:r>
      <w:r w:rsidR="00B3513B" w:rsidRPr="000718B9">
        <w:rPr>
          <w:rFonts w:eastAsia="Times New Roman" w:cs="Times New Roman"/>
          <w:lang w:val="en-GB"/>
        </w:rPr>
        <w:t>. This approach has revealed numerous previously uncharacterized gut taxa, substantially expanded strain collections and shown that a large fraction of “uncultured” diversity can, in fact, be grown under appropriate conditions</w:t>
      </w:r>
      <w:r w:rsidR="00B3513B" w:rsidRPr="000718B9">
        <w:rPr>
          <w:rFonts w:eastAsia="Times New Roman" w:cs="Times New Roman"/>
          <w:lang w:val="en-GB"/>
        </w:rPr>
        <w:t xml:space="preserve"> </w:t>
      </w:r>
      <w:r w:rsidR="00B3513B" w:rsidRPr="000718B9">
        <w:rPr>
          <w:rFonts w:eastAsia="Times New Roman" w:cs="Times New Roman"/>
          <w:lang w:val="en-GB"/>
        </w:rPr>
        <w:fldChar w:fldCharType="begin"/>
      </w:r>
      <w:r w:rsidR="000718B9">
        <w:rPr>
          <w:rFonts w:eastAsia="Times New Roman" w:cs="Times New Roman"/>
          <w:lang w:val="en-GB"/>
        </w:rPr>
        <w:instrText xml:space="preserve"> ADDIN ZOTERO_ITEM CSL_CITATION {"citationID":"AO42lslm","properties":{"formattedCitation":"(Afouda et al., 2020; Browne et al., 2016; Huang et al., 2023; Onizuka et al., 2021; Tanaka et al., 2020; Tidjani Alou et al., 2020)","plainCitation":"(Afouda et al., 2020; Browne et al., 2016; Huang et al., 2023; Onizuka et al., 2021; Tanaka et al., 2020; Tidjani Alou et al., 2020)","noteIndex":0},"citationItems":[{"id":342,"uris":["http://zotero.org/users/8873894/items/7N3HWKTZ"],"itemData":{"id":342,"type":"article-journal","abstract":"Abstract\n            \n              Recent studies have used ethanol stool disinfection as a mean of promoting valuable species’ cultivation in bacteriotherapy trials for\n              Clostridium difficile\n              infections (CDI) treatment with a particular focus on sporulating bacteria. Moreover, the culturomic approach has considerably enriched the repertoire of cultivable organisms in the human gut in recent years. This study aimed to apply this culturomic approach on fecal donor samples treated with ethanol disinfection to evidence potential beneficial microbes that could be used in bacteriotherapy trials for the treatment of CDI. Thereby, a total of 254 bacterial species were identified, 9 of which were novel. Of these, 242 have never been included in clinical trials for the treatment of CDIs, representing potential new candidates for bacteriotherapy trials. While non-sporulating species were nevertheless more affected by the ethanol pretreatment than sporulating species, the ethanol disinfection technique did not specifically select bacteria able to sporulate, as suggested by previous studies. Furthermore, some bacteria previously considered as potential candidates for bacteriotherapy have been lost after ethanol treatment. This study, while enriching the bacterial repertoire of the human intestine, would nevertheless require determining the exact contribution of each of species composing the bacterial consortia intended to be administered for CDI treatment.","container-title":"Scientific Reports","DOI":"10.1038/s41598-020-62068-x","ISSN":"2045-2322","issue":"1","journalAbbreviation":"Sci Rep","language":"en","page":"5190","source":"DOI.org (Crossref)","title":"Alcohol pretreatment of stools effect on culturomics","volume":"10","author":[{"family":"Afouda","given":"Pamela"},{"family":"Hocquart","given":"Marie"},{"family":"Pham","given":"Thi-Phuong-Thao"},{"family":"Kuete","given":"Edmond"},{"family":"Ngom","given":"Issa Isaac"},{"family":"Dione","given":"Niokhor"},{"family":"Valles","given":"Camille"},{"family":"Bellali","given":"Sara"},{"family":"Lagier","given":"Jean-Christophe"},{"family":"Dubourg","given":"Grégory"},{"family":"Raoult","given":"Didier"}],"issued":{"date-parts":[["2020",12]]}}},{"id":376,"uris":["http://zotero.org/users/8873894/items/YDIPWJ3L"],"itemData":{"id":376,"type":"article-journal","abstract":"A novel approach is used to cultivate a substantial proportion of the human gut microbiota, representing an important step forward in characterizing the role of these bacteria in health and disease., The human intestinal microbiota comprises perhaps hundreds of bacterial species. Most of them are regarded as 'unculturable' and have never been isolated in the laboratory. Trevor Lawley and colleagues have used a novel approach based on targeted phenotypic culturing linked to large-scale whole-genome sequencing, phylogenetic analysis and computational modelling, to cultivate a substantial proportion of the human gut microbiota. Applying this workflow to faecal samples from healthy individuals, the authors isolated 137 distinct bacterial species as pure cultures, including 45 candidate novel species. More than half of the bacterial genera identified produce resilient spores, specialized for host-to-host transmission. This work demonstrates the value of phenotypic-based studies in determining the role of the gut microbiota in health and disease., Our intestinal microbiota harbours a diverse bacterial community required for our health, sustenance and wellbeing,. Intestinal colonization begins at birth and climaxes with the acquisition of two dominant groups of strict anaerobic bacteria belonging to the Firmicutes and Bacteroidetes phyla. Culture-independent, genomic approaches have transformed our understanding of the role of the human microbiome in health and many diseases. However, owing to the prevailing perception that our indigenous bacteria are largely recalcitrant to culture, many of their functions and phenotypes remain unknown. Here we describe a novel workflow based on targeted phenotypic culturing linked to large-scale whole-genome sequencing, phylogenetic analysis and computational modelling that demonstrates that a substantial proportion of the intestinal bacteria are culturable. Applying this approach to healthy individuals, we isolated 137 bacterial species from characterized and candidate novel families, genera and species that were archived as pure cultures. Whole-genome and metagenomic sequencing, combined with computational and phenotypic analysis, suggests that at least 50–60% of the bacterial genera from the intestinal microbiota of a healthy individual produce resilient spores, specialized for host-to-host transmission. Our approach unlocks the human intestinal microbiota for phenotypic analysis and reveals how a marked proportion of oxygen-sensitive intestinal bacteria can be transmitted between individuals, affecting microbiota heritability.","container-title":"Nature","DOI":"10.1038/nature17645","ISSN":"0028-0836","issue":"7604","journalAbbreviation":"Nature","note":"PMID: 27144353\nPMCID: PMC4890681","page":"543-546","source":"PubMed Central","title":"Culturing of ‘unculturable’ human microbiota reveals novel taxa and extensive sporulation","volume":"533","author":[{"family":"Browne","given":"Hilary P."},{"family":"Forster","given":"Samuel C."},{"family":"Anonye","given":"Blessing O."},{"family":"Kumar","given":"Nitin"},{"family":"Neville","given":"B. Anne"},{"family":"Stares","given":"Mark D."},{"family":"Goulding","given":"David"},{"family":"Lawley","given":"Trevor D."}],"issued":{"date-parts":[["2016"]]}}},{"id":3483,"uris":["http://zotero.org/users/8873894/items/PSY4YL9I"],"itemData":{"id":3483,"type":"article-journal","abstract":"Pure bacterial cultures remain essential for detailed experimental and mechanistic studies in microbiome research, and traditional methods to isolate individual bacteria from complex microbial ecosystems are labor-intensive, difficult-to-scale and lack phenotype–genotype integration. Here we describe an open-source high-throughput robotic strain isolation platform for the rapid generation of isolates on demand. We develop a machine learning approach that leverages colony morphology and genomic data to maximize the diversity of microbes isolated and enable targeted picking of specific genera. Application of this platform on fecal samples from 20 humans yields personalized gut microbiome biobanks totaling 26,997 isolates that represented &gt;80% of all abundant taxa. Spatial analysis on &gt;100,000 visually captured colonies reveals cogrowth patterns between Ruminococcaceae, Bacteroidaceae, Coriobacteriaceae and Bifidobacteriaceae families that suggest important microbial interactions. Comparative analysis of 1,197 high-quality genomes from these biobanks shows interesting intra- and interpersonal strain evolution, selection and horizontal gene transfer. This culturomics framework should empower new research efforts to systematize the collection and quantitative analysis of imaging-based phenotypes with high-resolution genomics data for many emerging microbiome studies.","container-title":"Nature Biotechnology","DOI":"10.1038/s41587-023-01674-2","ISSN":"1546-1696","issue":"10","journalAbbreviation":"Nat Biotechnol","language":"en","license":"2023 The Author(s)","note":"publisher: Nature Publishing Group","page":"1424-1433","source":"www.nature.com","title":"High-throughput microbial culturomics using automation and machine learning","volume":"41","author":[{"family":"Huang","given":"Yiming"},{"family":"Sheth","given":"Ravi U."},{"family":"Zhao","given":"Shijie"},{"family":"Cohen","given":"Lucas A."},{"family":"Dabaghi","given":"Kendall"},{"family":"Moody","given":"Thomas"},{"family":"Sun","given":"Yiwei"},{"family":"Ricaurte","given":"Deirdre"},{"family":"Richardson","given":"Miles"},{"family":"Velez-Cortes","given":"Florencia"},{"family":"Blazejewski","given":"Tomasz"},{"family":"Kaufman","given":"Andrew"},{"family":"Ronda","given":"Carlotta"},{"family":"Wang","given":"Harris H."}],"issued":{"date-parts":[["2023",10]]}}},{"id":312,"uris":["http://zotero.org/users/8873894/items/EGKNDGK6"],"itemData":{"id":312,"type":"article-journal","abstract":"Spores of certain species belonging to Firmicutes are efﬁciently germinated by nutrient germinators, such as amino acids, in addition to bile acid. We attempted to culture difﬁcult-to-culture or yet-to-be cultured spore-forming intestinal bacteria, using a combination of bile acids and amino acids. The combination increased the number of colonies that formed on agar medium plated with ethanol-treated feces. The operational taxonomic units of these colonized bacteria were classiﬁed into two types. One type was colonized only by the bile acid (BA) mixture and the other type was colonized using amino acids, in addition to the BA mixture. The latter contained 13 species, in addition to 14 species of the former type, which mostly corresponds to anaerobic difﬁcult-to-culture Clostridiales species, including several new species candidates. The use of a combination of BAs and amino acids effectively increased the culturability of spore-forming intestinal bacteria.","container-title":"Microorganisms","DOI":"10.3390/microorganisms9081651","ISSN":"2076-2607","issue":"8","journalAbbreviation":"Microorganisms","language":"en","page":"1651","source":"DOI.org (Crossref)","title":"Cultivation of Spore-Forming Gut Microbes Using a Combination of Bile Acids and Amino Acids","volume":"9","author":[{"family":"Onizuka","given":"Sakura"},{"family":"Tanaka","given":"Masaru"},{"family":"Mishima","given":"Riko"},{"family":"Nakayama","given":"Jiro"}],"issued":{"date-parts":[["2021",8,2]]}}},{"id":386,"uris":["http://zotero.org/users/8873894/items/T9JX6STI"],"itemData":{"id":386,"type":"article-journal","abstract":"Structurally-diversified bile acids (BAs) are involved in shaping of intestinal microbiota as well as absorption of dietary lipids. Taurocholic acid, a conjugated form of BA, has been reported to be a factor triggering germination of a wide range of spore-forming bacteria in intestine. To test a hypothesis that other BAs also promote germination of intestinal bacteria, we attempted culture of bacteria from ethanol-treated feces by using a series of BAs. It was found that conjugated-BAs, notably three glycine-conjugated BAs, glycodeoxycholic acid and glycochenodeoxycholic acid, significantly increased the number and the species variety of colonies formed on the agar plate. These colonized bacteria mostly belonged to class Clostridia, mainly consisting of families Lachnospiraceae, Clostridiaceae, and Peptostreptococcaceae. There were several types of bacteria associated with different sensitivity to each BA. Eventually, we isolated 72 bacterial species of which 61 are known and 11 novel. These results demonstrate that the culturable range of bacteria in intestine can be widened using the germination-inducing activity of BAs. This approach would advance the research on spore-forming Clostridia that contains important but difficult-to-cultured bacteria associate with host health and diseases.","container-title":"Scientific Reports","DOI":"10.1038/s41598-020-71883-1","ISSN":"2045-2322","journalAbbreviation":"Sci Rep","note":"PMID: 32929101\nPMCID: PMC7490687","page":"15041","source":"PubMed Central","title":"Cultural isolation of spore-forming bacteria in human feces using bile acids","volume":"10","author":[{"family":"Tanaka","given":"Masaru"},{"family":"Onizuka","given":"Sakura"},{"family":"Mishima","given":"Riko"},{"family":"Nakayama","given":"Jiro"}],"issued":{"date-parts":[["2020",9,14]]}}},{"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Reviews","DOI":"10.1128/cmr.00129-19","issue":"1","note":"publisher: American Society for Microbiology","page":"10.1128/cmr.00129-19","source":"journals.asm.org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instrText>
      </w:r>
      <w:r w:rsidR="00B3513B" w:rsidRPr="000718B9">
        <w:rPr>
          <w:rFonts w:eastAsia="Times New Roman" w:cs="Times New Roman"/>
          <w:lang w:val="en-GB"/>
        </w:rPr>
        <w:fldChar w:fldCharType="separate"/>
      </w:r>
      <w:r w:rsidR="000718B9" w:rsidRPr="000718B9">
        <w:rPr>
          <w:rFonts w:cs="Times New Roman"/>
          <w:lang w:val="en-GB"/>
        </w:rPr>
        <w:t>(</w:t>
      </w:r>
      <w:proofErr w:type="spellStart"/>
      <w:r w:rsidR="000718B9" w:rsidRPr="000718B9">
        <w:rPr>
          <w:rFonts w:cs="Times New Roman"/>
          <w:lang w:val="en-GB"/>
        </w:rPr>
        <w:t>Afouda</w:t>
      </w:r>
      <w:proofErr w:type="spellEnd"/>
      <w:r w:rsidR="000718B9" w:rsidRPr="000718B9">
        <w:rPr>
          <w:rFonts w:cs="Times New Roman"/>
          <w:lang w:val="en-GB"/>
        </w:rPr>
        <w:t xml:space="preserve"> et al., 2020; Browne et al., 2016; Huang et al., 2023; Onizuka et al., 2021; Tanaka et al., 2020; Tidjani Alou et al., 2020)</w:t>
      </w:r>
      <w:r w:rsidR="00B3513B" w:rsidRPr="000718B9">
        <w:rPr>
          <w:rFonts w:eastAsia="Times New Roman" w:cs="Times New Roman"/>
          <w:lang w:val="en-GB"/>
        </w:rPr>
        <w:fldChar w:fldCharType="end"/>
      </w:r>
      <w:r w:rsidR="00B3513B" w:rsidRPr="000718B9">
        <w:rPr>
          <w:rFonts w:eastAsia="Times New Roman" w:cs="Times New Roman"/>
          <w:lang w:val="en-GB"/>
        </w:rPr>
        <w:t>.</w:t>
      </w:r>
    </w:p>
    <w:p w14:paraId="3F534F5E" w14:textId="01E07323" w:rsidR="00B3513B" w:rsidRDefault="00B3513B" w:rsidP="00146121">
      <w:pPr>
        <w:rPr>
          <w:rFonts w:eastAsia="Times New Roman" w:cs="Times New Roman"/>
          <w:lang w:val="en-GB"/>
        </w:rPr>
      </w:pPr>
      <w:r w:rsidRPr="000718B9">
        <w:rPr>
          <w:rFonts w:eastAsia="Times New Roman" w:cs="Times New Roman"/>
          <w:lang w:val="en-GB"/>
        </w:rPr>
        <w:t xml:space="preserve">Cultivating human gut bacteria is challenging because extreme oxygen sensitivity, </w:t>
      </w:r>
      <w:r w:rsidR="000718B9" w:rsidRPr="000718B9">
        <w:rPr>
          <w:rFonts w:eastAsia="Times New Roman" w:cs="Times New Roman"/>
          <w:lang w:val="en-GB"/>
        </w:rPr>
        <w:t>dependence</w:t>
      </w:r>
      <w:r w:rsidRPr="000718B9">
        <w:rPr>
          <w:rFonts w:eastAsia="Times New Roman" w:cs="Times New Roman"/>
          <w:lang w:val="en-GB"/>
        </w:rPr>
        <w:t xml:space="preserve"> on complex substrates which are sometimes a product of host or other community members. It does not help that many of them are slow </w:t>
      </w:r>
      <w:r w:rsidR="00993A40" w:rsidRPr="000718B9">
        <w:rPr>
          <w:rFonts w:eastAsia="Times New Roman" w:cs="Times New Roman"/>
          <w:lang w:val="en-GB"/>
        </w:rPr>
        <w:t>growing,</w:t>
      </w:r>
      <w:r w:rsidRPr="000718B9">
        <w:rPr>
          <w:rFonts w:eastAsia="Times New Roman" w:cs="Times New Roman"/>
          <w:lang w:val="en-GB"/>
        </w:rPr>
        <w:t xml:space="preserve"> </w:t>
      </w:r>
      <w:r w:rsidR="00993A40" w:rsidRPr="000718B9">
        <w:rPr>
          <w:rFonts w:eastAsia="Times New Roman" w:cs="Times New Roman"/>
          <w:lang w:val="en-GB"/>
        </w:rPr>
        <w:t xml:space="preserve">and they are outperformed by fast-growing generalists under standard conditions. There is also the narrow pH, redox and cofactor requirements that sometimes include unknown growth factors </w:t>
      </w:r>
      <w:r w:rsidR="00993A40" w:rsidRPr="000718B9">
        <w:rPr>
          <w:rFonts w:eastAsia="Times New Roman" w:cs="Times New Roman"/>
          <w:lang w:val="en-GB"/>
        </w:rPr>
        <w:fldChar w:fldCharType="begin"/>
      </w:r>
      <w:r w:rsidR="00993A40" w:rsidRPr="000718B9">
        <w:rPr>
          <w:rFonts w:eastAsia="Times New Roman" w:cs="Times New Roman"/>
          <w:lang w:val="en-GB"/>
        </w:rPr>
        <w:instrText xml:space="preserve"> ADDIN ZOTERO_ITEM CSL_CITATION {"citationID":"8GD7KM63","properties":{"formattedCitation":"(Tidjani Alou et al., 2020)","plainCitation":"(Tidjani Alou et al., 2020)","noteIndex":0},"citationItems":[{"id":3481,"uris":["http://zotero.org/users/8873894/items/7MT4WBB4"],"itemData":{"id":3481,"type":"article-journal","abstract":"SUMMARYThe last 5 years have seen a turning point in the study of the gut microbiota with a rebirth of culture-dependent approaches to study the gut microbiota. High-throughput methods have been developed to study bacterial diversity with culture conditions aimed at mimicking the gut environment by using rich media such as YCFA (yeast extract, casein hydrolysate, fatty acids) and Gifu anaerobic medium in an anaerobic workstation, as well as media enriched with rumen and blood and coculture, to mimic the symbiosis of the gut microbiota. Other culture conditions target phenotypic and metabolic features of bacterial species to facilitate their isolation. Preexisting technologies such as next-generation sequencing and flow cytometry have also been utilized to develop innovative methods to isolate previously uncultured bacteria or explore viability in samples of interest. These techniques have been applied to isolate CPR (Candidate Phyla Radiation) among other, more classic approaches. Methanogenic archaeal and fungal cultures present different challenges than bacterial cultures. Efforts to improve the available systems to grow archaea have been successful through coculture systems. For fungi that are more easily isolated from the human microbiota, the challenge resides in the identification of the isolates, which has been approached by applying matrix-assisted laser desorption ionization–time of flight mass spectrometry technology to fungi. Bacteriotherapy represents a nonnegligible avenue in the future of medicine to correct dysbiosis and improve health or response to therapy. Although great strides have been achieved in the last 5 years, efforts in bacterial culture need to be sustained to continue deciphering the dark matter of metagenomics, particularly CPR, and extend these methods to archaea and fungi.","container-title":"Clinical Microbiology Reviews","DOI":"10.1128/cmr.00129-19","issue":"1","note":"publisher: American Society for Microbiology","page":"10.1128/cmr.00129-19","source":"journals.asm.org (Atypon)","title":"State of the Art in the Culture of the Human Microbiota: New Interests and Strategies","title-short":"State of the Art in the Culture of the Human Microbiota","volume":"34","author":[{"family":"Tidjani Alou","given":"Maryam"},{"family":"Naud","given":"Sabrina"},{"family":"Khelaifia","given":"Saber"},{"family":"Bonnet","given":"Marion"},{"family":"Lagier","given":"Jean-Christophe"},{"family":"Raoult","given":"Didier"}],"issued":{"date-parts":[["2020",10,28]]}}}],"schema":"https://github.com/citation-style-language/schema/raw/master/csl-citation.json"} </w:instrText>
      </w:r>
      <w:r w:rsidR="00993A40" w:rsidRPr="000718B9">
        <w:rPr>
          <w:rFonts w:eastAsia="Times New Roman" w:cs="Times New Roman"/>
          <w:lang w:val="en-GB"/>
        </w:rPr>
        <w:fldChar w:fldCharType="separate"/>
      </w:r>
      <w:r w:rsidR="00993A40" w:rsidRPr="000718B9">
        <w:rPr>
          <w:rFonts w:cs="Times New Roman"/>
          <w:lang w:val="en-GB"/>
        </w:rPr>
        <w:t>(Tidjani Alou et al., 2020)</w:t>
      </w:r>
      <w:r w:rsidR="00993A40" w:rsidRPr="000718B9">
        <w:rPr>
          <w:rFonts w:eastAsia="Times New Roman" w:cs="Times New Roman"/>
          <w:lang w:val="en-GB"/>
        </w:rPr>
        <w:fldChar w:fldCharType="end"/>
      </w:r>
      <w:r w:rsidR="00993A40" w:rsidRPr="000718B9">
        <w:rPr>
          <w:rFonts w:eastAsia="Times New Roman" w:cs="Times New Roman"/>
          <w:lang w:val="en-GB"/>
        </w:rPr>
        <w:t xml:space="preserve">. </w:t>
      </w:r>
      <w:r w:rsidR="00993A40" w:rsidRPr="000718B9">
        <w:rPr>
          <w:rFonts w:eastAsia="Times New Roman" w:cs="Times New Roman"/>
          <w:lang w:val="en-GB"/>
        </w:rPr>
        <w:t xml:space="preserve">Culturomics responds to these issues by tailoring media (e.g. mucin, bile acids, specific </w:t>
      </w:r>
      <w:proofErr w:type="spellStart"/>
      <w:r w:rsidR="00993A40" w:rsidRPr="000718B9">
        <w:rPr>
          <w:rFonts w:eastAsia="Times New Roman" w:cs="Times New Roman"/>
          <w:lang w:val="en-GB"/>
        </w:rPr>
        <w:t>fibers</w:t>
      </w:r>
      <w:proofErr w:type="spellEnd"/>
      <w:r w:rsidR="00993A40" w:rsidRPr="000718B9">
        <w:rPr>
          <w:rFonts w:eastAsia="Times New Roman" w:cs="Times New Roman"/>
          <w:lang w:val="en-GB"/>
        </w:rPr>
        <w:t>), using antioxidants to deepen anaerobiosis, extending incubation times, employing pre</w:t>
      </w:r>
      <w:r w:rsidR="00993A40" w:rsidRPr="000718B9">
        <w:rPr>
          <w:rFonts w:eastAsia="Times New Roman" w:cs="Times New Roman"/>
          <w:lang w:val="en-GB"/>
        </w:rPr>
        <w:noBreakHyphen/>
        <w:t>enrichment steps and increasingly using metagenome</w:t>
      </w:r>
      <w:r w:rsidR="00993A40" w:rsidRPr="000718B9">
        <w:rPr>
          <w:rFonts w:eastAsia="Times New Roman" w:cs="Times New Roman"/>
          <w:lang w:val="en-GB"/>
        </w:rPr>
        <w:noBreakHyphen/>
        <w:t>guided media design to target difficult genera</w:t>
      </w:r>
      <w:r w:rsidR="00993A40" w:rsidRPr="000718B9">
        <w:rPr>
          <w:rFonts w:eastAsia="Times New Roman" w:cs="Times New Roman"/>
          <w:lang w:val="en-GB"/>
        </w:rPr>
        <w:t xml:space="preserve"> </w:t>
      </w:r>
      <w:r w:rsidR="00993A40" w:rsidRPr="000718B9">
        <w:rPr>
          <w:rFonts w:eastAsia="Times New Roman" w:cs="Times New Roman"/>
          <w:lang w:val="en-GB"/>
        </w:rPr>
        <w:fldChar w:fldCharType="begin"/>
      </w:r>
      <w:r w:rsidR="00993A40" w:rsidRPr="000718B9">
        <w:rPr>
          <w:rFonts w:eastAsia="Times New Roman" w:cs="Times New Roman"/>
          <w:lang w:val="en-GB"/>
        </w:rPr>
        <w:instrText xml:space="preserve"> ADDIN ZOTERO_ITEM CSL_CITATION {"citationID":"3ARSuXnG","properties":{"formattedCitation":"(Song et al., 2024)","plainCitation":"(Song et al., 2024)","noteIndex":0},"citationItems":[{"id":3487,"uris":["http://zotero.org/users/8873894/items/CAE7JYXW"],"itemData":{"id":3487,"type":"article-journal","abstract":"Hye Seon Song, Yeon Bee Kim, Joon Yong Kim, Seong Woon Roh, and Tae Woong Whon. J. Microbiol. Biotechnol. 2024;34:757-64. https://doi.org/10.4014/jmb.2311.11024","DOI":"10.4014/jmb.2311.11024","issue":"4","language":"en","note":"publisher: Korean Society for Microbiology and Biotechnology","page":"757-764","source":"www.jmb.or.kr","title":"Advances in Culturomics Research on the Human Gut Microbiome: Optimizing Medium Composition and Culture Techniques for Enhanced Microbial Discovery","title-short":"Advances in Culturomics Research on the Human Gut Microbiome","volume":"34","author":[{"family":"Song","given":"Hye Seon"},{"family":"Kim","given":"Yeon Bee"},{"family":"Kim","given":"Joon Yong"},{"family":"Roh","given":"Seong Woon"},{"family":"Whon","given":"Tae Woong"}],"issued":{"date-parts":[["2024",4,28]]}}}],"schema":"https://github.com/citation-style-language/schema/raw/master/csl-citation.json"} </w:instrText>
      </w:r>
      <w:r w:rsidR="00993A40" w:rsidRPr="000718B9">
        <w:rPr>
          <w:rFonts w:eastAsia="Times New Roman" w:cs="Times New Roman"/>
          <w:lang w:val="en-GB"/>
        </w:rPr>
        <w:fldChar w:fldCharType="separate"/>
      </w:r>
      <w:r w:rsidR="00993A40" w:rsidRPr="000718B9">
        <w:rPr>
          <w:rFonts w:cs="Times New Roman"/>
          <w:lang w:val="en-GB"/>
        </w:rPr>
        <w:t>(Song et al., 2024)</w:t>
      </w:r>
      <w:r w:rsidR="00993A40" w:rsidRPr="000718B9">
        <w:rPr>
          <w:rFonts w:eastAsia="Times New Roman" w:cs="Times New Roman"/>
          <w:lang w:val="en-GB"/>
        </w:rPr>
        <w:fldChar w:fldCharType="end"/>
      </w:r>
      <w:r w:rsidR="00993A40" w:rsidRPr="000718B9">
        <w:rPr>
          <w:rFonts w:eastAsia="Times New Roman" w:cs="Times New Roman"/>
          <w:lang w:val="en-GB"/>
        </w:rPr>
        <w:t>.</w:t>
      </w:r>
      <w:r w:rsidR="00993A40" w:rsidRPr="000718B9">
        <w:rPr>
          <w:rFonts w:eastAsia="Times New Roman" w:cs="Times New Roman"/>
          <w:lang w:val="en-GB"/>
        </w:rPr>
        <w:t xml:space="preserve"> </w:t>
      </w:r>
    </w:p>
    <w:p w14:paraId="2A0A51B8" w14:textId="0C388133" w:rsidR="009407DD" w:rsidRPr="002B4843" w:rsidRDefault="002B4843" w:rsidP="002B4843">
      <w:pPr>
        <w:pStyle w:val="ListParagraph"/>
        <w:numPr>
          <w:ilvl w:val="0"/>
          <w:numId w:val="13"/>
        </w:numPr>
        <w:rPr>
          <w:rFonts w:eastAsia="Times New Roman" w:cs="Times New Roman"/>
          <w:b/>
          <w:bCs/>
          <w:lang w:val="en-GB"/>
        </w:rPr>
      </w:pPr>
      <w:r w:rsidRPr="002B4843">
        <w:rPr>
          <w:rFonts w:eastAsia="Times New Roman" w:cs="Times New Roman"/>
          <w:b/>
          <w:bCs/>
          <w:lang w:val="en-GB"/>
        </w:rPr>
        <w:t xml:space="preserve">Human gut resistome </w:t>
      </w:r>
    </w:p>
    <w:p w14:paraId="03B32FAC" w14:textId="30BD8649" w:rsidR="002B4843" w:rsidRDefault="002B4843" w:rsidP="002B4843">
      <w:pPr>
        <w:rPr>
          <w:rFonts w:eastAsia="Times New Roman" w:cs="Times New Roman"/>
        </w:rPr>
      </w:pPr>
      <w:r w:rsidRPr="002B4843">
        <w:rPr>
          <w:rFonts w:eastAsia="Times New Roman" w:cs="Times New Roman"/>
        </w:rPr>
        <w:t>The human gut resistome comprises all genes in the intestinal microbiota that can confer resistance to antimicrobial agents, whether they reside in classical pathogens, opportunistic pathobionts or benign commensals</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ADDIN ZOTERO_ITEM CSL_CITATION {"citationID":"Nl0Oc75D","properties":{"formattedCitation":"(Wuethrich et al., 2021)","plainCitation":"(Wuethrich et al., 2021)","noteIndex":0},"citationItems":[{"id":2417,"uris":["http://zotero.org/users/8873894/items/JFXZYL67"],"itemData":{"id":2417,"type":"article-journal","container-title":"Gut Microbes","DOI":"10.1080/19490976.2021.1911279","ISSN":"1949-0976, 1949-0984","issue":"1","journalAbbreviation":"Gut Microbes","language":"en","page":"1911279","source":"DOI.org (Crossref)","title":"The role of the human gut microbiota in colonization and infection with multidrug-resistant bacteria","volume":"13","author":[{"family":"Wuethrich","given":"Irene"},{"family":"W. Pelzer","given":"Benedikt"},{"family":"Khodamoradi","given":"Yascha"},{"family":"Vehreschild","given":"Maria J. G. T."}],"issued":{"date-parts":[["2021",1,1]]}}}],"schema":"https://github.com/citation-style-language/schema/raw/master/csl-citation.json"} </w:instrText>
      </w:r>
      <w:r>
        <w:rPr>
          <w:rFonts w:eastAsia="Times New Roman" w:cs="Times New Roman"/>
        </w:rPr>
        <w:fldChar w:fldCharType="separate"/>
      </w:r>
      <w:r w:rsidRPr="002B4843">
        <w:rPr>
          <w:rFonts w:cs="Times New Roman"/>
        </w:rPr>
        <w:t>(Wuethrich et al., 2021)</w:t>
      </w:r>
      <w:r>
        <w:rPr>
          <w:rFonts w:eastAsia="Times New Roman" w:cs="Times New Roman"/>
        </w:rPr>
        <w:fldChar w:fldCharType="end"/>
      </w:r>
      <w:r w:rsidRPr="002B4843">
        <w:rPr>
          <w:rFonts w:eastAsia="Times New Roman" w:cs="Times New Roman"/>
        </w:rPr>
        <w:t>.</w:t>
      </w:r>
      <w:r>
        <w:rPr>
          <w:rFonts w:eastAsia="Times New Roman" w:cs="Times New Roman"/>
        </w:rPr>
        <w:t xml:space="preserve"> There are many bacterial species that carry antimicrobial resistance genes, such as </w:t>
      </w:r>
      <w:r w:rsidRPr="002B4843">
        <w:rPr>
          <w:rFonts w:eastAsia="Times New Roman" w:cs="Times New Roman"/>
        </w:rPr>
        <w:t xml:space="preserve">vancomycin-resistant enterococci (VRE), methicillin-resistant staphylococci (MRSA), pseudomonas and </w:t>
      </w:r>
      <w:r w:rsidRPr="002B4843">
        <w:rPr>
          <w:rFonts w:eastAsia="Times New Roman" w:cs="Times New Roman"/>
          <w:i/>
          <w:iCs/>
        </w:rPr>
        <w:t>Acinetobacter</w:t>
      </w:r>
      <w:r w:rsidRPr="002B4843">
        <w:rPr>
          <w:rFonts w:eastAsia="Times New Roman" w:cs="Times New Roman"/>
        </w:rPr>
        <w:t xml:space="preserve"> resistant to carbapenems, and especially multiple-resistant enterobacteria (including </w:t>
      </w:r>
      <w:r w:rsidRPr="002B4843">
        <w:rPr>
          <w:rFonts w:eastAsia="Times New Roman" w:cs="Times New Roman"/>
          <w:i/>
          <w:iCs/>
        </w:rPr>
        <w:t>E. coli</w:t>
      </w:r>
      <w:r w:rsidRPr="002B4843">
        <w:rPr>
          <w:rFonts w:eastAsia="Times New Roman" w:cs="Times New Roman"/>
        </w:rPr>
        <w:t xml:space="preserve"> and </w:t>
      </w:r>
      <w:r w:rsidRPr="002B4843">
        <w:rPr>
          <w:rFonts w:eastAsia="Times New Roman" w:cs="Times New Roman"/>
          <w:i/>
          <w:iCs/>
        </w:rPr>
        <w:t>Klebsiella</w:t>
      </w:r>
      <w:r w:rsidRPr="002B4843">
        <w:rPr>
          <w:rFonts w:eastAsia="Times New Roman" w:cs="Times New Roman"/>
        </w:rPr>
        <w:t xml:space="preserve"> spp. with extended-spectrum beta-lactamases or </w:t>
      </w:r>
      <w:r w:rsidRPr="002B4843">
        <w:rPr>
          <w:rFonts w:eastAsia="Times New Roman" w:cs="Times New Roman"/>
        </w:rPr>
        <w:t>carbapenems</w:t>
      </w:r>
      <w:r w:rsidRPr="002B4843">
        <w:rPr>
          <w:rFonts w:eastAsia="Times New Roman" w:cs="Times New Roman"/>
        </w:rPr>
        <w:t xml:space="preserve">, </w:t>
      </w:r>
      <w:r w:rsidRPr="002B4843">
        <w:rPr>
          <w:rFonts w:eastAsia="Times New Roman" w:cs="Times New Roman"/>
          <w:i/>
          <w:iCs/>
        </w:rPr>
        <w:t>Salmonella</w:t>
      </w:r>
      <w:r w:rsidRPr="002B4843">
        <w:rPr>
          <w:rFonts w:eastAsia="Times New Roman" w:cs="Times New Roman"/>
        </w:rPr>
        <w:t xml:space="preserve"> </w:t>
      </w:r>
      <w:proofErr w:type="spellStart"/>
      <w:r w:rsidRPr="002B4843">
        <w:rPr>
          <w:rFonts w:eastAsia="Times New Roman" w:cs="Times New Roman"/>
        </w:rPr>
        <w:t>spp</w:t>
      </w:r>
      <w:proofErr w:type="spellEnd"/>
      <w:r w:rsidRPr="002B4843">
        <w:rPr>
          <w:rFonts w:eastAsia="Times New Roman" w:cs="Times New Roman"/>
        </w:rPr>
        <w:t xml:space="preserve"> and </w:t>
      </w:r>
      <w:r w:rsidRPr="002B4843">
        <w:rPr>
          <w:rFonts w:eastAsia="Times New Roman" w:cs="Times New Roman"/>
          <w:i/>
          <w:iCs/>
        </w:rPr>
        <w:t>Shigella</w:t>
      </w:r>
      <w:r w:rsidRPr="002B4843">
        <w:rPr>
          <w:rFonts w:eastAsia="Times New Roman" w:cs="Times New Roman"/>
        </w:rPr>
        <w:t xml:space="preserve"> spp. resistant to quinolones)</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ADDIN ZOTERO_ITEM CSL_CITATION {"citationID":"LC2FtPz0","properties":{"formattedCitation":"(Anthony et al., 2021)","plainCitation":"(Anthony et al., 2021)","noteIndex":0},"citationItems":[{"id":350,"uris":["http://zotero.org/users/8873894/items/EAM99M7I"],"itemData":{"id":350,"type":"article-journal","abstract":"This review will consider the gut as a reservoir for antimicrobial resistance, colonization resistance, and how disruption of the microbiome can lead to colonization by pathogenic organisms. There is a focus on the gut as a reservoir for β-lactam and plasmid-mediated quinolone resistance. Finally, the role of functional metagenomics and long-read sequencing technologies to detect and understand antimicrobial resistance genes within the gut microbiome is discussed, along with the potential for future microbiome-directed methods to detect and prevent infection.","container-title":"The Journal of Infectious Diseases","DOI":"10.1093/infdis/jiaa497","ISSN":"1537-6613","issue":"12 Suppl 2","journalAbbreviation":"J Infect Dis","language":"eng","note":"PMID: 33326581\nPMCID: PMC8206794","page":"S209-S213","source":"PubMed","title":"The Gut Microbiome as a Reservoir for Antimicrobial Resistance","volume":"223","author":[{"family":"Anthony","given":"Winston E."},{"family":"Burnham","given":"Carey-Ann D."},{"family":"Dantas","given":"Gautam"},{"family":"Kwon","given":"Jennie H."}],"issued":{"date-parts":[["2021",6,16]]}}}],"schema":"https://github.com/citation-style-language/schema/raw/master/csl-citation.json"} </w:instrText>
      </w:r>
      <w:r>
        <w:rPr>
          <w:rFonts w:eastAsia="Times New Roman" w:cs="Times New Roman"/>
        </w:rPr>
        <w:fldChar w:fldCharType="separate"/>
      </w:r>
      <w:r w:rsidRPr="002B4843">
        <w:rPr>
          <w:rFonts w:cs="Times New Roman"/>
        </w:rPr>
        <w:t>(Anthony et al., 2021)</w:t>
      </w:r>
      <w:r>
        <w:rPr>
          <w:rFonts w:eastAsia="Times New Roman" w:cs="Times New Roman"/>
        </w:rPr>
        <w:fldChar w:fldCharType="end"/>
      </w:r>
      <w:r w:rsidRPr="002B4843">
        <w:rPr>
          <w:rFonts w:eastAsia="Times New Roman" w:cs="Times New Roman"/>
        </w:rPr>
        <w:t>.</w:t>
      </w:r>
      <w:r>
        <w:rPr>
          <w:rFonts w:eastAsia="Times New Roman" w:cs="Times New Roman"/>
        </w:rPr>
        <w:t xml:space="preserve"> They are present in low abundances, sometimes even under the detection limit or only transient, the reason for this being inhibitory action of the gut microbiota the colonization resistance. </w:t>
      </w:r>
    </w:p>
    <w:p w14:paraId="21D3DCFF" w14:textId="36A72480" w:rsidR="002B4843" w:rsidRPr="002B4843" w:rsidRDefault="002B4843" w:rsidP="002B4843">
      <w:pPr>
        <w:rPr>
          <w:rFonts w:eastAsia="Times New Roman" w:cs="Times New Roman"/>
          <w:lang w:val="en-GB"/>
        </w:rPr>
      </w:pPr>
      <w:r w:rsidRPr="002B4843">
        <w:rPr>
          <w:rFonts w:eastAsia="Times New Roman" w:cs="Times New Roman"/>
        </w:rPr>
        <w:t xml:space="preserve">ARGs in the gut resistome can be intrinsic, encoded in core genomes, or acquired through horizontal gene transfer via plasmids, transposons and integrative elements. They cover resistance to all major antibiotic classes, through mechanisms such as reduced uptake and efflux, target modification, target protection or bypass, and antibiotic inactivation. Metagenomic surveys show that resistance to tetracyclines, bacitracin and glycopeptides (e.g. vancomycin) is particularly common in healthy individuals across multiple countries, with many ARGs traced to dominant commensal phyla such as </w:t>
      </w:r>
      <w:r w:rsidRPr="002B4843">
        <w:rPr>
          <w:rFonts w:eastAsia="Times New Roman" w:cs="Times New Roman"/>
          <w:i/>
          <w:iCs/>
        </w:rPr>
        <w:t>Bacillota</w:t>
      </w:r>
      <w:r w:rsidRPr="002B4843">
        <w:rPr>
          <w:rFonts w:eastAsia="Times New Roman" w:cs="Times New Roman"/>
        </w:rPr>
        <w:t xml:space="preserve"> and </w:t>
      </w:r>
      <w:r w:rsidRPr="002B4843">
        <w:rPr>
          <w:rFonts w:eastAsia="Times New Roman" w:cs="Times New Roman"/>
          <w:i/>
          <w:iCs/>
        </w:rPr>
        <w:t>Bacteroidetes</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ADDIN ZOTERO_ITEM CSL_CITATION {"citationID":"VbW6GLSL","properties":{"formattedCitation":"(Lee et al., 2023)","plainCitation":"(Lee et al., 2023)","noteIndex":0},"citationItems":[{"id":3492,"uris":["http://zotero.org/users/8873894/items/GX8ISJXU"],"itemData":{"id":3492,"type":"article-journal","abstract":"The widespread usage of antimicrobials has driven the evolution of resistance in pathogenic microbes, both increased prevalence of antimicrobial resistance genes (ARGs) and their spread across species by horizontal gene transfer (HGT). However, the impact on the wider community of commensal microbes associated with the human body, the microbiome, is less well understood. Small-scale studies have determined the transient impacts of antibiotic consumption but we conduct an extensive survey of ARGs in 8972 metagenomes to determine the population-level impacts. Focusing on 3096 gut microbiomes from healthy individuals not taking antibiotics we demonstrate highly significant correlations between both the total ARG abundance and diversity and per capita antibiotic usage rates across ten countries spanning three continents. Samples from China were notable outliers. We use a collection of 154,723 human-associated metagenome assembled genomes (MAGs) to link these ARGs to taxa and detect HGT. This reveals that the correlations in ARG abundance are driven by multi-species mobile ARGs shared between pathogens and commensals, within a highly connected central component of the network of MAGs and ARGs. We also observe that individual human gut ARG profiles cluster into two types or resistotypes. The less frequent resistotype has higher overall ARG abundance, is associated with certain classes of resistance, and is linked to species-specific genes in the Proteobacteria on the periphery of the ARG network.","container-title":"Nature Communications","DOI":"10.1038/s41467-023-36633-7","ISSN":"2041-1723","issue":"1","journalAbbreviation":"Nat Commun","language":"en","license":"2023 The Author(s)","note":"publisher: Nature Publishing Group","page":"1191","source":"www.nature.com","title":"Population-level impacts of antibiotic usage on the human gut microbiome","volume":"14","author":[{"family":"Lee","given":"Kihyun"},{"family":"Raguideau","given":"Sebastien"},{"family":"Sirén","given":"Kimmo"},{"family":"Asnicar","given":"Francesco"},{"family":"Cumbo","given":"Fabio"},{"family":"Hildebrand","given":"Falk"},{"family":"Segata","given":"Nicola"},{"family":"Cha","given":"Chang-Jun"},{"family":"Quince","given":"Christopher"}],"issued":{"date-parts":[["2023",3,2]]}}}],"schema":"https://github.com/citation-style-language/schema/raw/master/csl-citation.json"} </w:instrText>
      </w:r>
      <w:r>
        <w:rPr>
          <w:rFonts w:eastAsia="Times New Roman" w:cs="Times New Roman"/>
        </w:rPr>
        <w:fldChar w:fldCharType="separate"/>
      </w:r>
      <w:r w:rsidRPr="002B4843">
        <w:rPr>
          <w:rFonts w:cs="Times New Roman"/>
        </w:rPr>
        <w:t>(Lee et al., 2023)</w:t>
      </w:r>
      <w:r>
        <w:rPr>
          <w:rFonts w:eastAsia="Times New Roman" w:cs="Times New Roman"/>
        </w:rPr>
        <w:fldChar w:fldCharType="end"/>
      </w:r>
      <w:r w:rsidRPr="002B4843">
        <w:rPr>
          <w:rFonts w:eastAsia="Times New Roman" w:cs="Times New Roman"/>
        </w:rPr>
        <w:t>. Country</w:t>
      </w:r>
      <w:r w:rsidRPr="002B4843">
        <w:rPr>
          <w:rFonts w:eastAsia="Times New Roman" w:cs="Times New Roman"/>
        </w:rPr>
        <w:noBreakHyphen/>
        <w:t xml:space="preserve">specific analyses indicate that ARG abundance and diversity correlate with national antibiotic consumption patterns, and that gut resistome profiles </w:t>
      </w:r>
      <w:r w:rsidRPr="002B4843">
        <w:rPr>
          <w:rFonts w:eastAsia="Times New Roman" w:cs="Times New Roman"/>
        </w:rPr>
        <w:lastRenderedPageBreak/>
        <w:t>cluster into distinct “</w:t>
      </w:r>
      <w:proofErr w:type="spellStart"/>
      <w:r w:rsidRPr="002B4843">
        <w:rPr>
          <w:rFonts w:eastAsia="Times New Roman" w:cs="Times New Roman"/>
        </w:rPr>
        <w:t>resistotypes</w:t>
      </w:r>
      <w:proofErr w:type="spellEnd"/>
      <w:r w:rsidRPr="002B4843">
        <w:rPr>
          <w:rFonts w:eastAsia="Times New Roman" w:cs="Times New Roman"/>
        </w:rPr>
        <w:t>,” one of which is characterized by higher overall ARG load and enrichment for clinically important resistance classes</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ADDIN ZOTERO_ITEM CSL_CITATION {"citationID":"hP5onPGQ","properties":{"formattedCitation":"(Xia et al., 2019)","plainCitation":"(Xia et al., 2019)","noteIndex":0},"citationItems":[{"id":3489,"uris":["http://zotero.org/users/8873894/items/5W5HXCIU"],"itemData":{"id":3489,"type":"article-journal","abstract":"The emergence and spread of antibiotic resistance have become emerging threats to human health. The human gut is a large reservoir for antibiotic resistance genes. The gut resistome may be influenced by many factors, but the consumption of antibiotics at both individual and country level should be one of the most significant factors. Previous studies have suggested that the gut resistome of different populations may vary, but lack quantitative characterization supported with relatively large datasets. In this study, we filled the gap by analyzing a large gut resistome dataset of 1,267 human gut samples of America, China, Denmark, and Spain. We built a stacking machine-learning model to determine whether the gut resistome can act as the sole feature to identify the nationality of an individual reliably. It turned out that the machine learning method could successfully identify American, Chinese, Danish, and Spanish populations with F1 score of 0.964, 0.987, 0.971, and 0.986, respectively. Our finding does highlight the significant differences in the composition of the gut resistome among different nationalities. Our study should be valuable for policy-makers to look into the influences of country-specific factors of the human gut resistome.","container-title":"PeerJ","DOI":"10.7717/peerj.6389","ISSN":"2167-8359","journalAbbreviation":"PeerJ","language":"eng","note":"PMID: 30923648\nPMCID: PMC6431545","page":"e6389","source":"PubMed","title":"Human gut resistome can be country-specific","volume":"7","author":[{"family":"Xia","given":"Yao"},{"family":"Zhu","given":"Yanshan"},{"family":"Li","given":"Qier"},{"family":"Lu","given":"Jiahai"}],"issued":{"date-parts":[["2019"]]}}}],"schema":"https://github.com/citation-style-language/schema/raw/master/csl-citation.json"} </w:instrText>
      </w:r>
      <w:r>
        <w:rPr>
          <w:rFonts w:eastAsia="Times New Roman" w:cs="Times New Roman"/>
        </w:rPr>
        <w:fldChar w:fldCharType="separate"/>
      </w:r>
      <w:r w:rsidRPr="002B4843">
        <w:rPr>
          <w:rFonts w:cs="Times New Roman"/>
        </w:rPr>
        <w:t>(Xia et al., 2019)</w:t>
      </w:r>
      <w:r>
        <w:rPr>
          <w:rFonts w:eastAsia="Times New Roman" w:cs="Times New Roman"/>
        </w:rPr>
        <w:fldChar w:fldCharType="end"/>
      </w:r>
      <w:r w:rsidRPr="002B4843">
        <w:rPr>
          <w:rFonts w:eastAsia="Times New Roman" w:cs="Times New Roman"/>
        </w:rPr>
        <w:t>.</w:t>
      </w:r>
    </w:p>
    <w:p w14:paraId="01CF0055" w14:textId="0B3DAF5F" w:rsidR="002B4843" w:rsidRDefault="002B4843" w:rsidP="002B4843">
      <w:pPr>
        <w:rPr>
          <w:rFonts w:eastAsia="Times New Roman" w:cs="Times New Roman"/>
        </w:rPr>
      </w:pPr>
      <w:r w:rsidRPr="002B4843">
        <w:rPr>
          <w:rFonts w:eastAsia="Times New Roman" w:cs="Times New Roman"/>
        </w:rPr>
        <w:t>Antibiotic exposure strongly reshapes both the microbiota and the resistome. Short antibiotic courses typically reduce microbial diversity, create ecological bottlenecks and select for resistant and tolerant taxa, which can expand in relative abundance and elevate the gut ARG pool</w:t>
      </w:r>
      <w:r w:rsidR="00D26F2F">
        <w:rPr>
          <w:rFonts w:eastAsia="Times New Roman" w:cs="Times New Roman"/>
        </w:rPr>
        <w:t xml:space="preserve">. </w:t>
      </w:r>
      <w:r w:rsidR="00D26F2F" w:rsidRPr="002B4843">
        <w:rPr>
          <w:rFonts w:eastAsia="Times New Roman" w:cs="Times New Roman"/>
        </w:rPr>
        <w:t>Experimental and human longitudinal studies show that antibiotic treatment often increases the rate of horizontal gene transfer events and the abundance of mobile ARGs, sometimes with long</w:t>
      </w:r>
      <w:r w:rsidR="00D26F2F" w:rsidRPr="002B4843">
        <w:rPr>
          <w:rFonts w:eastAsia="Times New Roman" w:cs="Times New Roman"/>
        </w:rPr>
        <w:noBreakHyphen/>
        <w:t>lasting effects on resistome composition even after apparent taxonomic recovery. Across the lifespan, the gut resistome generally expands with age and cumulative antibiotic exposure, with elderly individuals and patients with chronic, antibiotic</w:t>
      </w:r>
      <w:r w:rsidR="00D26F2F" w:rsidRPr="002B4843">
        <w:rPr>
          <w:rFonts w:eastAsia="Times New Roman" w:cs="Times New Roman"/>
        </w:rPr>
        <w:noBreakHyphen/>
        <w:t>treated diseases often harboring higher loads and broader repertoires of ARGs</w:t>
      </w:r>
      <w:r w:rsidR="00D26F2F">
        <w:rPr>
          <w:rFonts w:eastAsia="Times New Roman" w:cs="Times New Roman"/>
        </w:rPr>
        <w:t xml:space="preserve"> </w:t>
      </w:r>
      <w:r w:rsidR="00D26F2F">
        <w:rPr>
          <w:rFonts w:eastAsia="Times New Roman" w:cs="Times New Roman"/>
        </w:rPr>
        <w:fldChar w:fldCharType="begin"/>
      </w:r>
      <w:r w:rsidR="00D26F2F">
        <w:rPr>
          <w:rFonts w:eastAsia="Times New Roman" w:cs="Times New Roman"/>
        </w:rPr>
        <w:instrText xml:space="preserve"> ADDIN ZOTERO_ITEM CSL_CITATION {"citationID":"FmcqPVHN","properties":{"formattedCitation":"(Ho et al., 2020)","plainCitation":"(Ho et al., 2020)","noteIndex":0},"citationItems":[{"id":3496,"uris":["http://zotero.org/users/8873894/items/EBF6AJTG"],"itemData":{"id":3496,"type":"article-journal","abstract":"In this review, we highlight the variations of gut resistome studies, which may preclude comparisons and translational interpretations. Of 22 included studies, a range of 12 to 2000 antibiotic resistance (AR) genes were profiled. Overall, studies defined a healthy gut resistome as subjects who had not taken antibiotics in the last three to 12 months prior to sampling. In studies with de novo assembly, AR genes were identified based on variable nucleotide or amino acid sequence similarities. Different marker genes were used for defining resistance to a given antibiotic class. Validation of phenotypic resistance in the laboratory is frequently lacking. Cryptic resistance, collateral sensitivity and the interaction with repressors or promotors were not investigated. International consensus is needed for selecting marker genes to define resistance to a given antibiotic class in addition to uniformity in phenotypic validation and bioinformatics pipelines.","container-title":"Gut Microbes","DOI":"10.1080/19490976.2019.1700755","ISSN":"1949-0984","issue":"1","journalAbbreviation":"Gut Microbes","language":"eng","note":"PMID: 31942825\nPMCID: PMC7524153","page":"1700755","source":"PubMed","title":"Systematic review of human gut resistome studies revealed variable definitions and approaches","volume":"12","author":[{"family":"Ho","given":"Jeffery"},{"family":"Yeoh","given":"Yun Kit"},{"family":"Barua","given":"Nilakshi"},{"family":"Chen","given":"Zigui"},{"family":"Lui","given":"Grace"},{"family":"Wong","given":"Sunny H."},{"family":"Yang","given":"Xiao"},{"family":"Chan","given":"Martin Cw"},{"family":"Chan","given":"Paul Ks"},{"family":"Hawkey","given":"Peter M."},{"family":"Ip","given":"Margaret"}],"issued":{"date-parts":[["2020",11,9]]}}}],"schema":"https://github.com/citation-style-language/schema/raw/master/csl-citation.json"} </w:instrText>
      </w:r>
      <w:r w:rsidR="00D26F2F">
        <w:rPr>
          <w:rFonts w:eastAsia="Times New Roman" w:cs="Times New Roman"/>
        </w:rPr>
        <w:fldChar w:fldCharType="separate"/>
      </w:r>
      <w:r w:rsidR="00D26F2F" w:rsidRPr="00D26F2F">
        <w:rPr>
          <w:rFonts w:cs="Times New Roman"/>
        </w:rPr>
        <w:t>(</w:t>
      </w:r>
      <w:r w:rsidR="00D26F2F">
        <w:rPr>
          <w:rFonts w:cs="Times New Roman"/>
        </w:rPr>
        <w:t xml:space="preserve">reviewed in </w:t>
      </w:r>
      <w:r w:rsidR="00D26F2F" w:rsidRPr="00D26F2F">
        <w:rPr>
          <w:rFonts w:cs="Times New Roman"/>
        </w:rPr>
        <w:t>Ho et al., 2020)</w:t>
      </w:r>
      <w:r w:rsidR="00D26F2F">
        <w:rPr>
          <w:rFonts w:eastAsia="Times New Roman" w:cs="Times New Roman"/>
        </w:rPr>
        <w:fldChar w:fldCharType="end"/>
      </w:r>
      <w:r w:rsidRPr="002B4843">
        <w:rPr>
          <w:rFonts w:eastAsia="Times New Roman" w:cs="Times New Roman"/>
        </w:rPr>
        <w:t xml:space="preserve">. </w:t>
      </w:r>
    </w:p>
    <w:p w14:paraId="60D4A8DD" w14:textId="4615D835" w:rsidR="00D26F2F" w:rsidRPr="002B4843" w:rsidRDefault="00D26F2F" w:rsidP="002B4843">
      <w:pPr>
        <w:rPr>
          <w:rFonts w:eastAsia="Times New Roman" w:cs="Times New Roman"/>
        </w:rPr>
      </w:pPr>
      <w:r w:rsidRPr="00D26F2F">
        <w:rPr>
          <w:rFonts w:eastAsia="Times New Roman" w:cs="Times New Roman"/>
        </w:rPr>
        <w:t>Methodologically, most human gut resistome studies rely on shotgun metagenomics combined with bioinformatic pipelines that map reads or assembled contigs to curated ARG databases. Simulation work has shown that reliable detection of low</w:t>
      </w:r>
      <w:r w:rsidRPr="00D26F2F">
        <w:rPr>
          <w:rFonts w:eastAsia="Times New Roman" w:cs="Times New Roman"/>
        </w:rPr>
        <w:noBreakHyphen/>
        <w:t>abundance ARGs requires relatively high sequencing depth, and that different tools and databases vary in sensitivity and precision</w:t>
      </w:r>
      <w:r>
        <w:rPr>
          <w:rFonts w:eastAsia="Times New Roman" w:cs="Times New Roman"/>
        </w:rPr>
        <w:t xml:space="preserve"> (). </w:t>
      </w:r>
      <w:r w:rsidRPr="00D26F2F">
        <w:rPr>
          <w:rFonts w:eastAsia="Times New Roman" w:cs="Times New Roman"/>
        </w:rPr>
        <w:t> Longitudinal metagenomic studies, though still fewer than cross</w:t>
      </w:r>
      <w:r w:rsidRPr="00D26F2F">
        <w:rPr>
          <w:rFonts w:eastAsia="Times New Roman" w:cs="Times New Roman"/>
        </w:rPr>
        <w:noBreakHyphen/>
        <w:t xml:space="preserve">sectional ones, reveal that individual </w:t>
      </w:r>
      <w:r w:rsidRPr="00D26F2F">
        <w:rPr>
          <w:rFonts w:eastAsia="Times New Roman" w:cs="Times New Roman"/>
        </w:rPr>
        <w:t>resistome</w:t>
      </w:r>
      <w:r w:rsidRPr="00D26F2F">
        <w:rPr>
          <w:rFonts w:eastAsia="Times New Roman" w:cs="Times New Roman"/>
        </w:rPr>
        <w:t xml:space="preserve"> are dynamic yet person</w:t>
      </w:r>
      <w:r w:rsidRPr="00D26F2F">
        <w:rPr>
          <w:rFonts w:eastAsia="Times New Roman" w:cs="Times New Roman"/>
        </w:rPr>
        <w:noBreakHyphen/>
        <w:t>specific, with ARG loads and compositions fluctuating over time but often tracking clinical events, antibiotic courses and microbiota shifts</w:t>
      </w:r>
      <w:r>
        <w:rPr>
          <w:rFonts w:eastAsia="Times New Roman" w:cs="Times New Roman"/>
        </w:rPr>
        <w:t xml:space="preserve"> </w:t>
      </w:r>
      <w:r>
        <w:rPr>
          <w:rFonts w:eastAsia="Times New Roman" w:cs="Times New Roman"/>
        </w:rPr>
        <w:fldChar w:fldCharType="begin"/>
      </w:r>
      <w:r>
        <w:rPr>
          <w:rFonts w:eastAsia="Times New Roman" w:cs="Times New Roman"/>
        </w:rPr>
        <w:instrText xml:space="preserve"> ADDIN ZOTERO_ITEM CSL_CITATION {"citationID":"yQfH2Bgf","properties":{"formattedCitation":"(Li et al., 2023)","plainCitation":"(Li et al., 2023)","noteIndex":0},"citationItems":[{"id":3501,"uris":["http://zotero.org/users/8873894/items/V5ETH9ZX"],"itemData":{"id":3501,"type":"article-journal","abstract":"Despite their crucial importance for human health, there is still relatively limited knowledge on how the gut resistome changes or responds to antibiotic treatment across ages, especially in the latter case. Here, we use fecal metagenomic data from 662 Danish infants and 217 young adults to fill this gap. The gut resistomes are characterized by a bimodal distribution driven by E. coli composition. The typical profile of the gut resistome differs significantly between adults and infants, with the latter distinguished by higher gene and plasmid abundances. However, the predominant antibiotic resistance genes (ARGs) are the same. Antibiotic treatment reduces bacterial diversity and increased ARG and plasmid abundances in both cohorts, especially core ARGs. The effects of antibiotic treatments on the gut microbiome last longer in adults than in infants, and different antibiotics are associated with distinct impacts. Overall, this study broadens our current understanding of gut resistome dynamics and the impact of antibiotic treatment across age groups.","container-title":"Nature Communications","DOI":"10.1038/s41467-023-44289-6","ISSN":"2041-1723","issue":"1","journalAbbreviation":"Nat Commun","language":"en","license":"2023 The Author(s)","note":"publisher: Nature Publishing Group","page":"8526","source":"www.nature.com","title":"Differential responses of the gut microbiome and resistome to antibiotic exposures in infants and adults","volume":"14","author":[{"family":"Li","given":"Xuanji"},{"family":"Brejnrod","given":"Asker"},{"family":"Thorsen","given":"Jonathan"},{"family":"Zachariasen","given":"Trine"},{"family":"Trivedi","given":"Urvish"},{"family":"Russel","given":"Jakob"},{"family":"Vestergaard","given":"Gisle Alberg"},{"family":"Stokholm","given":"Jakob"},{"family":"Rasmussen","given":"Morten Arendt"},{"family":"Sørensen","given":"Søren Johannes"}],"issued":{"date-parts":[["2023",12,22]]}}}],"schema":"https://github.com/citation-style-language/schema/raw/master/csl-citation.json"} </w:instrText>
      </w:r>
      <w:r>
        <w:rPr>
          <w:rFonts w:eastAsia="Times New Roman" w:cs="Times New Roman"/>
        </w:rPr>
        <w:fldChar w:fldCharType="separate"/>
      </w:r>
      <w:r w:rsidRPr="00D26F2F">
        <w:rPr>
          <w:rFonts w:cs="Times New Roman"/>
        </w:rPr>
        <w:t>(Li et al., 2023)</w:t>
      </w:r>
      <w:r>
        <w:rPr>
          <w:rFonts w:eastAsia="Times New Roman" w:cs="Times New Roman"/>
        </w:rPr>
        <w:fldChar w:fldCharType="end"/>
      </w:r>
      <w:r w:rsidRPr="00D26F2F">
        <w:rPr>
          <w:rFonts w:eastAsia="Times New Roman" w:cs="Times New Roman"/>
        </w:rPr>
        <w:t>. Together, these data support viewing the human gut resistome as a highly connected, age</w:t>
      </w:r>
      <w:r w:rsidRPr="00D26F2F">
        <w:rPr>
          <w:rFonts w:eastAsia="Times New Roman" w:cs="Times New Roman"/>
        </w:rPr>
        <w:noBreakHyphen/>
        <w:t xml:space="preserve"> and exposure</w:t>
      </w:r>
      <w:r w:rsidRPr="00D26F2F">
        <w:rPr>
          <w:rFonts w:eastAsia="Times New Roman" w:cs="Times New Roman"/>
        </w:rPr>
        <w:noBreakHyphen/>
        <w:t>dependent network of resistance determinants embedded within commensal and pathogenic populations, with major implications for infection risk, treatment outcomes and the design of microbiome</w:t>
      </w:r>
      <w:r w:rsidRPr="00D26F2F">
        <w:rPr>
          <w:rFonts w:eastAsia="Times New Roman" w:cs="Times New Roman"/>
        </w:rPr>
        <w:noBreakHyphen/>
        <w:t>based interventions.</w:t>
      </w:r>
    </w:p>
    <w:p w14:paraId="65644AFC" w14:textId="77777777" w:rsidR="00366FA9" w:rsidRPr="000718B9" w:rsidRDefault="00366FA9" w:rsidP="002B0298">
      <w:pPr>
        <w:rPr>
          <w:rFonts w:cs="Times New Roman"/>
          <w:lang w:val="en-GB"/>
        </w:rPr>
      </w:pPr>
    </w:p>
    <w:p w14:paraId="292A9CE6" w14:textId="77777777" w:rsidR="00366FA9" w:rsidRPr="000718B9" w:rsidRDefault="00366FA9" w:rsidP="002B0298">
      <w:pPr>
        <w:rPr>
          <w:rFonts w:eastAsia="Times New Roman" w:cs="Times New Roman"/>
          <w:b/>
          <w:bCs/>
          <w:lang w:val="en-GB"/>
        </w:rPr>
      </w:pPr>
      <w:r w:rsidRPr="000718B9">
        <w:rPr>
          <w:rFonts w:eastAsia="Times New Roman" w:cs="Times New Roman"/>
          <w:b/>
          <w:bCs/>
          <w:lang w:val="en-GB"/>
        </w:rPr>
        <w:t xml:space="preserve">RESEARCH PROBLEM </w:t>
      </w:r>
      <w:r w:rsidRPr="000718B9">
        <w:rPr>
          <w:rFonts w:eastAsia="Times New Roman" w:cs="Times New Roman"/>
          <w:b/>
          <w:bCs/>
          <w:lang w:val="en-GB"/>
        </w:rPr>
        <w:tab/>
      </w:r>
    </w:p>
    <w:p w14:paraId="62D1EB56" w14:textId="77777777" w:rsidR="00366FA9" w:rsidRPr="000718B9" w:rsidRDefault="00366FA9" w:rsidP="002B0298">
      <w:pPr>
        <w:pStyle w:val="Heading1"/>
        <w:rPr>
          <w:sz w:val="22"/>
          <w:szCs w:val="22"/>
          <w:lang w:val="en-GB"/>
        </w:rPr>
      </w:pPr>
      <w:r w:rsidRPr="000718B9">
        <w:rPr>
          <w:sz w:val="22"/>
          <w:szCs w:val="22"/>
          <w:lang w:val="en-GB"/>
        </w:rPr>
        <w:t xml:space="preserve">Hypothesis </w:t>
      </w:r>
    </w:p>
    <w:p w14:paraId="2A3E1C88" w14:textId="77777777" w:rsidR="00366FA9" w:rsidRPr="000718B9" w:rsidRDefault="00366FA9" w:rsidP="002B0298">
      <w:pPr>
        <w:pStyle w:val="ListParagraph"/>
        <w:numPr>
          <w:ilvl w:val="0"/>
          <w:numId w:val="1"/>
        </w:numPr>
        <w:rPr>
          <w:rFonts w:cs="Times New Roman"/>
          <w:lang w:val="en-GB"/>
        </w:rPr>
      </w:pPr>
      <w:r w:rsidRPr="000718B9">
        <w:rPr>
          <w:rFonts w:cs="Times New Roman"/>
          <w:lang w:val="en-GB"/>
        </w:rPr>
        <w:t>The gut sporobiota of an individual will be less stable than the gut microbiota.</w:t>
      </w:r>
    </w:p>
    <w:p w14:paraId="2BD96287" w14:textId="77777777" w:rsidR="00366FA9" w:rsidRPr="000718B9" w:rsidRDefault="00366FA9" w:rsidP="002B0298">
      <w:pPr>
        <w:rPr>
          <w:rFonts w:cs="Times New Roman"/>
          <w:lang w:val="en-GB"/>
        </w:rPr>
      </w:pPr>
    </w:p>
    <w:p w14:paraId="4DA595B5" w14:textId="77777777" w:rsidR="00366FA9" w:rsidRPr="000718B9" w:rsidRDefault="00366FA9" w:rsidP="002B0298">
      <w:pPr>
        <w:rPr>
          <w:rFonts w:cs="Times New Roman"/>
          <w:lang w:val="en-GB"/>
        </w:rPr>
      </w:pPr>
      <w:r w:rsidRPr="000718B9">
        <w:rPr>
          <w:rFonts w:cs="Times New Roman"/>
          <w:lang w:val="en-GB"/>
        </w:rPr>
        <w:t xml:space="preserve">We do not have any serious perturbations a too small cohort to talk about stability. To talk about persistence nobody has good enough methodology. And so the hypothesis can be disregarded at the start. But nobody mentioned this or even gave this a second look/thought. </w:t>
      </w:r>
    </w:p>
    <w:p w14:paraId="646D113A" w14:textId="77777777" w:rsidR="00366FA9" w:rsidRPr="000718B9" w:rsidRDefault="00366FA9" w:rsidP="002B0298">
      <w:pPr>
        <w:pStyle w:val="ListParagraph"/>
        <w:numPr>
          <w:ilvl w:val="0"/>
          <w:numId w:val="1"/>
        </w:numPr>
        <w:rPr>
          <w:rFonts w:cs="Times New Roman"/>
          <w:lang w:val="en-GB"/>
        </w:rPr>
      </w:pPr>
      <w:r w:rsidRPr="000718B9">
        <w:rPr>
          <w:rFonts w:cs="Times New Roman"/>
          <w:lang w:val="en-GB"/>
        </w:rPr>
        <w:t>Gut sporobiota and microbiota will change during the extreme event in most volunteers.</w:t>
      </w:r>
    </w:p>
    <w:p w14:paraId="473ABB0E" w14:textId="77777777" w:rsidR="00366FA9" w:rsidRPr="000718B9" w:rsidRDefault="00366FA9" w:rsidP="002B0298">
      <w:pPr>
        <w:rPr>
          <w:rFonts w:cs="Times New Roman"/>
          <w:lang w:val="en-GB"/>
        </w:rPr>
      </w:pPr>
    </w:p>
    <w:p w14:paraId="3326F1E3" w14:textId="77777777" w:rsidR="00366FA9" w:rsidRPr="000718B9" w:rsidRDefault="00366FA9" w:rsidP="002B0298">
      <w:pPr>
        <w:pStyle w:val="ListParagraph"/>
        <w:numPr>
          <w:ilvl w:val="0"/>
          <w:numId w:val="1"/>
        </w:numPr>
        <w:rPr>
          <w:rFonts w:cs="Times New Roman"/>
          <w:lang w:val="en-GB"/>
        </w:rPr>
      </w:pPr>
      <w:r w:rsidRPr="000718B9">
        <w:rPr>
          <w:rFonts w:cs="Times New Roman"/>
          <w:lang w:val="en-GB"/>
        </w:rPr>
        <w:t>Increased presence of resistance genes will correlate with reduced diversity of the microbiota.</w:t>
      </w:r>
    </w:p>
    <w:p w14:paraId="781A5738" w14:textId="77777777" w:rsidR="00366FA9" w:rsidRPr="000718B9" w:rsidRDefault="00366FA9" w:rsidP="002B0298">
      <w:pPr>
        <w:rPr>
          <w:rFonts w:cs="Times New Roman"/>
          <w:lang w:val="en-GB"/>
        </w:rPr>
      </w:pPr>
    </w:p>
    <w:p w14:paraId="259103AB" w14:textId="77777777" w:rsidR="00366FA9" w:rsidRPr="000718B9" w:rsidRDefault="00366FA9" w:rsidP="002B0298">
      <w:pPr>
        <w:pStyle w:val="Heading1"/>
        <w:rPr>
          <w:sz w:val="22"/>
          <w:szCs w:val="22"/>
          <w:lang w:val="en-GB"/>
        </w:rPr>
      </w:pPr>
      <w:r w:rsidRPr="000718B9">
        <w:rPr>
          <w:sz w:val="22"/>
          <w:szCs w:val="22"/>
          <w:lang w:val="en-GB"/>
        </w:rPr>
        <w:t xml:space="preserve">Research goals </w:t>
      </w:r>
    </w:p>
    <w:p w14:paraId="47468891" w14:textId="77777777" w:rsidR="00366FA9" w:rsidRPr="000718B9" w:rsidRDefault="00366FA9" w:rsidP="002B0298">
      <w:pPr>
        <w:pStyle w:val="ListParagraph"/>
        <w:numPr>
          <w:ilvl w:val="0"/>
          <w:numId w:val="2"/>
        </w:numPr>
        <w:rPr>
          <w:rFonts w:cs="Times New Roman"/>
          <w:lang w:val="en-GB"/>
        </w:rPr>
      </w:pPr>
      <w:r w:rsidRPr="000718B9">
        <w:rPr>
          <w:rFonts w:cs="Times New Roman"/>
          <w:lang w:val="en-GB"/>
        </w:rPr>
        <w:t>Description and comparison of the temporal stability of the gut microbiota and sporobiota in healthy individuals.</w:t>
      </w:r>
    </w:p>
    <w:p w14:paraId="77F20D85" w14:textId="77777777" w:rsidR="00366FA9" w:rsidRPr="000718B9" w:rsidRDefault="00366FA9" w:rsidP="002B0298">
      <w:pPr>
        <w:pStyle w:val="ListParagraph"/>
        <w:numPr>
          <w:ilvl w:val="0"/>
          <w:numId w:val="2"/>
        </w:numPr>
        <w:rPr>
          <w:rFonts w:cs="Times New Roman"/>
          <w:lang w:val="en-GB"/>
        </w:rPr>
      </w:pPr>
      <w:r w:rsidRPr="000718B9">
        <w:rPr>
          <w:rFonts w:cs="Times New Roman"/>
          <w:lang w:val="en-GB"/>
        </w:rPr>
        <w:t>Individual specific population genetics analysis on the isolated spore-forming species.</w:t>
      </w:r>
    </w:p>
    <w:p w14:paraId="1BFDA845" w14:textId="77777777" w:rsidR="00366FA9" w:rsidRPr="000718B9" w:rsidRDefault="00366FA9" w:rsidP="002B0298">
      <w:pPr>
        <w:pStyle w:val="ListParagraph"/>
        <w:numPr>
          <w:ilvl w:val="0"/>
          <w:numId w:val="2"/>
        </w:numPr>
        <w:rPr>
          <w:rFonts w:cs="Times New Roman"/>
          <w:lang w:val="en-GB"/>
        </w:rPr>
      </w:pPr>
      <w:r w:rsidRPr="000718B9">
        <w:rPr>
          <w:rFonts w:cs="Times New Roman"/>
          <w:lang w:val="en-GB"/>
        </w:rPr>
        <w:t>Monitoring longitudinal changes in the resistome depending on changes in the intestinal microbiota.</w:t>
      </w:r>
    </w:p>
    <w:p w14:paraId="5F6E6521" w14:textId="77777777" w:rsidR="00366FA9" w:rsidRPr="000718B9" w:rsidRDefault="00366FA9" w:rsidP="002B0298">
      <w:pPr>
        <w:rPr>
          <w:rFonts w:cs="Times New Roman"/>
          <w:lang w:val="en-GB"/>
        </w:rPr>
      </w:pPr>
    </w:p>
    <w:sectPr w:rsidR="00366FA9" w:rsidRPr="000718B9" w:rsidSect="009B30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17864"/>
    <w:multiLevelType w:val="hybridMultilevel"/>
    <w:tmpl w:val="F52C599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3BE03EA5"/>
    <w:multiLevelType w:val="multilevel"/>
    <w:tmpl w:val="CEA888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C06022"/>
    <w:multiLevelType w:val="hybridMultilevel"/>
    <w:tmpl w:val="73C850DA"/>
    <w:lvl w:ilvl="0" w:tplc="FFFFFFFF">
      <w:start w:val="5"/>
      <w:numFmt w:val="bullet"/>
      <w:lvlText w:val="-"/>
      <w:lvlJc w:val="left"/>
      <w:pPr>
        <w:ind w:left="720" w:hanging="360"/>
      </w:pPr>
      <w:rPr>
        <w:rFonts w:ascii="Calibri" w:eastAsiaTheme="minorHAnsi" w:hAnsi="Calibri" w:cs="Calibri" w:hint="default"/>
      </w:rPr>
    </w:lvl>
    <w:lvl w:ilvl="1" w:tplc="61EE3D82">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AA5289"/>
    <w:multiLevelType w:val="hybridMultilevel"/>
    <w:tmpl w:val="66C8A4D8"/>
    <w:lvl w:ilvl="0" w:tplc="D34EECEA">
      <w:start w:val="3"/>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46AA34B0"/>
    <w:multiLevelType w:val="hybridMultilevel"/>
    <w:tmpl w:val="3572AC6A"/>
    <w:lvl w:ilvl="0" w:tplc="1CBA4FF2">
      <w:start w:val="5"/>
      <w:numFmt w:val="bullet"/>
      <w:lvlText w:val="-"/>
      <w:lvlJc w:val="left"/>
      <w:pPr>
        <w:ind w:left="720" w:hanging="360"/>
      </w:pPr>
      <w:rPr>
        <w:rFonts w:ascii="Calibri" w:eastAsiaTheme="minorHAnsi" w:hAnsi="Calibri" w:cs="Calibri" w:hint="default"/>
      </w:rPr>
    </w:lvl>
    <w:lvl w:ilvl="1" w:tplc="61EE3D82">
      <w:start w:val="1"/>
      <w:numFmt w:val="bullet"/>
      <w:lvlText w:val="-"/>
      <w:lvlJc w:val="left"/>
      <w:pPr>
        <w:ind w:left="1440" w:hanging="360"/>
      </w:pPr>
      <w:rPr>
        <w:rFonts w:ascii="Calibri" w:hAnsi="Calibri"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47ED1C1D"/>
    <w:multiLevelType w:val="multilevel"/>
    <w:tmpl w:val="764A67B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2D27AA0"/>
    <w:multiLevelType w:val="multilevel"/>
    <w:tmpl w:val="B3404D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307053"/>
    <w:multiLevelType w:val="multilevel"/>
    <w:tmpl w:val="CEA888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9C64353"/>
    <w:multiLevelType w:val="hybridMultilevel"/>
    <w:tmpl w:val="EDD2511E"/>
    <w:lvl w:ilvl="0" w:tplc="FFFFFFF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64C723FC"/>
    <w:multiLevelType w:val="hybridMultilevel"/>
    <w:tmpl w:val="3F68C934"/>
    <w:lvl w:ilvl="0" w:tplc="61EE3D82">
      <w:start w:val="1"/>
      <w:numFmt w:val="bullet"/>
      <w:lvlText w:val="-"/>
      <w:lvlJc w:val="left"/>
      <w:pPr>
        <w:ind w:left="720" w:hanging="360"/>
      </w:pPr>
      <w:rPr>
        <w:rFonts w:ascii="Calibri" w:hAnsi="Calibri" w:hint="default"/>
      </w:rPr>
    </w:lvl>
    <w:lvl w:ilvl="1" w:tplc="145A071E">
      <w:start w:val="1"/>
      <w:numFmt w:val="bullet"/>
      <w:lvlText w:val="o"/>
      <w:lvlJc w:val="left"/>
      <w:pPr>
        <w:ind w:left="1440" w:hanging="360"/>
      </w:pPr>
      <w:rPr>
        <w:rFonts w:ascii="Courier New" w:hAnsi="Courier New" w:hint="default"/>
      </w:rPr>
    </w:lvl>
    <w:lvl w:ilvl="2" w:tplc="5EF417E2">
      <w:start w:val="1"/>
      <w:numFmt w:val="bullet"/>
      <w:lvlText w:val=""/>
      <w:lvlJc w:val="left"/>
      <w:pPr>
        <w:ind w:left="2160" w:hanging="360"/>
      </w:pPr>
      <w:rPr>
        <w:rFonts w:ascii="Wingdings" w:hAnsi="Wingdings" w:hint="default"/>
      </w:rPr>
    </w:lvl>
    <w:lvl w:ilvl="3" w:tplc="78B436F4">
      <w:start w:val="1"/>
      <w:numFmt w:val="bullet"/>
      <w:lvlText w:val=""/>
      <w:lvlJc w:val="left"/>
      <w:pPr>
        <w:ind w:left="2880" w:hanging="360"/>
      </w:pPr>
      <w:rPr>
        <w:rFonts w:ascii="Symbol" w:hAnsi="Symbol" w:hint="default"/>
      </w:rPr>
    </w:lvl>
    <w:lvl w:ilvl="4" w:tplc="AB543850">
      <w:start w:val="1"/>
      <w:numFmt w:val="bullet"/>
      <w:lvlText w:val="o"/>
      <w:lvlJc w:val="left"/>
      <w:pPr>
        <w:ind w:left="3600" w:hanging="360"/>
      </w:pPr>
      <w:rPr>
        <w:rFonts w:ascii="Courier New" w:hAnsi="Courier New" w:hint="default"/>
      </w:rPr>
    </w:lvl>
    <w:lvl w:ilvl="5" w:tplc="CFCEB8E8">
      <w:start w:val="1"/>
      <w:numFmt w:val="bullet"/>
      <w:lvlText w:val=""/>
      <w:lvlJc w:val="left"/>
      <w:pPr>
        <w:ind w:left="4320" w:hanging="360"/>
      </w:pPr>
      <w:rPr>
        <w:rFonts w:ascii="Wingdings" w:hAnsi="Wingdings" w:hint="default"/>
      </w:rPr>
    </w:lvl>
    <w:lvl w:ilvl="6" w:tplc="4D4022EA">
      <w:start w:val="1"/>
      <w:numFmt w:val="bullet"/>
      <w:lvlText w:val=""/>
      <w:lvlJc w:val="left"/>
      <w:pPr>
        <w:ind w:left="5040" w:hanging="360"/>
      </w:pPr>
      <w:rPr>
        <w:rFonts w:ascii="Symbol" w:hAnsi="Symbol" w:hint="default"/>
      </w:rPr>
    </w:lvl>
    <w:lvl w:ilvl="7" w:tplc="D5103E3E">
      <w:start w:val="1"/>
      <w:numFmt w:val="bullet"/>
      <w:lvlText w:val="o"/>
      <w:lvlJc w:val="left"/>
      <w:pPr>
        <w:ind w:left="5760" w:hanging="360"/>
      </w:pPr>
      <w:rPr>
        <w:rFonts w:ascii="Courier New" w:hAnsi="Courier New" w:hint="default"/>
      </w:rPr>
    </w:lvl>
    <w:lvl w:ilvl="8" w:tplc="4B9E7220">
      <w:start w:val="1"/>
      <w:numFmt w:val="bullet"/>
      <w:lvlText w:val=""/>
      <w:lvlJc w:val="left"/>
      <w:pPr>
        <w:ind w:left="6480" w:hanging="360"/>
      </w:pPr>
      <w:rPr>
        <w:rFonts w:ascii="Wingdings" w:hAnsi="Wingdings" w:hint="default"/>
      </w:rPr>
    </w:lvl>
  </w:abstractNum>
  <w:abstractNum w:abstractNumId="10" w15:restartNumberingAfterBreak="0">
    <w:nsid w:val="6A0F0F7D"/>
    <w:multiLevelType w:val="hybridMultilevel"/>
    <w:tmpl w:val="EC8C38E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6DAE01B3"/>
    <w:multiLevelType w:val="hybridMultilevel"/>
    <w:tmpl w:val="7C9E52C6"/>
    <w:lvl w:ilvl="0" w:tplc="492225FC">
      <w:start w:val="1"/>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70117F8E"/>
    <w:multiLevelType w:val="hybridMultilevel"/>
    <w:tmpl w:val="5FD2733E"/>
    <w:lvl w:ilvl="0" w:tplc="2A848374">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7CF770DA"/>
    <w:multiLevelType w:val="multilevel"/>
    <w:tmpl w:val="CEA888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00036595">
    <w:abstractNumId w:val="10"/>
  </w:num>
  <w:num w:numId="2" w16cid:durableId="5405006">
    <w:abstractNumId w:val="8"/>
  </w:num>
  <w:num w:numId="3" w16cid:durableId="2005158722">
    <w:abstractNumId w:val="3"/>
  </w:num>
  <w:num w:numId="4" w16cid:durableId="635138911">
    <w:abstractNumId w:val="9"/>
  </w:num>
  <w:num w:numId="5" w16cid:durableId="926111255">
    <w:abstractNumId w:val="0"/>
  </w:num>
  <w:num w:numId="6" w16cid:durableId="1109929845">
    <w:abstractNumId w:val="6"/>
  </w:num>
  <w:num w:numId="7" w16cid:durableId="987174276">
    <w:abstractNumId w:val="11"/>
  </w:num>
  <w:num w:numId="8" w16cid:durableId="672995249">
    <w:abstractNumId w:val="4"/>
  </w:num>
  <w:num w:numId="9" w16cid:durableId="1411931310">
    <w:abstractNumId w:val="2"/>
  </w:num>
  <w:num w:numId="10" w16cid:durableId="2089646910">
    <w:abstractNumId w:val="1"/>
  </w:num>
  <w:num w:numId="11" w16cid:durableId="435487480">
    <w:abstractNumId w:val="13"/>
  </w:num>
  <w:num w:numId="12" w16cid:durableId="2137404537">
    <w:abstractNumId w:val="7"/>
  </w:num>
  <w:num w:numId="13" w16cid:durableId="1786849938">
    <w:abstractNumId w:val="5"/>
  </w:num>
  <w:num w:numId="14" w16cid:durableId="20904988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75"/>
    <w:rsid w:val="00011DDA"/>
    <w:rsid w:val="00024BF3"/>
    <w:rsid w:val="00043736"/>
    <w:rsid w:val="00050A91"/>
    <w:rsid w:val="00050E00"/>
    <w:rsid w:val="00062735"/>
    <w:rsid w:val="000714BD"/>
    <w:rsid w:val="000718B9"/>
    <w:rsid w:val="000765B0"/>
    <w:rsid w:val="000D2C7B"/>
    <w:rsid w:val="00146121"/>
    <w:rsid w:val="0014682D"/>
    <w:rsid w:val="00151998"/>
    <w:rsid w:val="00162FE1"/>
    <w:rsid w:val="00163E36"/>
    <w:rsid w:val="00165730"/>
    <w:rsid w:val="001A3C04"/>
    <w:rsid w:val="001D5A7E"/>
    <w:rsid w:val="001F094F"/>
    <w:rsid w:val="001F6789"/>
    <w:rsid w:val="002115DB"/>
    <w:rsid w:val="00213950"/>
    <w:rsid w:val="00214B4C"/>
    <w:rsid w:val="002241EC"/>
    <w:rsid w:val="00234917"/>
    <w:rsid w:val="00257DBF"/>
    <w:rsid w:val="002800CB"/>
    <w:rsid w:val="00291290"/>
    <w:rsid w:val="002B0298"/>
    <w:rsid w:val="002B4843"/>
    <w:rsid w:val="002E1231"/>
    <w:rsid w:val="00366FA9"/>
    <w:rsid w:val="0037363C"/>
    <w:rsid w:val="00387315"/>
    <w:rsid w:val="00393B75"/>
    <w:rsid w:val="003A5E84"/>
    <w:rsid w:val="003C2DD2"/>
    <w:rsid w:val="003D08CA"/>
    <w:rsid w:val="003E0F5B"/>
    <w:rsid w:val="003E1E80"/>
    <w:rsid w:val="003E23F1"/>
    <w:rsid w:val="00406B57"/>
    <w:rsid w:val="00410C19"/>
    <w:rsid w:val="00451642"/>
    <w:rsid w:val="00470198"/>
    <w:rsid w:val="00484C1A"/>
    <w:rsid w:val="004A26D0"/>
    <w:rsid w:val="004E5802"/>
    <w:rsid w:val="004F3B93"/>
    <w:rsid w:val="00536D04"/>
    <w:rsid w:val="0054416F"/>
    <w:rsid w:val="00566657"/>
    <w:rsid w:val="00585EC7"/>
    <w:rsid w:val="00594C83"/>
    <w:rsid w:val="005B58E2"/>
    <w:rsid w:val="006023BA"/>
    <w:rsid w:val="00617B51"/>
    <w:rsid w:val="00630A35"/>
    <w:rsid w:val="0065215C"/>
    <w:rsid w:val="00655317"/>
    <w:rsid w:val="0068563B"/>
    <w:rsid w:val="00694D51"/>
    <w:rsid w:val="00696714"/>
    <w:rsid w:val="006A3EF0"/>
    <w:rsid w:val="00741F1A"/>
    <w:rsid w:val="007935A5"/>
    <w:rsid w:val="007A7303"/>
    <w:rsid w:val="007F2362"/>
    <w:rsid w:val="00821D6A"/>
    <w:rsid w:val="008253C5"/>
    <w:rsid w:val="00835065"/>
    <w:rsid w:val="00864000"/>
    <w:rsid w:val="008C2120"/>
    <w:rsid w:val="008E2A6D"/>
    <w:rsid w:val="009050C4"/>
    <w:rsid w:val="00922E0C"/>
    <w:rsid w:val="009407DD"/>
    <w:rsid w:val="0095070E"/>
    <w:rsid w:val="0096077D"/>
    <w:rsid w:val="00970C05"/>
    <w:rsid w:val="00982C9B"/>
    <w:rsid w:val="00993A40"/>
    <w:rsid w:val="009B30B2"/>
    <w:rsid w:val="00A204E4"/>
    <w:rsid w:val="00A2059F"/>
    <w:rsid w:val="00A41847"/>
    <w:rsid w:val="00A8151D"/>
    <w:rsid w:val="00A830F1"/>
    <w:rsid w:val="00A9096A"/>
    <w:rsid w:val="00AC7027"/>
    <w:rsid w:val="00AF678C"/>
    <w:rsid w:val="00B3513B"/>
    <w:rsid w:val="00B5055D"/>
    <w:rsid w:val="00B73B7B"/>
    <w:rsid w:val="00C4203B"/>
    <w:rsid w:val="00C66DA0"/>
    <w:rsid w:val="00CE6D97"/>
    <w:rsid w:val="00CF1396"/>
    <w:rsid w:val="00D13AE4"/>
    <w:rsid w:val="00D20902"/>
    <w:rsid w:val="00D26F2F"/>
    <w:rsid w:val="00D306DB"/>
    <w:rsid w:val="00D42465"/>
    <w:rsid w:val="00D6363B"/>
    <w:rsid w:val="00D83058"/>
    <w:rsid w:val="00D961E6"/>
    <w:rsid w:val="00DA0CAB"/>
    <w:rsid w:val="00DA4F9A"/>
    <w:rsid w:val="00DA623C"/>
    <w:rsid w:val="00DD201B"/>
    <w:rsid w:val="00DD49FF"/>
    <w:rsid w:val="00DE610E"/>
    <w:rsid w:val="00DF0F01"/>
    <w:rsid w:val="00E01EB1"/>
    <w:rsid w:val="00E0460E"/>
    <w:rsid w:val="00E05E30"/>
    <w:rsid w:val="00E933C6"/>
    <w:rsid w:val="00EC2090"/>
    <w:rsid w:val="00ED03A8"/>
    <w:rsid w:val="00ED3702"/>
    <w:rsid w:val="00F14503"/>
    <w:rsid w:val="00F534F7"/>
    <w:rsid w:val="00FB3A3E"/>
    <w:rsid w:val="00FE594D"/>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11B4"/>
  <w15:chartTrackingRefBased/>
  <w15:docId w15:val="{5F5973DA-A6E6-4D3C-9A31-F1B889C1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A3E"/>
    <w:pPr>
      <w:spacing w:line="360" w:lineRule="auto"/>
      <w:jc w:val="both"/>
    </w:pPr>
    <w:rPr>
      <w:rFonts w:ascii="Times New Roman" w:hAnsi="Times New Roman"/>
      <w:kern w:val="0"/>
      <w14:ligatures w14:val="none"/>
    </w:rPr>
  </w:style>
  <w:style w:type="paragraph" w:styleId="Heading1">
    <w:name w:val="heading 1"/>
    <w:basedOn w:val="Normal"/>
    <w:next w:val="Normal"/>
    <w:link w:val="Heading1Char"/>
    <w:uiPriority w:val="9"/>
    <w:qFormat/>
    <w:rsid w:val="00011DDA"/>
    <w:pPr>
      <w:outlineLvl w:val="0"/>
    </w:pPr>
    <w:rPr>
      <w:rFonts w:eastAsia="Times New Roman" w:cs="Times New Roman"/>
      <w:b/>
      <w:bCs/>
      <w:sz w:val="24"/>
      <w:szCs w:val="24"/>
    </w:rPr>
  </w:style>
  <w:style w:type="paragraph" w:styleId="Heading2">
    <w:name w:val="heading 2"/>
    <w:basedOn w:val="Normal"/>
    <w:next w:val="Normal"/>
    <w:link w:val="Heading2Char"/>
    <w:uiPriority w:val="9"/>
    <w:unhideWhenUsed/>
    <w:qFormat/>
    <w:rsid w:val="00011DDA"/>
    <w:pPr>
      <w:outlineLvl w:val="1"/>
    </w:pPr>
    <w:rPr>
      <w:b/>
    </w:rPr>
  </w:style>
  <w:style w:type="paragraph" w:styleId="Heading3">
    <w:name w:val="heading 3"/>
    <w:basedOn w:val="Heading2"/>
    <w:next w:val="Normal"/>
    <w:link w:val="Heading3Char"/>
    <w:uiPriority w:val="9"/>
    <w:unhideWhenUsed/>
    <w:qFormat/>
    <w:rsid w:val="008E2A6D"/>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B93"/>
    <w:pPr>
      <w:ind w:left="720"/>
      <w:contextualSpacing/>
    </w:pPr>
  </w:style>
  <w:style w:type="character" w:customStyle="1" w:styleId="Heading2Char">
    <w:name w:val="Heading 2 Char"/>
    <w:basedOn w:val="DefaultParagraphFont"/>
    <w:link w:val="Heading2"/>
    <w:uiPriority w:val="9"/>
    <w:rsid w:val="00011DDA"/>
    <w:rPr>
      <w:rFonts w:ascii="Times New Roman" w:hAnsi="Times New Roman"/>
      <w:b/>
      <w:kern w:val="0"/>
      <w14:ligatures w14:val="none"/>
    </w:rPr>
  </w:style>
  <w:style w:type="character" w:customStyle="1" w:styleId="Heading1Char">
    <w:name w:val="Heading 1 Char"/>
    <w:basedOn w:val="DefaultParagraphFont"/>
    <w:link w:val="Heading1"/>
    <w:uiPriority w:val="9"/>
    <w:rsid w:val="00011DDA"/>
    <w:rPr>
      <w:rFonts w:ascii="Times New Roman" w:eastAsia="Times New Roman" w:hAnsi="Times New Roman" w:cs="Times New Roman"/>
      <w:b/>
      <w:bCs/>
      <w:kern w:val="0"/>
      <w:sz w:val="24"/>
      <w:szCs w:val="24"/>
      <w14:ligatures w14:val="none"/>
    </w:rPr>
  </w:style>
  <w:style w:type="character" w:customStyle="1" w:styleId="Heading3Char">
    <w:name w:val="Heading 3 Char"/>
    <w:basedOn w:val="DefaultParagraphFont"/>
    <w:link w:val="Heading3"/>
    <w:uiPriority w:val="9"/>
    <w:rsid w:val="008E2A6D"/>
    <w:rPr>
      <w:rFonts w:ascii="Times New Roman" w:hAnsi="Times New Roman"/>
      <w:b/>
      <w:kern w:val="0"/>
      <w14:ligatures w14:val="none"/>
    </w:rPr>
  </w:style>
  <w:style w:type="character" w:styleId="Hyperlink">
    <w:name w:val="Hyperlink"/>
    <w:basedOn w:val="DefaultParagraphFont"/>
    <w:uiPriority w:val="99"/>
    <w:unhideWhenUsed/>
    <w:rsid w:val="005B58E2"/>
    <w:rPr>
      <w:color w:val="0563C1" w:themeColor="hyperlink"/>
      <w:u w:val="single"/>
    </w:rPr>
  </w:style>
  <w:style w:type="character" w:styleId="CommentReference">
    <w:name w:val="annotation reference"/>
    <w:basedOn w:val="DefaultParagraphFont"/>
    <w:uiPriority w:val="99"/>
    <w:semiHidden/>
    <w:unhideWhenUsed/>
    <w:qFormat/>
    <w:rsid w:val="002B0298"/>
    <w:rPr>
      <w:sz w:val="16"/>
      <w:szCs w:val="16"/>
    </w:rPr>
  </w:style>
  <w:style w:type="paragraph" w:styleId="CommentText">
    <w:name w:val="annotation text"/>
    <w:basedOn w:val="Normal"/>
    <w:link w:val="CommentTextChar"/>
    <w:uiPriority w:val="99"/>
    <w:semiHidden/>
    <w:unhideWhenUsed/>
    <w:qFormat/>
    <w:rsid w:val="002B0298"/>
    <w:pPr>
      <w:suppressAutoHyphens/>
      <w:spacing w:line="240" w:lineRule="auto"/>
      <w:jc w:val="left"/>
    </w:pPr>
    <w:rPr>
      <w:rFonts w:asciiTheme="minorHAnsi" w:hAnsiTheme="minorHAnsi"/>
      <w:kern w:val="2"/>
      <w:sz w:val="20"/>
      <w:szCs w:val="20"/>
      <w14:ligatures w14:val="standardContextual"/>
    </w:rPr>
  </w:style>
  <w:style w:type="character" w:customStyle="1" w:styleId="CommentTextChar">
    <w:name w:val="Comment Text Char"/>
    <w:basedOn w:val="DefaultParagraphFont"/>
    <w:link w:val="CommentText"/>
    <w:uiPriority w:val="99"/>
    <w:semiHidden/>
    <w:rsid w:val="002B0298"/>
    <w:rPr>
      <w:sz w:val="20"/>
      <w:szCs w:val="20"/>
    </w:rPr>
  </w:style>
  <w:style w:type="character" w:styleId="UnresolvedMention">
    <w:name w:val="Unresolved Mention"/>
    <w:basedOn w:val="DefaultParagraphFont"/>
    <w:uiPriority w:val="99"/>
    <w:semiHidden/>
    <w:unhideWhenUsed/>
    <w:rsid w:val="0096077D"/>
    <w:rPr>
      <w:color w:val="605E5C"/>
      <w:shd w:val="clear" w:color="auto" w:fill="E1DFDD"/>
    </w:rPr>
  </w:style>
  <w:style w:type="character" w:styleId="FollowedHyperlink">
    <w:name w:val="FollowedHyperlink"/>
    <w:basedOn w:val="DefaultParagraphFont"/>
    <w:uiPriority w:val="99"/>
    <w:semiHidden/>
    <w:unhideWhenUsed/>
    <w:rsid w:val="00922E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839255">
      <w:bodyDiv w:val="1"/>
      <w:marLeft w:val="0"/>
      <w:marRight w:val="0"/>
      <w:marTop w:val="0"/>
      <w:marBottom w:val="0"/>
      <w:divBdr>
        <w:top w:val="none" w:sz="0" w:space="0" w:color="auto"/>
        <w:left w:val="none" w:sz="0" w:space="0" w:color="auto"/>
        <w:bottom w:val="none" w:sz="0" w:space="0" w:color="auto"/>
        <w:right w:val="none" w:sz="0" w:space="0" w:color="auto"/>
      </w:divBdr>
    </w:div>
    <w:div w:id="646784475">
      <w:bodyDiv w:val="1"/>
      <w:marLeft w:val="0"/>
      <w:marRight w:val="0"/>
      <w:marTop w:val="0"/>
      <w:marBottom w:val="0"/>
      <w:divBdr>
        <w:top w:val="none" w:sz="0" w:space="0" w:color="auto"/>
        <w:left w:val="none" w:sz="0" w:space="0" w:color="auto"/>
        <w:bottom w:val="none" w:sz="0" w:space="0" w:color="auto"/>
        <w:right w:val="none" w:sz="0" w:space="0" w:color="auto"/>
      </w:divBdr>
    </w:div>
    <w:div w:id="654801117">
      <w:bodyDiv w:val="1"/>
      <w:marLeft w:val="0"/>
      <w:marRight w:val="0"/>
      <w:marTop w:val="0"/>
      <w:marBottom w:val="0"/>
      <w:divBdr>
        <w:top w:val="none" w:sz="0" w:space="0" w:color="auto"/>
        <w:left w:val="none" w:sz="0" w:space="0" w:color="auto"/>
        <w:bottom w:val="none" w:sz="0" w:space="0" w:color="auto"/>
        <w:right w:val="none" w:sz="0" w:space="0" w:color="auto"/>
      </w:divBdr>
    </w:div>
    <w:div w:id="1313024560">
      <w:bodyDiv w:val="1"/>
      <w:marLeft w:val="0"/>
      <w:marRight w:val="0"/>
      <w:marTop w:val="0"/>
      <w:marBottom w:val="0"/>
      <w:divBdr>
        <w:top w:val="none" w:sz="0" w:space="0" w:color="auto"/>
        <w:left w:val="none" w:sz="0" w:space="0" w:color="auto"/>
        <w:bottom w:val="none" w:sz="0" w:space="0" w:color="auto"/>
        <w:right w:val="none" w:sz="0" w:space="0" w:color="auto"/>
      </w:divBdr>
    </w:div>
    <w:div w:id="1479111617">
      <w:bodyDiv w:val="1"/>
      <w:marLeft w:val="0"/>
      <w:marRight w:val="0"/>
      <w:marTop w:val="0"/>
      <w:marBottom w:val="0"/>
      <w:divBdr>
        <w:top w:val="none" w:sz="0" w:space="0" w:color="auto"/>
        <w:left w:val="none" w:sz="0" w:space="0" w:color="auto"/>
        <w:bottom w:val="none" w:sz="0" w:space="0" w:color="auto"/>
        <w:right w:val="none" w:sz="0" w:space="0" w:color="auto"/>
      </w:divBdr>
    </w:div>
    <w:div w:id="210449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3032</TotalTime>
  <Pages>9</Pages>
  <Words>40997</Words>
  <Characters>233688</Characters>
  <Application>Microsoft Office Word</Application>
  <DocSecurity>0</DocSecurity>
  <Lines>1947</Lines>
  <Paragraphs>548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274137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82</cp:revision>
  <dcterms:created xsi:type="dcterms:W3CDTF">2024-12-05T07:59:00Z</dcterms:created>
  <dcterms:modified xsi:type="dcterms:W3CDTF">2025-12-17T15:09:00Z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id="dVNUpobB"/&gt;&lt;style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