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EF330" w14:textId="123F0628" w:rsidR="00812F3D" w:rsidRPr="00511463" w:rsidRDefault="00812F3D" w:rsidP="00812F3D">
      <w:pPr>
        <w:pStyle w:val="ListParagraph"/>
        <w:numPr>
          <w:ilvl w:val="0"/>
          <w:numId w:val="14"/>
        </w:numPr>
        <w:rPr>
          <w:lang w:val="en-GB"/>
        </w:rPr>
      </w:pPr>
      <w:r w:rsidRPr="00511463">
        <w:rPr>
          <w:lang w:val="en-GB"/>
        </w:rPr>
        <w:t>Description and comparison of the temporal stability of the gut microbiota and sporobiota in healthy individuals.</w:t>
      </w:r>
    </w:p>
    <w:p w14:paraId="4858CEDE" w14:textId="77777777" w:rsidR="00812F3D" w:rsidRPr="00511463" w:rsidRDefault="00812F3D" w:rsidP="00812F3D">
      <w:pPr>
        <w:rPr>
          <w:lang w:val="en-GB"/>
        </w:rPr>
      </w:pPr>
    </w:p>
    <w:p w14:paraId="2366B88D" w14:textId="7D6FBC1B" w:rsidR="00AA6D81" w:rsidRPr="00511463" w:rsidRDefault="00AA6D81" w:rsidP="00812F3D">
      <w:pPr>
        <w:pStyle w:val="ListParagraph"/>
        <w:numPr>
          <w:ilvl w:val="1"/>
          <w:numId w:val="14"/>
        </w:numPr>
        <w:rPr>
          <w:lang w:val="en-GB"/>
        </w:rPr>
      </w:pPr>
      <w:r w:rsidRPr="00511463">
        <w:rPr>
          <w:lang w:val="en-GB"/>
        </w:rPr>
        <w:t xml:space="preserve">Comparison of isolation protocols </w:t>
      </w:r>
      <w:r w:rsidR="00283AE2" w:rsidRPr="00511463">
        <w:rPr>
          <w:lang w:val="en-GB"/>
        </w:rPr>
        <w:t>for bulk</w:t>
      </w:r>
      <w:r w:rsidRPr="00511463">
        <w:rPr>
          <w:lang w:val="en-GB"/>
        </w:rPr>
        <w:t xml:space="preserve"> bacterial DNA from human stool samples</w:t>
      </w:r>
    </w:p>
    <w:p w14:paraId="7B68F352" w14:textId="2FAE6198" w:rsidR="00283AE2" w:rsidRPr="00511463" w:rsidRDefault="00283AE2" w:rsidP="00812F3D">
      <w:pPr>
        <w:rPr>
          <w:lang w:val="en-GB"/>
        </w:rPr>
      </w:pPr>
      <w:r w:rsidRPr="00511463">
        <w:rPr>
          <w:lang w:val="en-GB"/>
        </w:rPr>
        <w:t xml:space="preserve">The experiment included three stool samples and a negative control </w:t>
      </w:r>
      <w:r w:rsidR="00E22DEA">
        <w:rPr>
          <w:lang w:val="en-GB"/>
        </w:rPr>
        <w:t xml:space="preserve">each </w:t>
      </w:r>
      <w:r w:rsidRPr="00511463">
        <w:rPr>
          <w:lang w:val="en-GB"/>
        </w:rPr>
        <w:t xml:space="preserve">isolated </w:t>
      </w:r>
      <w:r w:rsidR="00E22DEA">
        <w:rPr>
          <w:lang w:val="en-GB"/>
        </w:rPr>
        <w:t>using</w:t>
      </w:r>
      <w:r w:rsidRPr="00511463">
        <w:rPr>
          <w:lang w:val="en-GB"/>
        </w:rPr>
        <w:t xml:space="preserve"> four protocols in triplicate. Two criteria</w:t>
      </w:r>
      <w:r w:rsidR="00E22DEA">
        <w:rPr>
          <w:lang w:val="en-GB"/>
        </w:rPr>
        <w:t xml:space="preserve"> were used to select </w:t>
      </w:r>
      <w:r w:rsidRPr="00511463">
        <w:rPr>
          <w:lang w:val="en-GB"/>
        </w:rPr>
        <w:t xml:space="preserve">the best protocol: </w:t>
      </w:r>
      <w:r w:rsidR="2FB1640D" w:rsidRPr="00511463">
        <w:rPr>
          <w:lang w:val="en-GB"/>
        </w:rPr>
        <w:t xml:space="preserve">the highest </w:t>
      </w:r>
      <w:r w:rsidR="00E22DEA">
        <w:rPr>
          <w:lang w:val="en-GB"/>
        </w:rPr>
        <w:t xml:space="preserve">DNA </w:t>
      </w:r>
      <w:r w:rsidR="2FB1640D" w:rsidRPr="00511463">
        <w:rPr>
          <w:lang w:val="en-GB"/>
        </w:rPr>
        <w:t xml:space="preserve">yield and </w:t>
      </w:r>
      <w:r w:rsidR="00E22DEA">
        <w:rPr>
          <w:lang w:val="en-GB"/>
        </w:rPr>
        <w:t>ability</w:t>
      </w:r>
      <w:r w:rsidR="2FB1640D" w:rsidRPr="00511463">
        <w:rPr>
          <w:lang w:val="en-GB"/>
        </w:rPr>
        <w:t xml:space="preserve"> to isolate all bacterial phyla known to reside </w:t>
      </w:r>
      <w:r w:rsidR="00E22DEA">
        <w:rPr>
          <w:lang w:val="en-GB"/>
        </w:rPr>
        <w:t>in the</w:t>
      </w:r>
      <w:r w:rsidR="2FB1640D" w:rsidRPr="00511463">
        <w:rPr>
          <w:lang w:val="en-GB"/>
        </w:rPr>
        <w:t xml:space="preserve"> human gut</w:t>
      </w:r>
      <w:r w:rsidR="00812F3D" w:rsidRPr="00511463">
        <w:rPr>
          <w:lang w:val="en-GB"/>
        </w:rPr>
        <w:t xml:space="preserve"> (REF Cradle to Grave)</w:t>
      </w:r>
      <w:r w:rsidR="2FB1640D" w:rsidRPr="00511463">
        <w:rPr>
          <w:lang w:val="en-GB"/>
        </w:rPr>
        <w:t xml:space="preserve">. </w:t>
      </w:r>
    </w:p>
    <w:p w14:paraId="2DC4579B" w14:textId="130CCCE7" w:rsidR="00EA6699" w:rsidRPr="00511463" w:rsidRDefault="00D8395C" w:rsidP="00812F3D">
      <w:pPr>
        <w:rPr>
          <w:lang w:val="en-GB"/>
        </w:rPr>
      </w:pPr>
      <w:r w:rsidRPr="00511463">
        <w:rPr>
          <w:lang w:val="en-GB"/>
        </w:rPr>
        <w:t xml:space="preserve">All four DNA isolation kits </w:t>
      </w:r>
      <w:r w:rsidR="00E22DEA">
        <w:rPr>
          <w:lang w:val="en-GB"/>
        </w:rPr>
        <w:t>produced</w:t>
      </w:r>
      <w:r w:rsidRPr="00511463">
        <w:rPr>
          <w:lang w:val="en-GB"/>
        </w:rPr>
        <w:t xml:space="preserve"> DNA concentrations sufficient for downstream molecular applications, </w:t>
      </w:r>
      <w:r w:rsidR="003B43A7" w:rsidRPr="00511463">
        <w:rPr>
          <w:lang w:val="en-GB"/>
        </w:rPr>
        <w:t xml:space="preserve">with PowerFecal producing DNA concentrations approximately ten times higher than the other protocols </w:t>
      </w:r>
      <w:r w:rsidR="00283AE2" w:rsidRPr="00511463">
        <w:rPr>
          <w:lang w:val="en-GB"/>
        </w:rPr>
        <w:t xml:space="preserve">(Figure </w:t>
      </w:r>
      <w:r w:rsidR="000F54D2" w:rsidRPr="00511463">
        <w:rPr>
          <w:lang w:val="en-GB"/>
        </w:rPr>
        <w:t>1</w:t>
      </w:r>
      <w:r w:rsidR="00283AE2" w:rsidRPr="00511463">
        <w:rPr>
          <w:lang w:val="en-GB"/>
        </w:rPr>
        <w:t>A)</w:t>
      </w:r>
      <w:r w:rsidR="00AA6D81" w:rsidRPr="00511463">
        <w:rPr>
          <w:lang w:val="en-GB"/>
        </w:rPr>
        <w:t xml:space="preserve">. </w:t>
      </w:r>
      <w:r w:rsidR="00C652C6" w:rsidRPr="00511463">
        <w:rPr>
          <w:lang w:val="en-GB"/>
        </w:rPr>
        <w:t xml:space="preserve">Similar observation on good performance of PowerFecal protocol was reported previously for human samples (doi:10.1186/s12866-020-01894-5). </w:t>
      </w:r>
      <w:r w:rsidR="00EF4442" w:rsidRPr="00511463">
        <w:rPr>
          <w:lang w:val="en-GB"/>
        </w:rPr>
        <w:t>DNA c</w:t>
      </w:r>
      <w:r w:rsidR="009A3E39" w:rsidRPr="00511463">
        <w:rPr>
          <w:lang w:val="en-GB"/>
        </w:rPr>
        <w:t>oncentration of negative controls was around 1 ng/µl, but the OTUs</w:t>
      </w:r>
      <w:r w:rsidR="003B43A7" w:rsidRPr="00511463">
        <w:rPr>
          <w:lang w:val="en-GB"/>
        </w:rPr>
        <w:t xml:space="preserve"> had on average 2 reads (max 5), </w:t>
      </w:r>
      <w:r w:rsidR="00C652C6" w:rsidRPr="00511463">
        <w:rPr>
          <w:lang w:val="en-GB"/>
        </w:rPr>
        <w:t>which implies contamination during the library preparation step</w:t>
      </w:r>
      <w:r w:rsidR="009A3E39" w:rsidRPr="00511463">
        <w:rPr>
          <w:lang w:val="en-GB"/>
        </w:rPr>
        <w:t xml:space="preserve">. </w:t>
      </w:r>
      <w:r w:rsidRPr="00511463">
        <w:rPr>
          <w:lang w:val="en-GB"/>
        </w:rPr>
        <w:t xml:space="preserve">Details on sequencing, quality control and OTU clustering (Supplementary Table 2). </w:t>
      </w:r>
      <w:r w:rsidR="00EA6699" w:rsidRPr="00511463">
        <w:rPr>
          <w:lang w:val="en-GB"/>
        </w:rPr>
        <w:t xml:space="preserve">Community-based analysis showed differences among different DNA isolation kits in terms of community composition and occurrence of OTUs. </w:t>
      </w:r>
      <w:r w:rsidRPr="00511463">
        <w:rPr>
          <w:lang w:val="en-GB"/>
        </w:rPr>
        <w:t xml:space="preserve">Dneasy protocol showed significantly lower alpha diversity and density of clustering compared to other three protocols (Figure 1B, 1C). This is due to Dneasy protocol not being able to isolate </w:t>
      </w:r>
      <w:r w:rsidRPr="00511463">
        <w:rPr>
          <w:i/>
          <w:iCs/>
          <w:lang w:val="en-GB"/>
        </w:rPr>
        <w:t xml:space="preserve">Bacteroides </w:t>
      </w:r>
      <w:r w:rsidRPr="00511463">
        <w:rPr>
          <w:lang w:val="en-GB"/>
        </w:rPr>
        <w:t xml:space="preserve">in the same amount as the other protocols (Figure 1D). </w:t>
      </w:r>
      <w:r w:rsidR="00EA6699" w:rsidRPr="00511463">
        <w:rPr>
          <w:lang w:val="en-GB"/>
        </w:rPr>
        <w:t xml:space="preserve">These results highlight the importance of using the same DNA isolation protocol in a single study, especially when </w:t>
      </w:r>
      <w:r w:rsidR="00EF4442" w:rsidRPr="00511463">
        <w:rPr>
          <w:lang w:val="en-GB"/>
        </w:rPr>
        <w:t>analysing</w:t>
      </w:r>
      <w:r w:rsidR="00EA6699" w:rsidRPr="00511463">
        <w:rPr>
          <w:lang w:val="en-GB"/>
        </w:rPr>
        <w:t xml:space="preserve"> gut microbiome data with low sequencing depths</w:t>
      </w:r>
      <w:r w:rsidR="00C652C6" w:rsidRPr="00511463">
        <w:rPr>
          <w:lang w:val="en-GB"/>
        </w:rPr>
        <w:t xml:space="preserve"> (REF)</w:t>
      </w:r>
      <w:r w:rsidR="00EA6699" w:rsidRPr="00511463">
        <w:rPr>
          <w:lang w:val="en-GB"/>
        </w:rPr>
        <w:t>.</w:t>
      </w:r>
      <w:r w:rsidR="00C652C6" w:rsidRPr="00511463">
        <w:rPr>
          <w:lang w:val="en-GB"/>
        </w:rPr>
        <w:t xml:space="preserve"> </w:t>
      </w:r>
      <w:r w:rsidRPr="00511463">
        <w:rPr>
          <w:lang w:val="en-GB"/>
        </w:rPr>
        <w:t xml:space="preserve">For isolation of DNA from human stool samples, we chose PowerFecal protocol because of ease of isolation protocol and highest DNA yield, but taking into account the isolation of all major phyla in the human gut. </w:t>
      </w:r>
    </w:p>
    <w:p w14:paraId="7AD61F97" w14:textId="1ED6E38C" w:rsidR="00EA6699" w:rsidRPr="00511463" w:rsidRDefault="00316831" w:rsidP="00812F3D">
      <w:pPr>
        <w:rPr>
          <w:lang w:val="en-GB"/>
        </w:rPr>
      </w:pPr>
      <w:r w:rsidRPr="00511463">
        <w:rPr>
          <w:noProof/>
          <w:lang w:val="en-GB"/>
        </w:rPr>
        <w:lastRenderedPageBreak/>
        <w:drawing>
          <wp:inline distT="0" distB="0" distL="0" distR="0" wp14:anchorId="34E43D77" wp14:editId="027881B4">
            <wp:extent cx="5943600" cy="4220210"/>
            <wp:effectExtent l="0" t="0" r="0" b="8890"/>
            <wp:docPr id="21017887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88790" name="Picture 1" descr="A screenshot of a graph&#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4220210"/>
                    </a:xfrm>
                    <a:prstGeom prst="rect">
                      <a:avLst/>
                    </a:prstGeom>
                  </pic:spPr>
                </pic:pic>
              </a:graphicData>
            </a:graphic>
          </wp:inline>
        </w:drawing>
      </w:r>
    </w:p>
    <w:p w14:paraId="1FE649E1" w14:textId="4FA0875F" w:rsidR="000B3498" w:rsidRPr="00511463" w:rsidRDefault="00981841" w:rsidP="00812F3D">
      <w:pPr>
        <w:rPr>
          <w:lang w:val="en-GB"/>
        </w:rPr>
      </w:pPr>
      <w:r w:rsidRPr="00511463">
        <w:rPr>
          <w:lang w:val="en-GB"/>
        </w:rPr>
        <w:t>Figure</w:t>
      </w:r>
      <w:r w:rsidR="000F54D2" w:rsidRPr="00511463">
        <w:rPr>
          <w:lang w:val="en-GB"/>
        </w:rPr>
        <w:t xml:space="preserve"> 1.</w:t>
      </w:r>
      <w:r w:rsidRPr="00511463">
        <w:rPr>
          <w:lang w:val="en-GB"/>
        </w:rPr>
        <w:t xml:space="preserve"> Comparison of DNA </w:t>
      </w:r>
      <w:r w:rsidR="00C652C6" w:rsidRPr="00511463">
        <w:rPr>
          <w:lang w:val="en-GB"/>
        </w:rPr>
        <w:t>concentration</w:t>
      </w:r>
      <w:r w:rsidRPr="00511463">
        <w:rPr>
          <w:lang w:val="en-GB"/>
        </w:rPr>
        <w:t xml:space="preserve">, alpha and beta diversity </w:t>
      </w:r>
      <w:r w:rsidR="00870FC6" w:rsidRPr="00511463">
        <w:rPr>
          <w:lang w:val="en-GB"/>
        </w:rPr>
        <w:t xml:space="preserve">and the </w:t>
      </w:r>
      <w:r w:rsidR="00C652C6" w:rsidRPr="00511463">
        <w:rPr>
          <w:lang w:val="en-GB"/>
        </w:rPr>
        <w:t>relative abundance</w:t>
      </w:r>
      <w:r w:rsidR="00870FC6" w:rsidRPr="00511463">
        <w:rPr>
          <w:lang w:val="en-GB"/>
        </w:rPr>
        <w:t xml:space="preserve"> of </w:t>
      </w:r>
      <w:r w:rsidR="00C652C6" w:rsidRPr="00511463">
        <w:rPr>
          <w:lang w:val="en-GB"/>
        </w:rPr>
        <w:t>phyla o</w:t>
      </w:r>
      <w:r w:rsidRPr="00511463">
        <w:rPr>
          <w:lang w:val="en-GB"/>
        </w:rPr>
        <w:t>btained with four different DNA isolation protocols. A) DNA concentrations [ng/µl] after isolation, measured with Quant-iT™ PicoGreen™ dsDNA Assay and dsDNA Reagents (Invitrogen™).</w:t>
      </w:r>
      <w:r w:rsidR="001F728F" w:rsidRPr="00511463">
        <w:rPr>
          <w:lang w:val="en-GB"/>
        </w:rPr>
        <w:t xml:space="preserve"> p-values above connecting boxplots are result from </w:t>
      </w:r>
      <w:r w:rsidR="00C70049" w:rsidRPr="00511463">
        <w:rPr>
          <w:lang w:val="en-GB"/>
        </w:rPr>
        <w:t>paired t-</w:t>
      </w:r>
      <w:r w:rsidR="001F728F" w:rsidRPr="00511463">
        <w:rPr>
          <w:lang w:val="en-GB"/>
        </w:rPr>
        <w:t>test.</w:t>
      </w:r>
      <w:r w:rsidRPr="00511463">
        <w:rPr>
          <w:lang w:val="en-GB"/>
        </w:rPr>
        <w:t xml:space="preserve"> B) </w:t>
      </w:r>
      <w:r w:rsidR="00C652C6" w:rsidRPr="00511463">
        <w:rPr>
          <w:lang w:val="en-GB"/>
        </w:rPr>
        <w:t xml:space="preserve">Shannon index for alpha diversity, with t-test p-values denoted by </w:t>
      </w:r>
      <w:r w:rsidR="001669F6" w:rsidRPr="001669F6">
        <w:t>asterisk</w:t>
      </w:r>
      <w:r w:rsidR="001669F6">
        <w:t xml:space="preserve"> </w:t>
      </w:r>
      <w:r w:rsidR="00C652C6" w:rsidRPr="00511463">
        <w:rPr>
          <w:lang w:val="en-GB"/>
        </w:rPr>
        <w:t>(</w:t>
      </w:r>
      <w:r w:rsidR="00622267" w:rsidRPr="00511463">
        <w:rPr>
          <w:lang w:val="en-GB"/>
        </w:rPr>
        <w:t xml:space="preserve">** </w:t>
      </w:r>
      <w:r w:rsidR="001F728F" w:rsidRPr="00511463">
        <w:rPr>
          <w:lang w:val="en-GB"/>
        </w:rPr>
        <w:t xml:space="preserve">&lt; 0.01, *** </w:t>
      </w:r>
      <w:r w:rsidR="00622267" w:rsidRPr="00511463">
        <w:rPr>
          <w:lang w:val="en-GB"/>
        </w:rPr>
        <w:t xml:space="preserve">&lt; </w:t>
      </w:r>
      <w:r w:rsidR="001F728F" w:rsidRPr="00511463">
        <w:rPr>
          <w:lang w:val="en-GB"/>
        </w:rPr>
        <w:t>0.001</w:t>
      </w:r>
      <w:r w:rsidR="00C652C6" w:rsidRPr="00511463">
        <w:rPr>
          <w:lang w:val="en-GB"/>
        </w:rPr>
        <w:t xml:space="preserve">) for significantly different values. </w:t>
      </w:r>
      <w:r w:rsidRPr="00511463">
        <w:rPr>
          <w:lang w:val="en-GB"/>
        </w:rPr>
        <w:t>C) Non-metric multidimensional ordination based on Bray-Curtis distances</w:t>
      </w:r>
      <w:r w:rsidR="00D62819" w:rsidRPr="00511463">
        <w:rPr>
          <w:lang w:val="en-GB"/>
        </w:rPr>
        <w:t>, with PERMANOVA results for comparison of community structure between kits</w:t>
      </w:r>
      <w:r w:rsidRPr="00511463">
        <w:rPr>
          <w:lang w:val="en-GB"/>
        </w:rPr>
        <w:t xml:space="preserve">. </w:t>
      </w:r>
      <w:r w:rsidR="00EA6699" w:rsidRPr="00511463">
        <w:rPr>
          <w:lang w:val="en-GB"/>
        </w:rPr>
        <w:t xml:space="preserve">D) </w:t>
      </w:r>
      <w:r w:rsidR="00C652C6" w:rsidRPr="00511463">
        <w:rPr>
          <w:lang w:val="en-GB"/>
        </w:rPr>
        <w:t xml:space="preserve">Relative abundance across samples for each DNA isolation protocol, excluding phyla with relative abundance less than 0.01%. </w:t>
      </w:r>
      <w:r w:rsidRPr="00511463">
        <w:rPr>
          <w:lang w:val="en-GB"/>
        </w:rPr>
        <w:t xml:space="preserve">Legend: FastDNA: QIAamp Fast DNA Stool Mini Kit, NucleoSpin: NucleoSpin Soil Mini kit, PowerFecal: QIAamp PowerFecal Pro DNA Kit, DNAeasy: in-house protocol based on DNeasy Blood &amp; Tissue protocol. </w:t>
      </w:r>
      <w:bookmarkStart w:id="0" w:name="_Toc184220083"/>
      <w:bookmarkStart w:id="1" w:name="_Toc184220363"/>
    </w:p>
    <w:p w14:paraId="6716377D" w14:textId="32F18BF1" w:rsidR="003A38E6" w:rsidRPr="00511463" w:rsidRDefault="003A38E6" w:rsidP="00812F3D">
      <w:pPr>
        <w:rPr>
          <w:lang w:val="en-GB"/>
        </w:rPr>
      </w:pPr>
    </w:p>
    <w:p w14:paraId="378F96B0" w14:textId="77777777" w:rsidR="0079344D" w:rsidRPr="00511463" w:rsidRDefault="0079344D" w:rsidP="00812F3D">
      <w:pPr>
        <w:rPr>
          <w:b/>
          <w:lang w:val="en-GB"/>
        </w:rPr>
      </w:pPr>
      <w:r w:rsidRPr="00511463">
        <w:rPr>
          <w:lang w:val="en-GB"/>
        </w:rPr>
        <w:br w:type="page"/>
      </w:r>
    </w:p>
    <w:p w14:paraId="5FCF3F2E" w14:textId="6839F8CE" w:rsidR="00D8395C" w:rsidRPr="00511463" w:rsidRDefault="00D8395C" w:rsidP="00D8395C">
      <w:pPr>
        <w:pStyle w:val="ListParagraph"/>
        <w:numPr>
          <w:ilvl w:val="1"/>
          <w:numId w:val="14"/>
        </w:numPr>
        <w:rPr>
          <w:lang w:val="en-GB"/>
        </w:rPr>
      </w:pPr>
      <w:bookmarkStart w:id="2" w:name="_Hlk208387671"/>
      <w:r w:rsidRPr="00511463">
        <w:rPr>
          <w:lang w:val="en-GB"/>
        </w:rPr>
        <w:lastRenderedPageBreak/>
        <w:t xml:space="preserve"> Effectiveness of ethanol or heat shock in elimination of vegetative cells from stool samples </w:t>
      </w:r>
    </w:p>
    <w:p w14:paraId="718CFC98" w14:textId="7EA1655E" w:rsidR="00C50759" w:rsidRPr="00511463" w:rsidRDefault="002919DA" w:rsidP="00D8395C">
      <w:pPr>
        <w:pStyle w:val="ListParagraph"/>
        <w:numPr>
          <w:ilvl w:val="2"/>
          <w:numId w:val="14"/>
        </w:numPr>
        <w:rPr>
          <w:lang w:val="en-GB"/>
        </w:rPr>
      </w:pPr>
      <w:r w:rsidRPr="00511463">
        <w:rPr>
          <w:lang w:val="en-GB"/>
        </w:rPr>
        <w:t>Cultivation of spore forming bacteria from human gut after ethanol or heat shock</w:t>
      </w:r>
      <w:bookmarkEnd w:id="0"/>
      <w:bookmarkEnd w:id="1"/>
      <w:r w:rsidRPr="00511463">
        <w:rPr>
          <w:lang w:val="en-GB"/>
        </w:rPr>
        <w:t xml:space="preserve"> </w:t>
      </w:r>
    </w:p>
    <w:bookmarkEnd w:id="2"/>
    <w:p w14:paraId="08A2F9F1" w14:textId="5449D305" w:rsidR="00644700" w:rsidRPr="00511463" w:rsidRDefault="003A38E6" w:rsidP="00812F3D">
      <w:pPr>
        <w:rPr>
          <w:lang w:val="en-GB"/>
        </w:rPr>
      </w:pPr>
      <w:r w:rsidRPr="00511463">
        <w:rPr>
          <w:lang w:val="en-GB"/>
        </w:rPr>
        <w:t xml:space="preserve">The experiment </w:t>
      </w:r>
      <w:r w:rsidR="00454E5D" w:rsidRPr="00511463">
        <w:rPr>
          <w:lang w:val="en-GB"/>
        </w:rPr>
        <w:t xml:space="preserve">included two stool samples that were treated with two variations of ethanol </w:t>
      </w:r>
      <w:r w:rsidR="00680693" w:rsidRPr="00511463">
        <w:rPr>
          <w:lang w:val="en-GB"/>
        </w:rPr>
        <w:t xml:space="preserve">(70% and 100% ethanol for 24 h) </w:t>
      </w:r>
      <w:r w:rsidR="000F54D2" w:rsidRPr="00511463">
        <w:rPr>
          <w:lang w:val="en-GB"/>
        </w:rPr>
        <w:t>and</w:t>
      </w:r>
      <w:r w:rsidR="00454E5D" w:rsidRPr="00511463">
        <w:rPr>
          <w:lang w:val="en-GB"/>
        </w:rPr>
        <w:t xml:space="preserve"> heat shock</w:t>
      </w:r>
      <w:r w:rsidR="00680693" w:rsidRPr="00511463">
        <w:rPr>
          <w:lang w:val="en-GB"/>
        </w:rPr>
        <w:t xml:space="preserve"> (30 or 60 min at 80 °C)</w:t>
      </w:r>
      <w:r w:rsidR="00454E5D" w:rsidRPr="00511463">
        <w:rPr>
          <w:lang w:val="en-GB"/>
        </w:rPr>
        <w:t>. The goal was to test the efficiency of ethanol or heat shock at elimination of vegetative cells from stool samples</w:t>
      </w:r>
      <w:r w:rsidR="00D8395C" w:rsidRPr="00511463">
        <w:rPr>
          <w:lang w:val="en-GB"/>
        </w:rPr>
        <w:t xml:space="preserve"> for subsequent cultivation of spore-fromign bacteria</w:t>
      </w:r>
      <w:r w:rsidR="00454E5D" w:rsidRPr="00511463">
        <w:rPr>
          <w:lang w:val="en-GB"/>
        </w:rPr>
        <w:t xml:space="preserve">. Additionally, we </w:t>
      </w:r>
      <w:r w:rsidR="00DA5920" w:rsidRPr="00511463">
        <w:rPr>
          <w:lang w:val="en-GB"/>
        </w:rPr>
        <w:t>tried</w:t>
      </w:r>
      <w:r w:rsidR="00454E5D" w:rsidRPr="00511463">
        <w:rPr>
          <w:lang w:val="en-GB"/>
        </w:rPr>
        <w:t xml:space="preserve"> the addition of </w:t>
      </w:r>
      <w:r w:rsidR="000F54D2" w:rsidRPr="00511463">
        <w:rPr>
          <w:lang w:val="en-GB"/>
        </w:rPr>
        <w:t xml:space="preserve">bile acids and </w:t>
      </w:r>
      <w:r w:rsidR="00454E5D" w:rsidRPr="00511463">
        <w:rPr>
          <w:lang w:val="en-GB"/>
        </w:rPr>
        <w:t xml:space="preserve">enrichment in liquid culture </w:t>
      </w:r>
      <w:r w:rsidR="00DA5920" w:rsidRPr="00511463">
        <w:rPr>
          <w:lang w:val="en-GB"/>
        </w:rPr>
        <w:t>for better</w:t>
      </w:r>
      <w:r w:rsidR="00454E5D" w:rsidRPr="00511463">
        <w:rPr>
          <w:lang w:val="en-GB"/>
        </w:rPr>
        <w:t xml:space="preserve"> germination of spore-forming bacteria. We investigated this by </w:t>
      </w:r>
      <w:r w:rsidR="000F54D2" w:rsidRPr="00511463">
        <w:rPr>
          <w:lang w:val="en-GB"/>
        </w:rPr>
        <w:t>colony-forming units (CFU) count</w:t>
      </w:r>
      <w:r w:rsidR="00454E5D" w:rsidRPr="00511463">
        <w:rPr>
          <w:lang w:val="en-GB"/>
        </w:rPr>
        <w:t xml:space="preserve"> and community structure</w:t>
      </w:r>
      <w:r w:rsidR="00DA5920" w:rsidRPr="00511463">
        <w:rPr>
          <w:lang w:val="en-GB"/>
        </w:rPr>
        <w:t xml:space="preserve"> </w:t>
      </w:r>
      <w:r w:rsidR="00680693" w:rsidRPr="00511463">
        <w:rPr>
          <w:lang w:val="en-GB"/>
        </w:rPr>
        <w:t xml:space="preserve">based on 16S rRNA sequences </w:t>
      </w:r>
      <w:r w:rsidR="00454E5D" w:rsidRPr="00511463">
        <w:rPr>
          <w:lang w:val="en-GB"/>
        </w:rPr>
        <w:t>over the span of 14 days of cultivation in anaerobic chamber at 37 °C.</w:t>
      </w:r>
    </w:p>
    <w:p w14:paraId="08FAAB7B" w14:textId="7CECFC48" w:rsidR="00D8395C" w:rsidRPr="00511463" w:rsidRDefault="00FF44A2" w:rsidP="00812F3D">
      <w:pPr>
        <w:rPr>
          <w:lang w:val="en-GB"/>
        </w:rPr>
      </w:pPr>
      <w:r w:rsidRPr="00511463">
        <w:rPr>
          <w:lang w:val="en-GB"/>
        </w:rPr>
        <w:t>The number of colony-forming units (CFU) was influenced by the addition of 5% bile acids solution in the final step of washing</w:t>
      </w:r>
      <w:r w:rsidR="00D8395C" w:rsidRPr="00511463">
        <w:rPr>
          <w:lang w:val="en-GB"/>
        </w:rPr>
        <w:t xml:space="preserve">. Only a small number of bacteria were able to grow on plates after enrichment in the liquid medium with added BA (CFU &lt; 10), while more than 100 colonies were observed after enrichment in liquid medium without BA (Figure 1, left). As time progressed bacteria in the enrichment cultures used all the resources available and we were not able to grow any bacteria on plates. Indicating we were sampling a dead community. The opposite was observed on plates, where the addition of BA in the final step of washing resulted in immediate high CFU (&gt; 150 CFU on day 1), as opposed to slower growth on plates without BA (&gt; 10 CFU only after day 5) (Figure 2, right). </w:t>
      </w:r>
    </w:p>
    <w:p w14:paraId="799395BD" w14:textId="3679469C" w:rsidR="00FB2F2F" w:rsidRPr="00511463" w:rsidRDefault="007910CD" w:rsidP="00812F3D">
      <w:pPr>
        <w:rPr>
          <w:lang w:val="en-GB"/>
        </w:rPr>
      </w:pPr>
      <w:r>
        <w:rPr>
          <w:noProof/>
          <w:lang w:val="en-GB"/>
        </w:rPr>
        <w:drawing>
          <wp:inline distT="0" distB="0" distL="0" distR="0" wp14:anchorId="4734BA9C" wp14:editId="188F0013">
            <wp:extent cx="5943600" cy="2790825"/>
            <wp:effectExtent l="0" t="0" r="0" b="9525"/>
            <wp:docPr id="2833759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0825"/>
                    </a:xfrm>
                    <a:prstGeom prst="rect">
                      <a:avLst/>
                    </a:prstGeom>
                    <a:noFill/>
                    <a:ln>
                      <a:noFill/>
                    </a:ln>
                  </pic:spPr>
                </pic:pic>
              </a:graphicData>
            </a:graphic>
          </wp:inline>
        </w:drawing>
      </w:r>
    </w:p>
    <w:p w14:paraId="453D7EBC" w14:textId="4BFECBD2" w:rsidR="00FB2F2F" w:rsidRPr="00511463" w:rsidRDefault="0018666E" w:rsidP="00812F3D">
      <w:pPr>
        <w:rPr>
          <w:lang w:val="en-GB"/>
        </w:rPr>
      </w:pPr>
      <w:r w:rsidRPr="00511463">
        <w:rPr>
          <w:lang w:val="en-GB"/>
        </w:rPr>
        <w:t xml:space="preserve">Figure </w:t>
      </w:r>
      <w:r w:rsidR="00274033" w:rsidRPr="00511463">
        <w:rPr>
          <w:lang w:val="en-GB"/>
        </w:rPr>
        <w:t>2.</w:t>
      </w:r>
      <w:r w:rsidR="00FF44A2" w:rsidRPr="00511463">
        <w:rPr>
          <w:lang w:val="en-GB"/>
        </w:rPr>
        <w:t xml:space="preserve"> </w:t>
      </w:r>
      <w:r w:rsidR="00D8395C" w:rsidRPr="00511463">
        <w:rPr>
          <w:lang w:val="en-GB"/>
        </w:rPr>
        <w:t xml:space="preserve">Bacterial growth on BHIS (with/without BA) after heat and ethanol shock. Growth of bacteria on agar plates with or without beforehand enrichment in liquid media; with and without addition of bile acids </w:t>
      </w:r>
      <w:r w:rsidR="00D8395C" w:rsidRPr="00511463">
        <w:rPr>
          <w:lang w:val="en-GB"/>
        </w:rPr>
        <w:lastRenderedPageBreak/>
        <w:t xml:space="preserve">after heat </w:t>
      </w:r>
      <w:r w:rsidR="00FF44A2" w:rsidRPr="00511463">
        <w:rPr>
          <w:lang w:val="en-GB"/>
        </w:rPr>
        <w:t xml:space="preserve">shock (80 °C for 30/60 min with constant shaking) and ethanol shock (100/70% ethanol for 24 h with constant shaking) from day 1, 2, 5, 7, and 14. </w:t>
      </w:r>
      <w:r w:rsidR="009F648E" w:rsidRPr="00511463">
        <w:rPr>
          <w:lang w:val="en-GB"/>
        </w:rPr>
        <w:t xml:space="preserve"> </w:t>
      </w:r>
    </w:p>
    <w:p w14:paraId="48AF5129" w14:textId="3ABC33D9" w:rsidR="00D8395C" w:rsidRPr="00511463" w:rsidRDefault="00B61A60" w:rsidP="00812F3D">
      <w:pPr>
        <w:rPr>
          <w:lang w:val="en-GB"/>
        </w:rPr>
      </w:pPr>
      <w:r w:rsidRPr="00511463">
        <w:rPr>
          <w:lang w:val="en-GB"/>
        </w:rPr>
        <w:t xml:space="preserve">Amplicon sequencing of swapped plates and enrichment cultures gave us information as to who was eliminated, and which taxa were subsequently enriched. </w:t>
      </w:r>
      <w:r w:rsidR="00554BDD" w:rsidRPr="00511463">
        <w:rPr>
          <w:lang w:val="en-GB"/>
        </w:rPr>
        <w:t>Liquid culture supported growth of more bacteri</w:t>
      </w:r>
      <w:r w:rsidR="00D8395C" w:rsidRPr="00511463">
        <w:rPr>
          <w:lang w:val="en-GB"/>
        </w:rPr>
        <w:t xml:space="preserve">a, especially with addition of BA than agar plates, both with or without </w:t>
      </w:r>
      <w:r w:rsidR="00554BDD" w:rsidRPr="00511463">
        <w:rPr>
          <w:lang w:val="en-GB"/>
        </w:rPr>
        <w:t xml:space="preserve">addition of </w:t>
      </w:r>
      <w:r w:rsidR="00D8395C" w:rsidRPr="00511463">
        <w:rPr>
          <w:lang w:val="en-GB"/>
        </w:rPr>
        <w:t xml:space="preserve">BA. This is contrary to the observed CFU, supported by a negative correlation between CFU and number of OTUs (Pearson correlation, p &lt; 0.005). </w:t>
      </w:r>
    </w:p>
    <w:p w14:paraId="5D5CD7CC" w14:textId="5FF7DE46" w:rsidR="00D8395C" w:rsidRPr="00511463" w:rsidRDefault="0079344D" w:rsidP="00812F3D">
      <w:pPr>
        <w:rPr>
          <w:lang w:val="en-GB"/>
        </w:rPr>
      </w:pPr>
      <w:r w:rsidRPr="00511463">
        <w:rPr>
          <w:lang w:val="en-GB"/>
        </w:rPr>
        <w:t xml:space="preserve">The composition of stool samples was </w:t>
      </w:r>
      <w:r w:rsidR="00D8395C" w:rsidRPr="00511463">
        <w:rPr>
          <w:lang w:val="en-GB"/>
        </w:rPr>
        <w:t xml:space="preserve">that of </w:t>
      </w:r>
      <w:r w:rsidRPr="00511463">
        <w:rPr>
          <w:lang w:val="en-GB"/>
        </w:rPr>
        <w:t xml:space="preserve">healthy western individuals (45.3% </w:t>
      </w:r>
      <w:r w:rsidRPr="00511463">
        <w:rPr>
          <w:i/>
          <w:iCs/>
          <w:lang w:val="en-GB"/>
        </w:rPr>
        <w:t>Bacillota</w:t>
      </w:r>
      <w:r w:rsidRPr="00511463">
        <w:rPr>
          <w:lang w:val="en-GB"/>
        </w:rPr>
        <w:t xml:space="preserve">, 34.1% </w:t>
      </w:r>
      <w:r w:rsidRPr="00511463">
        <w:rPr>
          <w:i/>
          <w:iCs/>
          <w:lang w:val="en-GB"/>
        </w:rPr>
        <w:t>Bacteriodota</w:t>
      </w:r>
      <w:r w:rsidRPr="00511463">
        <w:rPr>
          <w:lang w:val="en-GB"/>
        </w:rPr>
        <w:t xml:space="preserve">, 3.6% </w:t>
      </w:r>
      <w:r w:rsidRPr="00511463">
        <w:rPr>
          <w:i/>
          <w:iCs/>
          <w:lang w:val="en-GB"/>
        </w:rPr>
        <w:t>Actinomycetota</w:t>
      </w:r>
      <w:r w:rsidRPr="00511463">
        <w:rPr>
          <w:lang w:val="en-GB"/>
        </w:rPr>
        <w:t xml:space="preserve">, 8.2% </w:t>
      </w:r>
      <w:r w:rsidRPr="00511463">
        <w:rPr>
          <w:i/>
          <w:iCs/>
          <w:lang w:val="en-GB"/>
        </w:rPr>
        <w:t>Pseudomonadota</w:t>
      </w:r>
      <w:r w:rsidRPr="00511463">
        <w:rPr>
          <w:lang w:val="en-GB"/>
        </w:rPr>
        <w:t xml:space="preserve">, 4% </w:t>
      </w:r>
      <w:r w:rsidRPr="00511463">
        <w:rPr>
          <w:i/>
          <w:iCs/>
          <w:lang w:val="en-GB"/>
        </w:rPr>
        <w:t>Verrucomicrobiota</w:t>
      </w:r>
      <w:r w:rsidRPr="00511463">
        <w:rPr>
          <w:lang w:val="en-GB"/>
        </w:rPr>
        <w:t xml:space="preserve">, 2.8% unclassified </w:t>
      </w:r>
      <w:r w:rsidRPr="00511463">
        <w:rPr>
          <w:i/>
          <w:iCs/>
          <w:lang w:val="en-GB"/>
        </w:rPr>
        <w:t>Bacteria</w:t>
      </w:r>
      <w:r w:rsidRPr="00511463">
        <w:rPr>
          <w:lang w:val="en-GB"/>
        </w:rPr>
        <w:t xml:space="preserve"> and 1.4% other phyla). </w:t>
      </w:r>
      <w:r w:rsidR="00D8395C" w:rsidRPr="00511463">
        <w:rPr>
          <w:lang w:val="en-GB"/>
        </w:rPr>
        <w:t xml:space="preserve">All treatments and subsequent cultivation reduced the diversity of bacteria regardless of the phylum. But ethanol shock using 70% ethanol was the most successful in eliminating known non-spore-forming bacteria (Figure 3). </w:t>
      </w:r>
    </w:p>
    <w:p w14:paraId="4D7ABC05" w14:textId="2C148807" w:rsidR="00D8395C" w:rsidRPr="00511463" w:rsidRDefault="0079344D" w:rsidP="00812F3D">
      <w:pPr>
        <w:rPr>
          <w:lang w:val="en-GB"/>
        </w:rPr>
      </w:pPr>
      <w:r w:rsidRPr="00511463">
        <w:rPr>
          <w:lang w:val="en-GB"/>
        </w:rPr>
        <w:t>All treatments were able to some degree eliminate the non-spore-forming bacteria, but e</w:t>
      </w:r>
      <w:r w:rsidR="00554BDD" w:rsidRPr="00511463">
        <w:rPr>
          <w:lang w:val="en-GB"/>
        </w:rPr>
        <w:t xml:space="preserve">thanol shock using 70% ethanol eliminated the greatest number of </w:t>
      </w:r>
      <w:r w:rsidR="00D8395C" w:rsidRPr="00511463">
        <w:rPr>
          <w:lang w:val="en-GB"/>
        </w:rPr>
        <w:t xml:space="preserve">known non-sporeformers in the phyla </w:t>
      </w:r>
      <w:r w:rsidR="00D8395C" w:rsidRPr="00511463">
        <w:rPr>
          <w:i/>
          <w:iCs/>
          <w:lang w:val="en-GB"/>
        </w:rPr>
        <w:t>Bacteriodota</w:t>
      </w:r>
      <w:r w:rsidR="00D8395C" w:rsidRPr="00511463">
        <w:rPr>
          <w:lang w:val="en-GB"/>
        </w:rPr>
        <w:t xml:space="preserve"> and </w:t>
      </w:r>
      <w:r w:rsidR="00D8395C" w:rsidRPr="00511463">
        <w:rPr>
          <w:i/>
          <w:iCs/>
          <w:lang w:val="en-GB"/>
        </w:rPr>
        <w:t>Verrucomicrobiota</w:t>
      </w:r>
      <w:r w:rsidR="00D8395C" w:rsidRPr="00511463">
        <w:rPr>
          <w:lang w:val="en-GB"/>
        </w:rPr>
        <w:t xml:space="preserve"> (Figure 3)</w:t>
      </w:r>
      <w:r w:rsidRPr="00511463">
        <w:rPr>
          <w:lang w:val="en-GB"/>
        </w:rPr>
        <w:t>.</w:t>
      </w:r>
      <w:r w:rsidR="00D8395C" w:rsidRPr="00511463">
        <w:rPr>
          <w:lang w:val="en-GB"/>
        </w:rPr>
        <w:t xml:space="preserve"> </w:t>
      </w:r>
      <w:r w:rsidR="00554BDD" w:rsidRPr="00511463">
        <w:rPr>
          <w:lang w:val="en-GB"/>
        </w:rPr>
        <w:t>A reduction also happened in the phyla</w:t>
      </w:r>
      <w:r w:rsidR="00D8395C" w:rsidRPr="00511463">
        <w:rPr>
          <w:i/>
          <w:iCs/>
          <w:lang w:val="en-GB"/>
        </w:rPr>
        <w:t xml:space="preserve"> Pseudomonadota</w:t>
      </w:r>
      <w:r w:rsidR="00D8395C" w:rsidRPr="00511463">
        <w:rPr>
          <w:lang w:val="en-GB"/>
        </w:rPr>
        <w:t xml:space="preserve"> and </w:t>
      </w:r>
      <w:r w:rsidR="00D8395C" w:rsidRPr="00511463">
        <w:rPr>
          <w:i/>
          <w:iCs/>
          <w:lang w:val="en-GB"/>
        </w:rPr>
        <w:t>Actinomycetota</w:t>
      </w:r>
      <w:r w:rsidR="00554BDD" w:rsidRPr="00511463">
        <w:rPr>
          <w:lang w:val="en-GB"/>
        </w:rPr>
        <w:t xml:space="preserve"> although some representatives </w:t>
      </w:r>
      <w:r w:rsidR="007910CD" w:rsidRPr="00511463">
        <w:rPr>
          <w:lang w:val="en-GB"/>
        </w:rPr>
        <w:t>can</w:t>
      </w:r>
      <w:r w:rsidR="00554BDD" w:rsidRPr="00511463">
        <w:rPr>
          <w:lang w:val="en-GB"/>
        </w:rPr>
        <w:t xml:space="preserve"> withstand ethanol shock </w:t>
      </w:r>
      <w:r w:rsidRPr="00511463">
        <w:rPr>
          <w:lang w:val="en-GB"/>
        </w:rPr>
        <w:t xml:space="preserve">(Figure 3) </w:t>
      </w:r>
      <w:r w:rsidR="00554BDD" w:rsidRPr="00511463">
        <w:rPr>
          <w:lang w:val="en-GB"/>
        </w:rPr>
        <w:t xml:space="preserve">(REF). </w:t>
      </w:r>
    </w:p>
    <w:p w14:paraId="01D1C77D" w14:textId="73DE971E" w:rsidR="00B61A60" w:rsidRPr="00511463" w:rsidRDefault="007910CD" w:rsidP="00812F3D">
      <w:pPr>
        <w:rPr>
          <w:lang w:val="en-GB"/>
        </w:rPr>
      </w:pPr>
      <w:r>
        <w:rPr>
          <w:noProof/>
          <w:lang w:val="en-GB"/>
        </w:rPr>
        <w:lastRenderedPageBreak/>
        <w:drawing>
          <wp:inline distT="0" distB="0" distL="0" distR="0" wp14:anchorId="327F666C" wp14:editId="27D7B031">
            <wp:extent cx="5943600" cy="5962650"/>
            <wp:effectExtent l="0" t="0" r="0" b="0"/>
            <wp:docPr id="18535694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5962650"/>
                    </a:xfrm>
                    <a:prstGeom prst="rect">
                      <a:avLst/>
                    </a:prstGeom>
                    <a:noFill/>
                    <a:ln>
                      <a:noFill/>
                    </a:ln>
                  </pic:spPr>
                </pic:pic>
              </a:graphicData>
            </a:graphic>
          </wp:inline>
        </w:drawing>
      </w:r>
    </w:p>
    <w:p w14:paraId="57185D95" w14:textId="518B1CAF" w:rsidR="00593DAC" w:rsidRPr="00511463" w:rsidRDefault="00554BDD" w:rsidP="00812F3D">
      <w:pPr>
        <w:rPr>
          <w:lang w:val="en-GB"/>
        </w:rPr>
      </w:pPr>
      <w:r w:rsidRPr="00511463">
        <w:rPr>
          <w:lang w:val="en-GB"/>
        </w:rPr>
        <w:t>F</w:t>
      </w:r>
      <w:r w:rsidR="00C5522C" w:rsidRPr="00511463">
        <w:rPr>
          <w:lang w:val="en-GB"/>
        </w:rPr>
        <w:t xml:space="preserve">igure </w:t>
      </w:r>
      <w:r w:rsidRPr="00511463">
        <w:rPr>
          <w:lang w:val="en-GB"/>
        </w:rPr>
        <w:t>3.</w:t>
      </w:r>
      <w:r w:rsidR="00C5522C" w:rsidRPr="00511463">
        <w:rPr>
          <w:lang w:val="en-GB"/>
        </w:rPr>
        <w:t xml:space="preserve"> </w:t>
      </w:r>
      <w:r w:rsidR="000436F1" w:rsidRPr="00511463">
        <w:rPr>
          <w:lang w:val="en-GB"/>
        </w:rPr>
        <w:t xml:space="preserve">Number of OTUs belonging to each phylum in </w:t>
      </w:r>
      <w:r w:rsidR="00C5522C" w:rsidRPr="00511463">
        <w:rPr>
          <w:lang w:val="en-GB"/>
        </w:rPr>
        <w:t xml:space="preserve">the original stool samples (n = 2) and cultivation on solid/liquid medium with and without bile acids on 2, 5, 7, and 14 </w:t>
      </w:r>
      <w:r w:rsidRPr="00511463">
        <w:rPr>
          <w:lang w:val="en-GB"/>
        </w:rPr>
        <w:t>days</w:t>
      </w:r>
      <w:r w:rsidR="00C5522C" w:rsidRPr="00511463">
        <w:rPr>
          <w:lang w:val="en-GB"/>
        </w:rPr>
        <w:t xml:space="preserve">. </w:t>
      </w:r>
      <w:bookmarkStart w:id="3" w:name="_Hlk184885377"/>
    </w:p>
    <w:p w14:paraId="758699E3" w14:textId="77777777" w:rsidR="00552208" w:rsidRPr="00511463" w:rsidRDefault="00552208" w:rsidP="00812F3D">
      <w:pPr>
        <w:rPr>
          <w:lang w:val="en-GB"/>
        </w:rPr>
      </w:pPr>
    </w:p>
    <w:p w14:paraId="346848DC" w14:textId="0AA882B0" w:rsidR="00F95387" w:rsidRPr="00511463" w:rsidRDefault="00F95387" w:rsidP="00D8395C">
      <w:pPr>
        <w:pStyle w:val="ListParagraph"/>
        <w:numPr>
          <w:ilvl w:val="2"/>
          <w:numId w:val="14"/>
        </w:numPr>
        <w:rPr>
          <w:lang w:val="en-GB"/>
        </w:rPr>
      </w:pPr>
      <w:r w:rsidRPr="00511463">
        <w:rPr>
          <w:lang w:val="en-GB"/>
        </w:rPr>
        <w:t xml:space="preserve">Optimization of </w:t>
      </w:r>
      <w:r w:rsidR="00552208" w:rsidRPr="00511463">
        <w:rPr>
          <w:lang w:val="en-GB"/>
        </w:rPr>
        <w:t xml:space="preserve">pre-treatment for </w:t>
      </w:r>
      <w:r w:rsidRPr="00511463">
        <w:rPr>
          <w:lang w:val="en-GB"/>
        </w:rPr>
        <w:t>DNA isolation f</w:t>
      </w:r>
      <w:r w:rsidR="00552208" w:rsidRPr="00511463">
        <w:rPr>
          <w:lang w:val="en-GB"/>
        </w:rPr>
        <w:t xml:space="preserve">rom </w:t>
      </w:r>
      <w:r w:rsidRPr="00511463">
        <w:rPr>
          <w:lang w:val="en-GB"/>
        </w:rPr>
        <w:t>spore-forming bacteria in stool sample</w:t>
      </w:r>
      <w:bookmarkEnd w:id="3"/>
      <w:r w:rsidR="00552208" w:rsidRPr="00511463">
        <w:rPr>
          <w:lang w:val="en-GB"/>
        </w:rPr>
        <w:t>s</w:t>
      </w:r>
    </w:p>
    <w:p w14:paraId="0A36B7C2" w14:textId="6BCEAB6C" w:rsidR="00593DAC" w:rsidRPr="00511463" w:rsidRDefault="00593DAC" w:rsidP="00812F3D">
      <w:pPr>
        <w:rPr>
          <w:lang w:val="en-GB"/>
        </w:rPr>
      </w:pPr>
      <w:r w:rsidRPr="00511463">
        <w:rPr>
          <w:lang w:val="en-GB"/>
        </w:rPr>
        <w:t xml:space="preserve">The experiment included </w:t>
      </w:r>
      <w:r w:rsidR="00135EA7" w:rsidRPr="00511463">
        <w:rPr>
          <w:lang w:val="en-GB"/>
        </w:rPr>
        <w:t xml:space="preserve">two </w:t>
      </w:r>
      <w:r w:rsidRPr="00511463">
        <w:rPr>
          <w:lang w:val="en-GB"/>
        </w:rPr>
        <w:t>stool sample</w:t>
      </w:r>
      <w:r w:rsidR="00135EA7" w:rsidRPr="00511463">
        <w:rPr>
          <w:lang w:val="en-GB"/>
        </w:rPr>
        <w:t>s</w:t>
      </w:r>
      <w:r w:rsidR="00054310" w:rsidRPr="00511463">
        <w:rPr>
          <w:lang w:val="en-GB"/>
        </w:rPr>
        <w:t xml:space="preserve">, </w:t>
      </w:r>
      <w:r w:rsidR="00135EA7" w:rsidRPr="00511463">
        <w:rPr>
          <w:lang w:val="en-GB"/>
        </w:rPr>
        <w:t xml:space="preserve">treated in duplicates </w:t>
      </w:r>
      <w:r w:rsidRPr="00511463">
        <w:rPr>
          <w:lang w:val="en-GB"/>
        </w:rPr>
        <w:t xml:space="preserve">with 70% ethanol for 24 h and heat shock at 80 °C for 30 min. The goal was to test the efficiency of ethanol or heat shock at lysis of vegetative cells and </w:t>
      </w:r>
      <w:r w:rsidR="00054310" w:rsidRPr="00511463">
        <w:rPr>
          <w:lang w:val="en-GB"/>
        </w:rPr>
        <w:t xml:space="preserve">subsequent </w:t>
      </w:r>
      <w:r w:rsidRPr="00511463">
        <w:rPr>
          <w:lang w:val="en-GB"/>
        </w:rPr>
        <w:t xml:space="preserve">removal of their DNA from stool samples using ethidium bromide monoazide (EMA) with </w:t>
      </w:r>
      <w:r w:rsidRPr="00511463">
        <w:rPr>
          <w:lang w:val="en-GB"/>
        </w:rPr>
        <w:lastRenderedPageBreak/>
        <w:t>different illumination times. Negative control</w:t>
      </w:r>
      <w:r w:rsidR="00552208" w:rsidRPr="00511463">
        <w:rPr>
          <w:lang w:val="en-GB"/>
        </w:rPr>
        <w:t xml:space="preserve">s included a sample of water treated alongside stools (not sequenced, due to low DNA concentration), an </w:t>
      </w:r>
      <w:r w:rsidRPr="00511463">
        <w:rPr>
          <w:lang w:val="en-GB"/>
        </w:rPr>
        <w:t>untreated stool sample</w:t>
      </w:r>
      <w:r w:rsidR="00552208" w:rsidRPr="00511463">
        <w:rPr>
          <w:lang w:val="en-GB"/>
        </w:rPr>
        <w:t>,</w:t>
      </w:r>
      <w:r w:rsidRPr="00511463">
        <w:rPr>
          <w:lang w:val="en-GB"/>
        </w:rPr>
        <w:t xml:space="preserve"> and </w:t>
      </w:r>
      <w:r w:rsidR="00552208" w:rsidRPr="00511463">
        <w:rPr>
          <w:lang w:val="en-GB"/>
        </w:rPr>
        <w:t xml:space="preserve">ethanol or heat shocked </w:t>
      </w:r>
      <w:r w:rsidRPr="00511463">
        <w:rPr>
          <w:lang w:val="en-GB"/>
        </w:rPr>
        <w:t>stools</w:t>
      </w:r>
      <w:r w:rsidR="00552208" w:rsidRPr="00511463">
        <w:rPr>
          <w:lang w:val="en-GB"/>
        </w:rPr>
        <w:t xml:space="preserve"> </w:t>
      </w:r>
      <w:r w:rsidRPr="00511463">
        <w:rPr>
          <w:lang w:val="en-GB"/>
        </w:rPr>
        <w:t>only washed with PCR-grade water with no addition of EMA. Results were analy</w:t>
      </w:r>
      <w:r w:rsidR="00552208" w:rsidRPr="00511463">
        <w:rPr>
          <w:lang w:val="en-GB"/>
        </w:rPr>
        <w:t>s</w:t>
      </w:r>
      <w:r w:rsidRPr="00511463">
        <w:rPr>
          <w:lang w:val="en-GB"/>
        </w:rPr>
        <w:t>ed by comparing the community structure using amplicon sequencing</w:t>
      </w:r>
      <w:r w:rsidR="00552208" w:rsidRPr="00511463">
        <w:rPr>
          <w:lang w:val="en-GB"/>
        </w:rPr>
        <w:t xml:space="preserve"> (Supplement Table 2)</w:t>
      </w:r>
      <w:r w:rsidR="00C50B9A" w:rsidRPr="00511463">
        <w:rPr>
          <w:lang w:val="en-GB"/>
        </w:rPr>
        <w:t xml:space="preserve">. </w:t>
      </w:r>
    </w:p>
    <w:p w14:paraId="6E5F1195" w14:textId="33BFACE9" w:rsidR="00135EA7" w:rsidRPr="00511463" w:rsidRDefault="00552208" w:rsidP="00812F3D">
      <w:pPr>
        <w:rPr>
          <w:lang w:val="en-GB"/>
        </w:rPr>
      </w:pPr>
      <w:r w:rsidRPr="00511463">
        <w:rPr>
          <w:lang w:val="en-GB"/>
        </w:rPr>
        <w:t>B</w:t>
      </w:r>
      <w:r w:rsidR="00135EA7" w:rsidRPr="00511463">
        <w:rPr>
          <w:lang w:val="en-GB"/>
        </w:rPr>
        <w:t xml:space="preserve">oth ethanol shock and heat shock </w:t>
      </w:r>
      <w:r w:rsidRPr="00511463">
        <w:rPr>
          <w:lang w:val="en-GB"/>
        </w:rPr>
        <w:t xml:space="preserve">treatments </w:t>
      </w:r>
      <w:r w:rsidR="00135EA7" w:rsidRPr="00511463">
        <w:rPr>
          <w:lang w:val="en-GB"/>
        </w:rPr>
        <w:t xml:space="preserve">were able to enrich for OTUs belonging to phylum </w:t>
      </w:r>
      <w:r w:rsidR="00135EA7" w:rsidRPr="00511463">
        <w:rPr>
          <w:i/>
          <w:iCs/>
          <w:lang w:val="en-GB"/>
        </w:rPr>
        <w:t>Bacillota</w:t>
      </w:r>
      <w:r w:rsidR="00135EA7" w:rsidRPr="00511463">
        <w:rPr>
          <w:lang w:val="en-GB"/>
        </w:rPr>
        <w:t xml:space="preserve"> and reduce the relative abundance of all other phyla in comparison to </w:t>
      </w:r>
      <w:r w:rsidR="0015680D" w:rsidRPr="00511463">
        <w:rPr>
          <w:lang w:val="en-GB"/>
        </w:rPr>
        <w:t>both the original stool sample (Non-treated) as well as stool samples treated with ethanol or heat shock but only washed with PCR-grade water</w:t>
      </w:r>
      <w:r w:rsidRPr="00511463">
        <w:rPr>
          <w:lang w:val="en-GB"/>
        </w:rPr>
        <w:t xml:space="preserve">, </w:t>
      </w:r>
      <w:r w:rsidR="0015680D" w:rsidRPr="00511463">
        <w:rPr>
          <w:lang w:val="en-GB"/>
        </w:rPr>
        <w:t>with no EMA treatment</w:t>
      </w:r>
      <w:r w:rsidRPr="00511463">
        <w:rPr>
          <w:lang w:val="en-GB"/>
        </w:rPr>
        <w:t xml:space="preserve"> (Only-water)</w:t>
      </w:r>
      <w:r w:rsidR="0015680D" w:rsidRPr="00511463">
        <w:rPr>
          <w:lang w:val="en-GB"/>
        </w:rPr>
        <w:t xml:space="preserve"> (Figure </w:t>
      </w:r>
      <w:r w:rsidR="00511463" w:rsidRPr="00511463">
        <w:rPr>
          <w:lang w:val="en-GB"/>
        </w:rPr>
        <w:t>4</w:t>
      </w:r>
      <w:r w:rsidR="0015680D" w:rsidRPr="00511463">
        <w:rPr>
          <w:lang w:val="en-GB"/>
        </w:rPr>
        <w:t>).</w:t>
      </w:r>
      <w:r w:rsidR="00AF3A0E" w:rsidRPr="00511463">
        <w:rPr>
          <w:lang w:val="en-GB"/>
        </w:rPr>
        <w:t xml:space="preserve"> </w:t>
      </w:r>
      <w:r w:rsidR="00A70215" w:rsidRPr="00511463">
        <w:rPr>
          <w:lang w:val="en-GB"/>
        </w:rPr>
        <w:t>The 15-min illumination of sample treated with EMA had the greatest effect on elimination of all bacteria not belonging to the spore-forming phyla</w:t>
      </w:r>
      <w:r w:rsidRPr="00511463">
        <w:rPr>
          <w:lang w:val="en-GB"/>
        </w:rPr>
        <w:t>, b</w:t>
      </w:r>
      <w:r w:rsidR="00A70215" w:rsidRPr="00511463">
        <w:rPr>
          <w:lang w:val="en-GB"/>
        </w:rPr>
        <w:t xml:space="preserve">ut the success rate of DNA isolation and subsequent sequencing was also low (5/16) in comparison to 5 min (14/16) or 10 min (8/16). </w:t>
      </w:r>
    </w:p>
    <w:p w14:paraId="33320512" w14:textId="6B18F31A" w:rsidR="003523B8" w:rsidRPr="00511463" w:rsidRDefault="007910CD" w:rsidP="00812F3D">
      <w:pPr>
        <w:rPr>
          <w:lang w:val="en-GB"/>
        </w:rPr>
      </w:pPr>
      <w:r>
        <w:rPr>
          <w:noProof/>
          <w:lang w:val="en-GB"/>
        </w:rPr>
        <w:drawing>
          <wp:inline distT="0" distB="0" distL="0" distR="0" wp14:anchorId="4958B38E" wp14:editId="5BBAC9AC">
            <wp:extent cx="5934075" cy="3124200"/>
            <wp:effectExtent l="0" t="0" r="9525" b="0"/>
            <wp:docPr id="1283268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3124200"/>
                    </a:xfrm>
                    <a:prstGeom prst="rect">
                      <a:avLst/>
                    </a:prstGeom>
                    <a:noFill/>
                    <a:ln>
                      <a:noFill/>
                    </a:ln>
                  </pic:spPr>
                </pic:pic>
              </a:graphicData>
            </a:graphic>
          </wp:inline>
        </w:drawing>
      </w:r>
    </w:p>
    <w:p w14:paraId="1FC228CD" w14:textId="2BBBE0DB" w:rsidR="00552208" w:rsidRDefault="00EE30B4" w:rsidP="00812F3D">
      <w:pPr>
        <w:rPr>
          <w:lang w:val="en-GB"/>
        </w:rPr>
      </w:pPr>
      <w:r w:rsidRPr="00511463">
        <w:rPr>
          <w:lang w:val="en-GB"/>
        </w:rPr>
        <w:t>Figure</w:t>
      </w:r>
      <w:r w:rsidR="0015680D" w:rsidRPr="00511463">
        <w:rPr>
          <w:lang w:val="en-GB"/>
        </w:rPr>
        <w:t xml:space="preserve"> </w:t>
      </w:r>
      <w:r w:rsidR="00511463" w:rsidRPr="00511463">
        <w:rPr>
          <w:lang w:val="en-GB"/>
        </w:rPr>
        <w:t>4</w:t>
      </w:r>
      <w:r w:rsidR="0015680D" w:rsidRPr="00511463">
        <w:rPr>
          <w:lang w:val="en-GB"/>
        </w:rPr>
        <w:t>.</w:t>
      </w:r>
      <w:r w:rsidRPr="00511463">
        <w:rPr>
          <w:lang w:val="en-GB"/>
        </w:rPr>
        <w:t xml:space="preserve"> </w:t>
      </w:r>
      <w:r w:rsidR="00552208" w:rsidRPr="00511463">
        <w:rPr>
          <w:lang w:val="en-GB"/>
        </w:rPr>
        <w:t xml:space="preserve">Efficiency of enrichment for spore-forming bacteria in the stool sample. Relative abundance of OTUs in most abundant phyla in stool sample (Non-treated), stool samples treated with ethanol or heat shock, but washed with PCR-grade water (Only water) and stool samples treated with ethanol or heat shock, and EMA at different illumination times. </w:t>
      </w:r>
    </w:p>
    <w:p w14:paraId="77669659" w14:textId="77777777" w:rsidR="002A2E47" w:rsidRPr="00511463" w:rsidRDefault="002A2E47" w:rsidP="00812F3D">
      <w:pPr>
        <w:rPr>
          <w:lang w:val="en-GB"/>
        </w:rPr>
      </w:pPr>
    </w:p>
    <w:p w14:paraId="03F5F8C5" w14:textId="53F304EF" w:rsidR="002A2E47" w:rsidRPr="002A2E47" w:rsidRDefault="002A2E47" w:rsidP="002A2E47">
      <w:pPr>
        <w:pStyle w:val="ListParagraph"/>
        <w:numPr>
          <w:ilvl w:val="1"/>
          <w:numId w:val="14"/>
        </w:numPr>
        <w:rPr>
          <w:lang w:val="en-GB"/>
        </w:rPr>
      </w:pPr>
      <w:r w:rsidRPr="002A2E47">
        <w:rPr>
          <w:lang w:val="en-GB"/>
        </w:rPr>
        <w:t xml:space="preserve">Isolation efficiency of </w:t>
      </w:r>
      <w:r w:rsidRPr="002A2E47">
        <w:rPr>
          <w:i/>
          <w:iCs/>
          <w:lang w:val="en-GB"/>
        </w:rPr>
        <w:t>Clostridioides difficile</w:t>
      </w:r>
      <w:r w:rsidRPr="002A2E47">
        <w:rPr>
          <w:lang w:val="en-GB"/>
        </w:rPr>
        <w:t xml:space="preserve"> spores using the PowerFecal protocol </w:t>
      </w:r>
    </w:p>
    <w:p w14:paraId="7C858879" w14:textId="096365C7" w:rsidR="002A2E47" w:rsidRPr="00511463" w:rsidRDefault="002A2E47" w:rsidP="002A2E47">
      <w:pPr>
        <w:rPr>
          <w:lang w:val="en-GB"/>
        </w:rPr>
      </w:pPr>
      <w:r>
        <w:rPr>
          <w:lang w:val="en-GB"/>
        </w:rPr>
        <w:lastRenderedPageBreak/>
        <w:t xml:space="preserve">We used two different isolation protocols for isolation of DNA from bulk microbiota and ethanol treated samples. </w:t>
      </w:r>
      <w:r w:rsidRPr="00511463">
        <w:rPr>
          <w:lang w:val="en-GB"/>
        </w:rPr>
        <w:t>This decision was based on the fact PowerFecal has a spin-column to which to much DNA binds and we got insufficient DNA concentrations</w:t>
      </w:r>
      <w:r>
        <w:rPr>
          <w:lang w:val="en-GB"/>
        </w:rPr>
        <w:t xml:space="preserve"> after ethanol shock and EMA treatment</w:t>
      </w:r>
      <w:r w:rsidRPr="00511463">
        <w:rPr>
          <w:lang w:val="en-GB"/>
        </w:rPr>
        <w:t>.</w:t>
      </w:r>
      <w:r>
        <w:rPr>
          <w:lang w:val="en-GB"/>
        </w:rPr>
        <w:t xml:space="preserve"> </w:t>
      </w:r>
      <w:r w:rsidRPr="00511463">
        <w:rPr>
          <w:lang w:val="en-GB"/>
        </w:rPr>
        <w:t xml:space="preserve">To confirm that we isolated both vegetative cells and spores with bulk microbiota protocol, we added </w:t>
      </w:r>
      <w:r w:rsidRPr="00511463">
        <w:rPr>
          <w:i/>
          <w:iCs/>
          <w:lang w:val="en-GB"/>
        </w:rPr>
        <w:t>C. difficile</w:t>
      </w:r>
      <w:r w:rsidRPr="00511463">
        <w:rPr>
          <w:lang w:val="en-GB"/>
        </w:rPr>
        <w:t xml:space="preserve"> spores to an otherwise </w:t>
      </w:r>
      <w:r w:rsidRPr="00511463">
        <w:rPr>
          <w:i/>
          <w:iCs/>
          <w:lang w:val="en-GB"/>
        </w:rPr>
        <w:t>C. difficile</w:t>
      </w:r>
      <w:r w:rsidRPr="00511463">
        <w:rPr>
          <w:lang w:val="en-GB"/>
        </w:rPr>
        <w:t xml:space="preserve"> negative stool sample and measured the absolute amount of the </w:t>
      </w:r>
      <w:r w:rsidRPr="00511463">
        <w:rPr>
          <w:i/>
          <w:iCs/>
          <w:lang w:val="en-GB"/>
        </w:rPr>
        <w:t>C.difficile</w:t>
      </w:r>
      <w:r w:rsidRPr="00511463">
        <w:rPr>
          <w:lang w:val="en-GB"/>
        </w:rPr>
        <w:t xml:space="preserve">-specific 16S rRNA amplicon with ddPCR after isolation of DNA. The copy number of </w:t>
      </w:r>
      <w:r w:rsidRPr="00511463">
        <w:rPr>
          <w:i/>
          <w:iCs/>
          <w:lang w:val="en-GB"/>
        </w:rPr>
        <w:t>C. difficile</w:t>
      </w:r>
      <w:r w:rsidRPr="00511463">
        <w:rPr>
          <w:lang w:val="en-GB"/>
        </w:rPr>
        <w:t xml:space="preserve">-specific amplicon correlated to CFU count of spores after cultivation (Figure </w:t>
      </w:r>
      <w:r>
        <w:rPr>
          <w:lang w:val="en-GB"/>
        </w:rPr>
        <w:t>5</w:t>
      </w:r>
      <w:r w:rsidRPr="00511463">
        <w:rPr>
          <w:lang w:val="en-GB"/>
        </w:rPr>
        <w:t xml:space="preserve">, Pearson’s correlation value = 0.73, </w:t>
      </w:r>
      <w:r w:rsidRPr="00511463">
        <w:rPr>
          <w:i/>
          <w:iCs/>
          <w:lang w:val="en-GB"/>
        </w:rPr>
        <w:t>p</w:t>
      </w:r>
      <w:r w:rsidRPr="00511463">
        <w:rPr>
          <w:lang w:val="en-GB"/>
        </w:rPr>
        <w:t xml:space="preserve">-value = 0.007). </w:t>
      </w:r>
    </w:p>
    <w:p w14:paraId="29D179AD" w14:textId="77777777" w:rsidR="002A2E47" w:rsidRPr="00511463" w:rsidRDefault="002A2E47" w:rsidP="002A2E47">
      <w:pPr>
        <w:rPr>
          <w:rFonts w:cs="Times New Roman"/>
          <w:lang w:val="en-GB"/>
        </w:rPr>
      </w:pPr>
      <w:r w:rsidRPr="00511463">
        <w:rPr>
          <w:rFonts w:cs="Times New Roman"/>
          <w:noProof/>
          <w:lang w:val="en-GB"/>
        </w:rPr>
        <w:drawing>
          <wp:inline distT="0" distB="0" distL="0" distR="0" wp14:anchorId="7B712BFD" wp14:editId="3FB173AF">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6435B517" w14:textId="356C9471" w:rsidR="002A2E47" w:rsidRPr="002A2E47" w:rsidRDefault="002A2E47" w:rsidP="002A2E47">
      <w:pPr>
        <w:ind w:left="360"/>
        <w:rPr>
          <w:sz w:val="20"/>
          <w:szCs w:val="20"/>
          <w:lang w:val="en-GB"/>
        </w:rPr>
      </w:pPr>
      <w:r w:rsidRPr="002A2E47">
        <w:rPr>
          <w:sz w:val="20"/>
          <w:szCs w:val="20"/>
          <w:lang w:val="en-GB"/>
        </w:rPr>
        <w:t xml:space="preserve">Figure 5. Efficiency of </w:t>
      </w:r>
      <w:r w:rsidRPr="002A2E47">
        <w:rPr>
          <w:i/>
          <w:iCs/>
          <w:sz w:val="20"/>
          <w:szCs w:val="20"/>
          <w:lang w:val="en-GB"/>
        </w:rPr>
        <w:t xml:space="preserve">C. difficile </w:t>
      </w:r>
      <w:r w:rsidRPr="002A2E47">
        <w:rPr>
          <w:sz w:val="20"/>
          <w:szCs w:val="20"/>
          <w:lang w:val="en-GB"/>
        </w:rPr>
        <w:t xml:space="preserve">spore isolation with PowerFecal protocol compared to </w:t>
      </w:r>
      <w:r w:rsidRPr="002A2E47">
        <w:rPr>
          <w:i/>
          <w:iCs/>
          <w:sz w:val="20"/>
          <w:szCs w:val="20"/>
          <w:lang w:val="en-GB"/>
        </w:rPr>
        <w:t xml:space="preserve">C. difficile </w:t>
      </w:r>
      <w:r w:rsidRPr="002A2E47">
        <w:rPr>
          <w:sz w:val="20"/>
          <w:szCs w:val="20"/>
          <w:lang w:val="en-GB"/>
        </w:rPr>
        <w:t>spore CFU count on COH agar plates.</w:t>
      </w:r>
    </w:p>
    <w:p w14:paraId="1F6D9991" w14:textId="77777777" w:rsidR="007910CD" w:rsidRPr="00511463" w:rsidRDefault="007910CD" w:rsidP="00812F3D">
      <w:pPr>
        <w:rPr>
          <w:lang w:val="en-GB"/>
        </w:rPr>
      </w:pPr>
    </w:p>
    <w:p w14:paraId="394BEED2" w14:textId="75DBDA0A" w:rsidR="001663F9" w:rsidRPr="00511463" w:rsidRDefault="00C9741A" w:rsidP="00552208">
      <w:pPr>
        <w:pStyle w:val="ListParagraph"/>
        <w:numPr>
          <w:ilvl w:val="1"/>
          <w:numId w:val="14"/>
        </w:numPr>
        <w:rPr>
          <w:lang w:val="en-GB"/>
        </w:rPr>
      </w:pPr>
      <w:r>
        <w:rPr>
          <w:lang w:val="en-GB"/>
        </w:rPr>
        <w:t xml:space="preserve"> </w:t>
      </w:r>
      <w:r w:rsidR="001663F9" w:rsidRPr="00511463">
        <w:rPr>
          <w:lang w:val="en-GB"/>
        </w:rPr>
        <w:t>Longitudinal study of individual</w:t>
      </w:r>
      <w:r w:rsidR="00823B70" w:rsidRPr="00511463">
        <w:rPr>
          <w:lang w:val="en-GB"/>
        </w:rPr>
        <w:t>’</w:t>
      </w:r>
      <w:r w:rsidR="001663F9" w:rsidRPr="00511463">
        <w:rPr>
          <w:lang w:val="en-GB"/>
        </w:rPr>
        <w:t xml:space="preserve">s gut microbiota and </w:t>
      </w:r>
      <w:r w:rsidR="00511463" w:rsidRPr="00511463">
        <w:rPr>
          <w:lang w:val="en-GB"/>
        </w:rPr>
        <w:t>sporobiota</w:t>
      </w:r>
      <w:r w:rsidR="001663F9" w:rsidRPr="00511463">
        <w:rPr>
          <w:lang w:val="en-GB"/>
        </w:rPr>
        <w:t xml:space="preserve"> </w:t>
      </w:r>
    </w:p>
    <w:p w14:paraId="669D3A82" w14:textId="63FB7BC6" w:rsidR="00C9741A" w:rsidRDefault="00C9741A" w:rsidP="00812F3D">
      <w:pPr>
        <w:rPr>
          <w:lang w:val="en-GB"/>
        </w:rPr>
      </w:pPr>
      <w:r>
        <w:rPr>
          <w:lang w:val="en-GB"/>
        </w:rPr>
        <w:t xml:space="preserve">The experiment included nine healthy male participants whose stools were sampled approximately every 14 days for six months and at certain predefined events (such as dental visits, antibiotic therapy, travel, etc.). We collected a minimum of 12 samples per person. The samples were aliquoted, and their DNA was isolated using two protocols. Bulk microbiota DNA was isolated using the PowerFecal protocol. For the ethanol treated sample, the aliquot was treated with ethanol shock and EMA, afterwards, DNA from spores and other ethanol-resistant cell forms was isolated. Sequencing was performed using both amplicon sequencing (V3-V4 region of the 16S rRNA gene) and shotgun sequencing. </w:t>
      </w:r>
    </w:p>
    <w:p w14:paraId="6C0F71DB" w14:textId="29E29DCB" w:rsidR="00C9741A" w:rsidRPr="00C9741A" w:rsidRDefault="00C9741A" w:rsidP="00C9741A">
      <w:pPr>
        <w:pStyle w:val="ListParagraph"/>
        <w:numPr>
          <w:ilvl w:val="2"/>
          <w:numId w:val="14"/>
        </w:numPr>
        <w:rPr>
          <w:lang w:val="en-GB"/>
        </w:rPr>
      </w:pPr>
      <w:r>
        <w:rPr>
          <w:lang w:val="en-GB"/>
        </w:rPr>
        <w:lastRenderedPageBreak/>
        <w:t xml:space="preserve">Results from amplicon sequencing </w:t>
      </w:r>
    </w:p>
    <w:p w14:paraId="09C59E0F" w14:textId="77777777" w:rsidR="00C9741A" w:rsidRDefault="00511463" w:rsidP="00E7621A">
      <w:pPr>
        <w:pStyle w:val="ListParagraph"/>
        <w:numPr>
          <w:ilvl w:val="3"/>
          <w:numId w:val="14"/>
        </w:numPr>
        <w:rPr>
          <w:lang w:val="en-GB"/>
        </w:rPr>
      </w:pPr>
      <w:r w:rsidRPr="00C9741A">
        <w:rPr>
          <w:lang w:val="en-GB"/>
        </w:rPr>
        <w:t>Composition</w:t>
      </w:r>
      <w:r w:rsidR="007910CD" w:rsidRPr="00C9741A">
        <w:rPr>
          <w:lang w:val="en-GB"/>
        </w:rPr>
        <w:t xml:space="preserve">, </w:t>
      </w:r>
      <w:r w:rsidRPr="00C9741A">
        <w:rPr>
          <w:lang w:val="en-GB"/>
        </w:rPr>
        <w:t>abundance</w:t>
      </w:r>
      <w:r w:rsidR="007910CD" w:rsidRPr="00C9741A">
        <w:rPr>
          <w:lang w:val="en-GB"/>
        </w:rPr>
        <w:t xml:space="preserve"> and diversity</w:t>
      </w:r>
      <w:r w:rsidRPr="00C9741A">
        <w:rPr>
          <w:lang w:val="en-GB"/>
        </w:rPr>
        <w:t xml:space="preserve"> of ethanol-resistant and ethanol non-resistant bacterial community in stool </w:t>
      </w:r>
    </w:p>
    <w:p w14:paraId="0F7C7FD9" w14:textId="4CE1892B" w:rsidR="00A7670E" w:rsidRPr="00C9741A" w:rsidRDefault="00511463" w:rsidP="00C9741A">
      <w:pPr>
        <w:rPr>
          <w:lang w:val="en-GB"/>
        </w:rPr>
      </w:pPr>
      <w:r w:rsidRPr="00C9741A">
        <w:rPr>
          <w:lang w:val="en-GB"/>
        </w:rPr>
        <w:t xml:space="preserve">Out of 234 </w:t>
      </w:r>
      <w:r w:rsidR="00C9741A">
        <w:rPr>
          <w:lang w:val="en-GB"/>
        </w:rPr>
        <w:t xml:space="preserve">samples </w:t>
      </w:r>
      <w:r w:rsidRPr="00C9741A">
        <w:rPr>
          <w:lang w:val="en-GB"/>
        </w:rPr>
        <w:t xml:space="preserve">(117 of bulk microbiota and 117 of ethanol treated) we successfully </w:t>
      </w:r>
      <w:r w:rsidR="00CD16D2" w:rsidRPr="00C9741A">
        <w:rPr>
          <w:lang w:val="en-GB"/>
        </w:rPr>
        <w:t>sequenced 230 of them</w:t>
      </w:r>
      <w:r w:rsidRPr="00C9741A">
        <w:rPr>
          <w:lang w:val="en-GB"/>
        </w:rPr>
        <w:t xml:space="preserve"> (Supplement Table 2)</w:t>
      </w:r>
      <w:r w:rsidR="00CD16D2" w:rsidRPr="00C9741A">
        <w:rPr>
          <w:lang w:val="en-GB"/>
        </w:rPr>
        <w:t xml:space="preserve">. Negative control samples </w:t>
      </w:r>
      <w:r w:rsidR="003C01CE" w:rsidRPr="00C9741A">
        <w:rPr>
          <w:lang w:val="en-GB"/>
        </w:rPr>
        <w:t xml:space="preserve">for both bulk microbiota and ethanol treated sample </w:t>
      </w:r>
      <w:r w:rsidR="00CD16D2" w:rsidRPr="00C9741A">
        <w:rPr>
          <w:lang w:val="en-GB"/>
        </w:rPr>
        <w:t xml:space="preserve">contained less than 1800 reads distributed into </w:t>
      </w:r>
      <w:r w:rsidR="003C01CE" w:rsidRPr="00C9741A">
        <w:rPr>
          <w:lang w:val="en-GB"/>
        </w:rPr>
        <w:t>a 586 and 671 OTUs, respectively</w:t>
      </w:r>
      <w:r w:rsidRPr="00C9741A">
        <w:rPr>
          <w:lang w:val="en-GB"/>
        </w:rPr>
        <w:t xml:space="preserve"> (average number of reads per OTU </w:t>
      </w:r>
      <w:r w:rsidR="00A310C0">
        <w:rPr>
          <w:lang w:val="en-GB"/>
        </w:rPr>
        <w:t>= 3</w:t>
      </w:r>
      <w:r w:rsidRPr="00C9741A">
        <w:rPr>
          <w:lang w:val="en-GB"/>
        </w:rPr>
        <w:t>)</w:t>
      </w:r>
      <w:r w:rsidR="003C01CE" w:rsidRPr="00C9741A">
        <w:rPr>
          <w:lang w:val="en-GB"/>
        </w:rPr>
        <w:t>.</w:t>
      </w:r>
      <w:r w:rsidRPr="00C9741A">
        <w:rPr>
          <w:lang w:val="en-GB"/>
        </w:rPr>
        <w:t xml:space="preserve"> After quality filtering and rarefaction</w:t>
      </w:r>
      <w:r w:rsidR="00C9741A">
        <w:rPr>
          <w:lang w:val="en-GB"/>
        </w:rPr>
        <w:t xml:space="preserve"> to 150 000 reads</w:t>
      </w:r>
      <w:r w:rsidRPr="00C9741A">
        <w:rPr>
          <w:lang w:val="en-GB"/>
        </w:rPr>
        <w:t xml:space="preserve"> (Supplement Figure 1)</w:t>
      </w:r>
      <w:r w:rsidR="00A642E9" w:rsidRPr="00C9741A">
        <w:rPr>
          <w:lang w:val="en-GB"/>
        </w:rPr>
        <w:t xml:space="preserve"> </w:t>
      </w:r>
      <w:r w:rsidRPr="00C9741A">
        <w:rPr>
          <w:lang w:val="en-GB"/>
        </w:rPr>
        <w:t>we detected</w:t>
      </w:r>
      <w:r w:rsidR="00A642E9" w:rsidRPr="00C9741A">
        <w:rPr>
          <w:lang w:val="en-GB"/>
        </w:rPr>
        <w:t xml:space="preserve"> 2,431 OTUs in bulk microbiota samples, </w:t>
      </w:r>
      <w:r w:rsidRPr="00C9741A">
        <w:rPr>
          <w:lang w:val="en-GB"/>
        </w:rPr>
        <w:t>out of those</w:t>
      </w:r>
      <w:r w:rsidR="00A642E9" w:rsidRPr="00C9741A">
        <w:rPr>
          <w:lang w:val="en-GB"/>
        </w:rPr>
        <w:t xml:space="preserve"> 414 OTUs (17.0 %)</w:t>
      </w:r>
      <w:r w:rsidRPr="00C9741A">
        <w:rPr>
          <w:lang w:val="en-GB"/>
        </w:rPr>
        <w:t xml:space="preserve"> were determined</w:t>
      </w:r>
      <w:r w:rsidR="00A642E9" w:rsidRPr="00C9741A">
        <w:rPr>
          <w:lang w:val="en-GB"/>
        </w:rPr>
        <w:t xml:space="preserve"> as part of the ethanol-resistant community and 1,934 (79.5%) as part of the ethanol non-resistant community. Eighty-three OTUs (3.4%) failed to meet the criteria </w:t>
      </w:r>
      <w:r w:rsidRPr="00C9741A">
        <w:rPr>
          <w:lang w:val="en-GB"/>
        </w:rPr>
        <w:t>(</w:t>
      </w:r>
      <w:r w:rsidR="00A642E9" w:rsidRPr="00C9741A">
        <w:rPr>
          <w:lang w:val="en-GB"/>
        </w:rPr>
        <w:t>describe</w:t>
      </w:r>
      <w:r w:rsidR="00A310C0">
        <w:rPr>
          <w:lang w:val="en-GB"/>
        </w:rPr>
        <w:t>d in chapter 8.1.4.1.</w:t>
      </w:r>
      <w:r w:rsidRPr="00C9741A">
        <w:rPr>
          <w:lang w:val="en-GB"/>
        </w:rPr>
        <w:t>)</w:t>
      </w:r>
      <w:r w:rsidR="00A642E9" w:rsidRPr="00C9741A">
        <w:rPr>
          <w:lang w:val="en-GB"/>
        </w:rPr>
        <w:t xml:space="preserve"> and were designated as undetermined regarding ethanol resistance. An additional 141 OTUs were detected only in ethanol treated samples. These were all detected at low relative abundance and were considered highly probable sampling artifacts and therefore excluded from further analysis, following an example from a previous study (Kearney et al.). Compositional characteristics and temporal dynamics were subsequently analy</w:t>
      </w:r>
      <w:r w:rsidRPr="00C9741A">
        <w:rPr>
          <w:lang w:val="en-GB"/>
        </w:rPr>
        <w:t>s</w:t>
      </w:r>
      <w:r w:rsidR="00A642E9" w:rsidRPr="00C9741A">
        <w:rPr>
          <w:lang w:val="en-GB"/>
        </w:rPr>
        <w:t xml:space="preserve">ed on the above defined ethanol-resistant and non-resistant communities obtained from a 6-month longitudinal sampling of nine healthy males. </w:t>
      </w:r>
    </w:p>
    <w:p w14:paraId="261EBDD4" w14:textId="339B3C3D" w:rsidR="00511463" w:rsidRPr="00511463" w:rsidRDefault="007910CD" w:rsidP="00511463">
      <w:pPr>
        <w:rPr>
          <w:lang w:val="en-GB"/>
        </w:rPr>
      </w:pPr>
      <w:r w:rsidRPr="00511463">
        <w:rPr>
          <w:lang w:val="en-GB"/>
        </w:rPr>
        <w:t>Most</w:t>
      </w:r>
      <w:r w:rsidR="00511463" w:rsidRPr="00511463">
        <w:rPr>
          <w:lang w:val="en-GB"/>
        </w:rPr>
        <w:t xml:space="preserve"> ethanol-resistant representatives were found in the phylum </w:t>
      </w:r>
      <w:r w:rsidR="00511463" w:rsidRPr="00511463">
        <w:rPr>
          <w:i/>
          <w:iCs/>
          <w:lang w:val="en-GB"/>
        </w:rPr>
        <w:t>Bacillota</w:t>
      </w:r>
      <w:r w:rsidR="00511463" w:rsidRPr="00511463">
        <w:rPr>
          <w:lang w:val="en-GB"/>
        </w:rPr>
        <w:t xml:space="preserve"> (n = 320), accounting for 77.5% of the total richness in the ethanol-resistant community (Figure </w:t>
      </w:r>
      <w:r w:rsidR="002A2E47">
        <w:rPr>
          <w:lang w:val="en-GB"/>
        </w:rPr>
        <w:t>6</w:t>
      </w:r>
      <w:r w:rsidR="00511463" w:rsidRPr="00511463">
        <w:rPr>
          <w:lang w:val="en-GB"/>
        </w:rPr>
        <w:t xml:space="preserve">A). Within the phylum </w:t>
      </w:r>
      <w:r w:rsidR="00511463" w:rsidRPr="00511463">
        <w:rPr>
          <w:i/>
          <w:iCs/>
          <w:lang w:val="en-GB"/>
        </w:rPr>
        <w:t>Bacillota</w:t>
      </w:r>
      <w:r w:rsidR="00511463" w:rsidRPr="00511463">
        <w:rPr>
          <w:lang w:val="en-GB"/>
        </w:rPr>
        <w:t xml:space="preserve">, 17.7% of all detected OTUs exhibited ethanol resistance, predominantly from the genera </w:t>
      </w:r>
      <w:r w:rsidR="00511463" w:rsidRPr="00511463">
        <w:rPr>
          <w:i/>
          <w:iCs/>
          <w:lang w:val="en-GB"/>
        </w:rPr>
        <w:t>Clostridium</w:t>
      </w:r>
      <w:r w:rsidR="00511463" w:rsidRPr="00511463">
        <w:rPr>
          <w:lang w:val="en-GB"/>
        </w:rPr>
        <w:t xml:space="preserve"> (n = 76), unclassified </w:t>
      </w:r>
      <w:r w:rsidR="00511463" w:rsidRPr="00511463">
        <w:rPr>
          <w:i/>
          <w:iCs/>
          <w:lang w:val="en-GB"/>
        </w:rPr>
        <w:t>Lachnospiraceae</w:t>
      </w:r>
      <w:r w:rsidR="00511463" w:rsidRPr="00511463">
        <w:rPr>
          <w:lang w:val="en-GB"/>
        </w:rPr>
        <w:t xml:space="preserve"> (n = 49), unclassified </w:t>
      </w:r>
      <w:r w:rsidR="00511463" w:rsidRPr="00511463">
        <w:rPr>
          <w:i/>
          <w:iCs/>
          <w:lang w:val="en-GB"/>
        </w:rPr>
        <w:t>Ruminococcaceae</w:t>
      </w:r>
      <w:r w:rsidR="00511463" w:rsidRPr="00511463">
        <w:rPr>
          <w:lang w:val="en-GB"/>
        </w:rPr>
        <w:t xml:space="preserve"> (n = 42), unclassified </w:t>
      </w:r>
      <w:r w:rsidR="00511463" w:rsidRPr="00511463">
        <w:rPr>
          <w:i/>
          <w:iCs/>
          <w:lang w:val="en-GB"/>
        </w:rPr>
        <w:t>Peptostreptococcaceae</w:t>
      </w:r>
      <w:r w:rsidR="00511463" w:rsidRPr="00511463">
        <w:rPr>
          <w:lang w:val="en-GB"/>
        </w:rPr>
        <w:t xml:space="preserve"> (n = 13), and </w:t>
      </w:r>
      <w:r w:rsidR="00511463" w:rsidRPr="00511463">
        <w:rPr>
          <w:i/>
          <w:iCs/>
          <w:lang w:val="en-GB"/>
        </w:rPr>
        <w:t>Blautia</w:t>
      </w:r>
      <w:r w:rsidR="00511463" w:rsidRPr="00511463">
        <w:rPr>
          <w:lang w:val="en-GB"/>
        </w:rPr>
        <w:t xml:space="preserve"> (n = 12). The remaining ethanol-resistant community included representatives from </w:t>
      </w:r>
      <w:r w:rsidR="00511463" w:rsidRPr="00511463">
        <w:rPr>
          <w:i/>
          <w:iCs/>
          <w:lang w:val="en-GB"/>
        </w:rPr>
        <w:t>Actinomycetota</w:t>
      </w:r>
      <w:r w:rsidR="00511463" w:rsidRPr="00511463">
        <w:rPr>
          <w:lang w:val="en-GB"/>
        </w:rPr>
        <w:t xml:space="preserve"> (n = 42, 11%), </w:t>
      </w:r>
      <w:r w:rsidR="00511463" w:rsidRPr="00511463">
        <w:rPr>
          <w:i/>
          <w:iCs/>
          <w:lang w:val="en-GB"/>
        </w:rPr>
        <w:t>Pseudomonadota</w:t>
      </w:r>
      <w:r w:rsidR="00511463" w:rsidRPr="00511463">
        <w:rPr>
          <w:lang w:val="en-GB"/>
        </w:rPr>
        <w:t xml:space="preserve"> (n = 21, 5.5%), and unclassified </w:t>
      </w:r>
      <w:r w:rsidR="00511463" w:rsidRPr="00511463">
        <w:rPr>
          <w:i/>
          <w:iCs/>
          <w:lang w:val="en-GB"/>
        </w:rPr>
        <w:t>Bacteria</w:t>
      </w:r>
      <w:r w:rsidR="00511463" w:rsidRPr="00511463">
        <w:rPr>
          <w:lang w:val="en-GB"/>
        </w:rPr>
        <w:t xml:space="preserve"> (n = 14, 3.7%). In these groups, the proportion of ethanol-resistant OTUs was higher than expected, with 36.2%, 40.4%, and 19.7%, respectively, exhibiting this trait</w:t>
      </w:r>
      <w:r w:rsidR="002A2E47">
        <w:rPr>
          <w:lang w:val="en-GB"/>
        </w:rPr>
        <w:t xml:space="preserve"> (Figure 6B)</w:t>
      </w:r>
      <w:r w:rsidR="00511463" w:rsidRPr="00511463">
        <w:rPr>
          <w:lang w:val="en-GB"/>
        </w:rPr>
        <w:t xml:space="preserve">. Additionally, phyla with ten or fewer representatives collectively contributed 2.3% of the ethanol-resistant richness, most notably the biologically relevant genus </w:t>
      </w:r>
      <w:r w:rsidR="00511463" w:rsidRPr="00511463">
        <w:rPr>
          <w:i/>
          <w:iCs/>
          <w:lang w:val="en-GB"/>
        </w:rPr>
        <w:t>Akkermansia</w:t>
      </w:r>
      <w:r w:rsidR="00511463" w:rsidRPr="00511463">
        <w:rPr>
          <w:lang w:val="en-GB"/>
        </w:rPr>
        <w:t xml:space="preserve">. Ethanol treatment had the strongest elimination effect on the phylum </w:t>
      </w:r>
      <w:r w:rsidR="00511463" w:rsidRPr="00511463">
        <w:rPr>
          <w:i/>
          <w:iCs/>
          <w:lang w:val="en-GB"/>
        </w:rPr>
        <w:t>Bacteroidota</w:t>
      </w:r>
      <w:r w:rsidR="00511463" w:rsidRPr="00511463">
        <w:rPr>
          <w:lang w:val="en-GB"/>
        </w:rPr>
        <w:t>, with only 10 representatives remaining in the ethanol-resistant community, accounting for 0.5% of the total relative abundance.</w:t>
      </w:r>
    </w:p>
    <w:p w14:paraId="062F97D7" w14:textId="3A90107C" w:rsidR="00511463" w:rsidRPr="00511463" w:rsidRDefault="00511463" w:rsidP="00511463">
      <w:pPr>
        <w:rPr>
          <w:lang w:val="en-GB"/>
        </w:rPr>
      </w:pPr>
      <w:r w:rsidRPr="00511463">
        <w:rPr>
          <w:lang w:val="en-GB"/>
        </w:rPr>
        <w:t xml:space="preserve">We observed two notable characteristics distinguishing the ethanol-resistant community from the non-resistant community. Both were primarily driven by </w:t>
      </w:r>
      <w:r w:rsidRPr="00511463">
        <w:rPr>
          <w:i/>
          <w:iCs/>
          <w:lang w:val="en-GB"/>
        </w:rPr>
        <w:t>Bacillota</w:t>
      </w:r>
      <w:r w:rsidRPr="00511463">
        <w:rPr>
          <w:lang w:val="en-GB"/>
        </w:rPr>
        <w:t xml:space="preserve"> OTUs due to their high abundance, though similar trends were also observed across other phyla. First, OTUs determined as ethanol-resistant exhibited significantly higher relative abundance within the gut microbiota compared to non-resistant OTUs (Wilcoxon rank-rum sum test, p &lt; 0.001; Figure </w:t>
      </w:r>
      <w:r w:rsidR="002A2E47">
        <w:rPr>
          <w:lang w:val="en-GB"/>
        </w:rPr>
        <w:t>6C</w:t>
      </w:r>
      <w:r w:rsidRPr="00511463">
        <w:rPr>
          <w:lang w:val="en-GB"/>
        </w:rPr>
        <w:t xml:space="preserve">). Second, ethanol-resistant OTUs were significantly </w:t>
      </w:r>
      <w:r w:rsidRPr="00511463">
        <w:rPr>
          <w:lang w:val="en-GB"/>
        </w:rPr>
        <w:lastRenderedPageBreak/>
        <w:t xml:space="preserve">more likely to be detected at more time points within an individual, particularly in more than 80% of samples collected over a six-month period, relative to non-resistant OTUs (Wilcoxon rank-sum test, p &lt; 0.001; Figure </w:t>
      </w:r>
      <w:r w:rsidR="002A2E47">
        <w:rPr>
          <w:lang w:val="en-GB"/>
        </w:rPr>
        <w:t>6</w:t>
      </w:r>
      <w:r w:rsidRPr="00511463">
        <w:rPr>
          <w:lang w:val="en-GB"/>
        </w:rPr>
        <w:t>D). These findings support the use of ethanol resistance as a proxy for identifying bacterial taxa employing dormancy mechanisms that contribute to long-term persistence in the human gut.</w:t>
      </w:r>
    </w:p>
    <w:p w14:paraId="1D54D22F" w14:textId="6AC17762" w:rsidR="00511463" w:rsidRPr="00511463" w:rsidRDefault="00A310C0" w:rsidP="00812F3D">
      <w:pPr>
        <w:rPr>
          <w:lang w:val="en-GB"/>
        </w:rPr>
      </w:pPr>
      <w:r>
        <w:rPr>
          <w:noProof/>
          <w:lang w:val="en-GB"/>
        </w:rPr>
        <w:drawing>
          <wp:anchor distT="0" distB="0" distL="114300" distR="114300" simplePos="0" relativeHeight="251659264" behindDoc="0" locked="0" layoutInCell="1" allowOverlap="1" wp14:anchorId="1B0DEAE2" wp14:editId="0FAE7A7F">
            <wp:simplePos x="0" y="0"/>
            <wp:positionH relativeFrom="column">
              <wp:posOffset>0</wp:posOffset>
            </wp:positionH>
            <wp:positionV relativeFrom="paragraph">
              <wp:posOffset>-1905</wp:posOffset>
            </wp:positionV>
            <wp:extent cx="5953125" cy="4501733"/>
            <wp:effectExtent l="0" t="0" r="0" b="0"/>
            <wp:wrapTopAndBottom/>
            <wp:docPr id="13414583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58376" name="Picture 1" descr="A screenshot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53125" cy="4501733"/>
                    </a:xfrm>
                    <a:prstGeom prst="rect">
                      <a:avLst/>
                    </a:prstGeom>
                  </pic:spPr>
                </pic:pic>
              </a:graphicData>
            </a:graphic>
          </wp:anchor>
        </w:drawing>
      </w:r>
    </w:p>
    <w:p w14:paraId="60276EEA" w14:textId="35C8523E" w:rsidR="00511463" w:rsidRPr="00A310C0" w:rsidRDefault="00511463" w:rsidP="00A310C0">
      <w:pPr>
        <w:ind w:left="720"/>
        <w:rPr>
          <w:sz w:val="20"/>
          <w:szCs w:val="20"/>
          <w:lang w:val="en-GB"/>
        </w:rPr>
      </w:pPr>
      <w:r w:rsidRPr="00A310C0">
        <w:rPr>
          <w:b/>
          <w:bCs/>
          <w:sz w:val="20"/>
          <w:szCs w:val="20"/>
          <w:lang w:val="en-GB"/>
        </w:rPr>
        <w:t xml:space="preserve">Figure </w:t>
      </w:r>
      <w:r w:rsidR="002A2E47">
        <w:rPr>
          <w:b/>
          <w:bCs/>
          <w:sz w:val="20"/>
          <w:szCs w:val="20"/>
          <w:lang w:val="en-GB"/>
        </w:rPr>
        <w:t>6</w:t>
      </w:r>
      <w:r w:rsidRPr="00A310C0">
        <w:rPr>
          <w:b/>
          <w:bCs/>
          <w:sz w:val="20"/>
          <w:szCs w:val="20"/>
          <w:lang w:val="en-GB"/>
        </w:rPr>
        <w:t>. Characteristics of ethanol-resistant and ethanol non-resistant bacterial communities.</w:t>
      </w:r>
      <w:r w:rsidRPr="00A310C0">
        <w:rPr>
          <w:sz w:val="20"/>
          <w:szCs w:val="20"/>
          <w:lang w:val="en-GB"/>
        </w:rPr>
        <w:t xml:space="preserve"> A)</w:t>
      </w:r>
      <w:r w:rsidR="00A310C0">
        <w:rPr>
          <w:sz w:val="20"/>
          <w:szCs w:val="20"/>
          <w:lang w:val="en-GB"/>
        </w:rPr>
        <w:t xml:space="preserve"> </w:t>
      </w:r>
      <w:r w:rsidRPr="00A310C0">
        <w:rPr>
          <w:sz w:val="20"/>
          <w:szCs w:val="20"/>
          <w:lang w:val="en-GB"/>
        </w:rPr>
        <w:t>Distributions of OTUs across phyla according to ethanol resistance. The number of OTUs identified in each phylum for the ethanol non-resistant and ethanol-resistant communities</w:t>
      </w:r>
      <w:r w:rsidR="007910CD" w:rsidRPr="00A310C0">
        <w:rPr>
          <w:sz w:val="20"/>
          <w:szCs w:val="20"/>
          <w:lang w:val="en-GB"/>
        </w:rPr>
        <w:t>. B) S</w:t>
      </w:r>
      <w:r w:rsidRPr="00A310C0">
        <w:rPr>
          <w:sz w:val="20"/>
          <w:szCs w:val="20"/>
          <w:lang w:val="en-GB"/>
        </w:rPr>
        <w:t>tacked bar plots depict relative proportions</w:t>
      </w:r>
      <w:r w:rsidR="007910CD" w:rsidRPr="00A310C0">
        <w:rPr>
          <w:sz w:val="20"/>
          <w:szCs w:val="20"/>
          <w:lang w:val="en-GB"/>
        </w:rPr>
        <w:t xml:space="preserve"> of ethanol-resistant and ethanol non-resistant OTUs</w:t>
      </w:r>
      <w:r w:rsidRPr="00A310C0">
        <w:rPr>
          <w:sz w:val="20"/>
          <w:szCs w:val="20"/>
          <w:lang w:val="en-GB"/>
        </w:rPr>
        <w:t xml:space="preserve"> within the respective phyla, color-coded based on their ethanol non-resistant (green) or ethanol-resistant (yellow) classification. B) Comparison of relative abundances in the gut microbiota between OTUs determined as part of the ethanol-resistant or ethanol non-resistant community</w:t>
      </w:r>
      <w:r w:rsidR="002113A7" w:rsidRPr="00A310C0">
        <w:rPr>
          <w:sz w:val="20"/>
          <w:szCs w:val="20"/>
          <w:lang w:val="en-GB"/>
        </w:rPr>
        <w:t xml:space="preserve"> per phyla</w:t>
      </w:r>
      <w:r w:rsidRPr="00A310C0">
        <w:rPr>
          <w:sz w:val="20"/>
          <w:szCs w:val="20"/>
          <w:lang w:val="en-GB"/>
        </w:rPr>
        <w:t>. C) Within-individual prevalence of OTUs across the six-month observational period</w:t>
      </w:r>
      <w:r w:rsidR="002113A7" w:rsidRPr="00A310C0">
        <w:rPr>
          <w:sz w:val="20"/>
          <w:szCs w:val="20"/>
          <w:lang w:val="en-GB"/>
        </w:rPr>
        <w:t xml:space="preserve"> for the most prevalent phyla</w:t>
      </w:r>
      <w:r w:rsidRPr="00A310C0">
        <w:rPr>
          <w:sz w:val="20"/>
          <w:szCs w:val="20"/>
          <w:lang w:val="en-GB"/>
        </w:rPr>
        <w:t>, shown as the percentage of OTUs detected at different numbers of time points. Thin lines represent individual participants, and bold lines indicate the cohort median.</w:t>
      </w:r>
    </w:p>
    <w:p w14:paraId="63B2AA26" w14:textId="05777EBE" w:rsidR="00A310C0" w:rsidRDefault="00511463" w:rsidP="00511463">
      <w:pPr>
        <w:rPr>
          <w:rFonts w:cs="Times New Roman"/>
        </w:rPr>
      </w:pPr>
      <w:r w:rsidRPr="00511463">
        <w:rPr>
          <w:rFonts w:cs="Times New Roman"/>
        </w:rPr>
        <w:lastRenderedPageBreak/>
        <w:t xml:space="preserve">For the purpose of statistical robustness and clarity in discussion, we further divided our dataset </w:t>
      </w:r>
      <w:r>
        <w:rPr>
          <w:rFonts w:cs="Times New Roman"/>
        </w:rPr>
        <w:t xml:space="preserve">of ethanol-resistant and </w:t>
      </w:r>
      <w:r w:rsidR="002113A7">
        <w:rPr>
          <w:rFonts w:cs="Times New Roman"/>
        </w:rPr>
        <w:t>ethanol</w:t>
      </w:r>
      <w:r>
        <w:rPr>
          <w:rFonts w:cs="Times New Roman"/>
        </w:rPr>
        <w:t xml:space="preserve"> non-resistant communities </w:t>
      </w:r>
      <w:r w:rsidRPr="00511463">
        <w:rPr>
          <w:rFonts w:cs="Times New Roman"/>
        </w:rPr>
        <w:t xml:space="preserve">into phylum </w:t>
      </w:r>
      <w:r w:rsidRPr="00511463">
        <w:rPr>
          <w:rFonts w:cs="Times New Roman"/>
          <w:i/>
          <w:iCs/>
        </w:rPr>
        <w:t>Bacillota</w:t>
      </w:r>
      <w:r w:rsidRPr="00511463">
        <w:rPr>
          <w:rFonts w:cs="Times New Roman"/>
        </w:rPr>
        <w:t xml:space="preserve"> and other phyla (Figure </w:t>
      </w:r>
      <w:r>
        <w:rPr>
          <w:rFonts w:cs="Times New Roman"/>
        </w:rPr>
        <w:t>7</w:t>
      </w:r>
      <w:r w:rsidRPr="00511463">
        <w:rPr>
          <w:rFonts w:cs="Times New Roman"/>
        </w:rPr>
        <w:t xml:space="preserve">). The ethanol-resistant communities exhibited significantly lower variability both between and within individuals compared to the non-resistant communities. This pattern was observed when implementing both unweighted (Jaccard distance, p &lt; 0.001 for all comparisons; Figure </w:t>
      </w:r>
      <w:r>
        <w:rPr>
          <w:rFonts w:cs="Times New Roman"/>
        </w:rPr>
        <w:t>7</w:t>
      </w:r>
      <w:r w:rsidRPr="00511463">
        <w:rPr>
          <w:rFonts w:cs="Times New Roman"/>
        </w:rPr>
        <w:t xml:space="preserve">A) and weighted beta diversity measures (Bray-Curtis, p &lt; 0.001 for all comparisons; </w:t>
      </w:r>
      <w:r>
        <w:rPr>
          <w:rFonts w:cs="Times New Roman"/>
        </w:rPr>
        <w:t>Supplement Figure 2</w:t>
      </w:r>
      <w:r w:rsidRPr="00511463">
        <w:rPr>
          <w:rFonts w:cs="Times New Roman"/>
        </w:rPr>
        <w:t xml:space="preserve">). However, the lower within-individual variability observed in ethanol-resistant communities was significantly more pronounced in the phylum </w:t>
      </w:r>
      <w:r w:rsidRPr="00511463">
        <w:rPr>
          <w:rFonts w:cs="Times New Roman"/>
          <w:i/>
          <w:iCs/>
        </w:rPr>
        <w:t>Bacillota</w:t>
      </w:r>
      <w:r w:rsidRPr="00511463">
        <w:rPr>
          <w:rFonts w:cs="Times New Roman"/>
        </w:rPr>
        <w:t xml:space="preserve"> compared to other phyla (Wilcoxon rank-sum test, p &lt; 0.001; Figure </w:t>
      </w:r>
      <w:r>
        <w:rPr>
          <w:rFonts w:cs="Times New Roman"/>
        </w:rPr>
        <w:t>7</w:t>
      </w:r>
      <w:r w:rsidRPr="00511463">
        <w:rPr>
          <w:rFonts w:cs="Times New Roman"/>
        </w:rPr>
        <w:t xml:space="preserve">A). In our study, we observed a modest but significant increase in temporal variability within ethanol-resistant </w:t>
      </w:r>
      <w:r w:rsidRPr="00511463">
        <w:rPr>
          <w:rFonts w:cs="Times New Roman"/>
          <w:i/>
          <w:iCs/>
        </w:rPr>
        <w:t>Bacillota</w:t>
      </w:r>
      <w:r w:rsidRPr="00511463">
        <w:rPr>
          <w:rFonts w:cs="Times New Roman"/>
        </w:rPr>
        <w:t xml:space="preserve"> based on Jaccard distance (Pearson correlation, r = 0.19, p = 0.038, Figure </w:t>
      </w:r>
      <w:r>
        <w:rPr>
          <w:rFonts w:cs="Times New Roman"/>
        </w:rPr>
        <w:t>7</w:t>
      </w:r>
      <w:r w:rsidRPr="00511463">
        <w:rPr>
          <w:rFonts w:cs="Times New Roman"/>
        </w:rPr>
        <w:t xml:space="preserve">B) and a borderline significant correlation when using Bray-Curtis dissimilarity (Pearson correlation, r = 0.169, p = 0.051, </w:t>
      </w:r>
      <w:r>
        <w:rPr>
          <w:rFonts w:cs="Times New Roman"/>
        </w:rPr>
        <w:t>Supplement Figure 2</w:t>
      </w:r>
      <w:r w:rsidRPr="00511463">
        <w:rPr>
          <w:rFonts w:cs="Times New Roman"/>
        </w:rPr>
        <w:t xml:space="preserve">). In contrast, no significant temporal changes were observed in other communities (Figure </w:t>
      </w:r>
      <w:r>
        <w:rPr>
          <w:rFonts w:cs="Times New Roman"/>
        </w:rPr>
        <w:t>7</w:t>
      </w:r>
      <w:r w:rsidRPr="00511463">
        <w:rPr>
          <w:rFonts w:cs="Times New Roman"/>
        </w:rPr>
        <w:t>B).</w:t>
      </w:r>
      <w:r w:rsidR="00A310C0">
        <w:rPr>
          <w:rFonts w:cs="Times New Roman"/>
        </w:rPr>
        <w:t xml:space="preserve"> </w:t>
      </w:r>
    </w:p>
    <w:p w14:paraId="2905FDBC" w14:textId="0E48047B" w:rsidR="00511463" w:rsidRPr="00A310C0" w:rsidRDefault="00511463" w:rsidP="00A310C0">
      <w:pPr>
        <w:ind w:left="720"/>
        <w:rPr>
          <w:rFonts w:cs="Times New Roman"/>
          <w:sz w:val="20"/>
          <w:szCs w:val="20"/>
        </w:rPr>
      </w:pPr>
      <w:r w:rsidRPr="00A310C0">
        <w:rPr>
          <w:rFonts w:cs="Times New Roman"/>
          <w:b/>
          <w:bCs/>
          <w:noProof/>
          <w:sz w:val="20"/>
          <w:szCs w:val="20"/>
        </w:rPr>
        <w:drawing>
          <wp:anchor distT="0" distB="0" distL="114300" distR="114300" simplePos="0" relativeHeight="251658240" behindDoc="0" locked="0" layoutInCell="1" allowOverlap="1" wp14:anchorId="65E3E2EC" wp14:editId="745C612E">
            <wp:simplePos x="0" y="0"/>
            <wp:positionH relativeFrom="column">
              <wp:posOffset>0</wp:posOffset>
            </wp:positionH>
            <wp:positionV relativeFrom="paragraph">
              <wp:posOffset>0</wp:posOffset>
            </wp:positionV>
            <wp:extent cx="5944235" cy="2602230"/>
            <wp:effectExtent l="0" t="0" r="0" b="7620"/>
            <wp:wrapTopAndBottom/>
            <wp:docPr id="1217132882" name="Picture 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32882" name="Picture 2" descr="A close-up of a graph&#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4235" cy="2602230"/>
                    </a:xfrm>
                    <a:prstGeom prst="rect">
                      <a:avLst/>
                    </a:prstGeom>
                  </pic:spPr>
                </pic:pic>
              </a:graphicData>
            </a:graphic>
            <wp14:sizeRelV relativeFrom="margin">
              <wp14:pctHeight>0</wp14:pctHeight>
            </wp14:sizeRelV>
          </wp:anchor>
        </w:drawing>
      </w:r>
      <w:bookmarkStart w:id="4" w:name="_Hlk196381149"/>
      <w:r w:rsidRPr="00A310C0">
        <w:rPr>
          <w:rFonts w:cs="Times New Roman"/>
          <w:b/>
          <w:bCs/>
          <w:sz w:val="20"/>
          <w:szCs w:val="20"/>
        </w:rPr>
        <w:t>Figure 7. Dynamics of ethanol-resistant and ethanol non-resistant taxa between and within individuals</w:t>
      </w:r>
      <w:r w:rsidR="00A310C0" w:rsidRPr="00A310C0">
        <w:rPr>
          <w:rFonts w:cs="Times New Roman"/>
          <w:b/>
          <w:bCs/>
          <w:sz w:val="20"/>
          <w:szCs w:val="20"/>
        </w:rPr>
        <w:t>.</w:t>
      </w:r>
      <w:r w:rsidRPr="00A310C0">
        <w:rPr>
          <w:rFonts w:cs="Times New Roman"/>
          <w:sz w:val="20"/>
          <w:szCs w:val="20"/>
        </w:rPr>
        <w:t xml:space="preserve"> A) Boxplots showing between-individual (left) and within-individual (right) variability in community composition for ethanol-resistant (yellow) and non-resistant (green) communities. Variability was assessed using the Jaccard distance, calculated separately for OTUs from the phylum </w:t>
      </w:r>
      <w:r w:rsidRPr="00A310C0">
        <w:rPr>
          <w:rFonts w:cs="Times New Roman"/>
          <w:i/>
          <w:iCs/>
          <w:sz w:val="20"/>
          <w:szCs w:val="20"/>
        </w:rPr>
        <w:t>Bacillota</w:t>
      </w:r>
      <w:r w:rsidRPr="00A310C0">
        <w:rPr>
          <w:rFonts w:cs="Times New Roman"/>
          <w:sz w:val="20"/>
          <w:szCs w:val="20"/>
        </w:rPr>
        <w:t xml:space="preserve"> and OTUs from other phyla. Jaccard distances were derived from randomly subsampled communities (n = 24, iterations = 999), with the median distance used for visualization and statistical comparisons. Distributions were compared using the Wilcoxon rank-sum test. B) Community variability as measured by Jaccard distance plotted against the number of days between sampling time points. Data are presented separately for phylum </w:t>
      </w:r>
      <w:r w:rsidRPr="00A310C0">
        <w:rPr>
          <w:rFonts w:cs="Times New Roman"/>
          <w:i/>
          <w:iCs/>
          <w:sz w:val="20"/>
          <w:szCs w:val="20"/>
        </w:rPr>
        <w:t>Bacillota</w:t>
      </w:r>
      <w:r w:rsidRPr="00A310C0">
        <w:rPr>
          <w:rFonts w:cs="Times New Roman"/>
          <w:sz w:val="20"/>
          <w:szCs w:val="20"/>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bookmarkEnd w:id="4"/>
    <w:p w14:paraId="77995561" w14:textId="35F60343" w:rsidR="002A2E47" w:rsidRPr="002A2E47" w:rsidRDefault="002A2E47" w:rsidP="001D52B8">
      <w:pPr>
        <w:rPr>
          <w:lang w:val="en-GB"/>
        </w:rPr>
      </w:pPr>
      <w:r>
        <w:rPr>
          <w:lang w:val="en-GB"/>
        </w:rPr>
        <w:lastRenderedPageBreak/>
        <w:t xml:space="preserve">Ethanol-resistant community exhibits greater OTU sharing among individuals, while ethanol non-resistant community suggests greater individual-specificity. As very stringent criteria were used to define OTU presence (at least 11 timepoints), which highlights persistent members of each community type and indicated that ethanol-resistance may promote transmission of widely shared and persistent OTUs. </w:t>
      </w:r>
    </w:p>
    <w:p w14:paraId="13BE812D" w14:textId="49BD46A5" w:rsidR="001D52B8" w:rsidRDefault="001D52B8" w:rsidP="001D52B8">
      <w:pPr>
        <w:rPr>
          <w:rFonts w:cs="Times New Roman"/>
          <w:lang w:val="en-GB"/>
        </w:rPr>
      </w:pPr>
      <w:r>
        <w:rPr>
          <w:rFonts w:cs="Times New Roman"/>
          <w:noProof/>
          <w:lang w:val="en-GB"/>
        </w:rPr>
        <w:drawing>
          <wp:inline distT="0" distB="0" distL="0" distR="0" wp14:anchorId="7D4BF7E3" wp14:editId="6DAF525B">
            <wp:extent cx="2820088" cy="3848100"/>
            <wp:effectExtent l="0" t="0" r="0" b="0"/>
            <wp:docPr id="215333315" name="Picture 7" descr="A graph with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33315" name="Picture 7" descr="A graph with blue and orange square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22998" cy="3852071"/>
                    </a:xfrm>
                    <a:prstGeom prst="rect">
                      <a:avLst/>
                    </a:prstGeom>
                    <a:noFill/>
                    <a:ln>
                      <a:noFill/>
                    </a:ln>
                  </pic:spPr>
                </pic:pic>
              </a:graphicData>
            </a:graphic>
          </wp:inline>
        </w:drawing>
      </w:r>
    </w:p>
    <w:p w14:paraId="7CFD2AB4" w14:textId="59AB5123" w:rsidR="00040F19" w:rsidRPr="002A2E47" w:rsidRDefault="001D52B8" w:rsidP="002A2E47">
      <w:pPr>
        <w:ind w:left="360"/>
        <w:rPr>
          <w:rFonts w:cs="Times New Roman"/>
          <w:sz w:val="20"/>
          <w:szCs w:val="20"/>
          <w:lang w:val="en-GB"/>
        </w:rPr>
      </w:pPr>
      <w:r w:rsidRPr="002A2E47">
        <w:rPr>
          <w:rFonts w:cs="Times New Roman"/>
          <w:b/>
          <w:bCs/>
          <w:sz w:val="20"/>
          <w:szCs w:val="20"/>
          <w:lang w:val="en-GB"/>
        </w:rPr>
        <w:t xml:space="preserve">Figure 8. </w:t>
      </w:r>
      <w:r w:rsidR="002A2E47" w:rsidRPr="002A2E47">
        <w:rPr>
          <w:rFonts w:cs="Times New Roman"/>
          <w:b/>
          <w:bCs/>
          <w:sz w:val="20"/>
          <w:szCs w:val="20"/>
          <w:lang w:val="en-GB"/>
        </w:rPr>
        <w:t>Transmission of OTUs between people based on their resistance to ethanol.</w:t>
      </w:r>
      <w:r w:rsidR="002A2E47" w:rsidRPr="002A2E47">
        <w:rPr>
          <w:rFonts w:cs="Times New Roman"/>
          <w:sz w:val="20"/>
          <w:szCs w:val="20"/>
          <w:lang w:val="en-GB"/>
        </w:rPr>
        <w:t xml:space="preserve"> </w:t>
      </w:r>
      <w:r w:rsidRPr="002A2E47">
        <w:rPr>
          <w:rFonts w:cs="Times New Roman"/>
          <w:sz w:val="20"/>
          <w:szCs w:val="20"/>
          <w:lang w:val="en-GB"/>
        </w:rPr>
        <w:t xml:space="preserve">Proportion of OTUs in ethanol-resistant and ethanol non-resistant community are present in a single individual </w:t>
      </w:r>
      <w:r w:rsidR="002A2E47" w:rsidRPr="002A2E47">
        <w:rPr>
          <w:rFonts w:cs="Times New Roman"/>
          <w:sz w:val="20"/>
          <w:szCs w:val="20"/>
          <w:lang w:val="en-GB"/>
        </w:rPr>
        <w:t>or</w:t>
      </w:r>
      <w:r w:rsidRPr="002A2E47">
        <w:rPr>
          <w:rFonts w:cs="Times New Roman"/>
          <w:sz w:val="20"/>
          <w:szCs w:val="20"/>
          <w:lang w:val="en-GB"/>
        </w:rPr>
        <w:t xml:space="preserve"> present in two or more individuals. For an OTU to be present in an individual it had to be present in 11</w:t>
      </w:r>
      <w:r w:rsidR="002A2E47" w:rsidRPr="002A2E47">
        <w:rPr>
          <w:rFonts w:cs="Times New Roman"/>
          <w:sz w:val="20"/>
          <w:szCs w:val="20"/>
          <w:lang w:val="en-GB"/>
        </w:rPr>
        <w:t xml:space="preserve"> out of </w:t>
      </w:r>
      <w:r w:rsidRPr="002A2E47">
        <w:rPr>
          <w:rFonts w:cs="Times New Roman"/>
          <w:sz w:val="20"/>
          <w:szCs w:val="20"/>
          <w:lang w:val="en-GB"/>
        </w:rPr>
        <w:t>all timepoints</w:t>
      </w:r>
      <w:r w:rsidR="002A2E47" w:rsidRPr="002A2E47">
        <w:rPr>
          <w:rFonts w:cs="Times New Roman"/>
          <w:sz w:val="20"/>
          <w:szCs w:val="20"/>
          <w:lang w:val="en-GB"/>
        </w:rPr>
        <w:t xml:space="preserve"> (12 to 14, depending on individual)</w:t>
      </w:r>
      <w:r w:rsidRPr="002A2E47">
        <w:rPr>
          <w:rFonts w:cs="Times New Roman"/>
          <w:sz w:val="20"/>
          <w:szCs w:val="20"/>
          <w:lang w:val="en-GB"/>
        </w:rPr>
        <w:t xml:space="preserve">. </w:t>
      </w:r>
    </w:p>
    <w:p w14:paraId="02635B04" w14:textId="77777777" w:rsidR="00AC09BB" w:rsidRPr="00AC09BB" w:rsidRDefault="00AC09BB" w:rsidP="00812F3D">
      <w:pPr>
        <w:rPr>
          <w:rFonts w:cs="Times New Roman"/>
          <w:lang w:val="en-GB"/>
        </w:rPr>
      </w:pPr>
    </w:p>
    <w:p w14:paraId="26846807" w14:textId="1F9497CB" w:rsidR="001560D9" w:rsidRPr="00AC09BB" w:rsidRDefault="001560D9" w:rsidP="00AC09BB">
      <w:pPr>
        <w:pStyle w:val="ListParagraph"/>
        <w:numPr>
          <w:ilvl w:val="3"/>
          <w:numId w:val="14"/>
        </w:numPr>
        <w:rPr>
          <w:rFonts w:cs="Times New Roman"/>
          <w:lang w:val="en-GB"/>
        </w:rPr>
      </w:pPr>
      <w:r w:rsidRPr="00AC09BB">
        <w:rPr>
          <w:rFonts w:cs="Times New Roman"/>
          <w:lang w:val="en-GB"/>
        </w:rPr>
        <w:t>Sporulation frequency of ethanol</w:t>
      </w:r>
      <w:r w:rsidR="002A2E47">
        <w:rPr>
          <w:rFonts w:cs="Times New Roman"/>
          <w:lang w:val="en-GB"/>
        </w:rPr>
        <w:t>-</w:t>
      </w:r>
      <w:r w:rsidRPr="00AC09BB">
        <w:rPr>
          <w:rFonts w:cs="Times New Roman"/>
          <w:lang w:val="en-GB"/>
        </w:rPr>
        <w:t xml:space="preserve">resistant </w:t>
      </w:r>
      <w:r w:rsidRPr="002A2E47">
        <w:rPr>
          <w:rFonts w:cs="Times New Roman"/>
          <w:i/>
          <w:iCs/>
          <w:lang w:val="en-GB"/>
        </w:rPr>
        <w:t>Bacillota</w:t>
      </w:r>
      <w:r w:rsidRPr="00AC09BB">
        <w:rPr>
          <w:rFonts w:cs="Times New Roman"/>
          <w:lang w:val="en-GB"/>
        </w:rPr>
        <w:t xml:space="preserve"> in the human gut is host and time dependent</w:t>
      </w:r>
    </w:p>
    <w:p w14:paraId="48D6174D" w14:textId="26D39249" w:rsidR="001669F6" w:rsidRPr="001669F6" w:rsidRDefault="001669F6" w:rsidP="001669F6">
      <w:pPr>
        <w:rPr>
          <w:rFonts w:cs="Times New Roman"/>
          <w:lang w:val="en-GB"/>
        </w:rPr>
      </w:pPr>
      <w:r w:rsidRPr="001669F6">
        <w:rPr>
          <w:rFonts w:cs="Times New Roman"/>
          <w:lang w:val="en-GB"/>
        </w:rPr>
        <w:t xml:space="preserve">Sporulation frequency was calculated for OTUs determined as part of the ethanol-resistant fraction with taxonomic classification to the phylum Bacillota. The ratio between normalised abundance in bulk microbiota samples and normalised abundance in ethanol treated samples was calculated and termed sporulation frequency (see Chapter 8.1.4.3). This calculation is supported by a correlation of relative and/or </w:t>
      </w:r>
      <w:r w:rsidRPr="001669F6">
        <w:rPr>
          <w:rFonts w:cs="Times New Roman"/>
          <w:lang w:val="en-GB"/>
        </w:rPr>
        <w:lastRenderedPageBreak/>
        <w:t>normalised abundance of ethanol-resistant Bacillota between bulk microbiota and ethanol treated samples, despite different isolation protocols (Supplementary Figures 3 and 4).</w:t>
      </w:r>
    </w:p>
    <w:p w14:paraId="7C09097F" w14:textId="68B10B30" w:rsidR="001669F6" w:rsidRPr="001669F6" w:rsidRDefault="001669F6" w:rsidP="001669F6">
      <w:pPr>
        <w:rPr>
          <w:rFonts w:cs="Times New Roman"/>
          <w:lang w:val="en-GB"/>
        </w:rPr>
      </w:pPr>
      <w:r w:rsidRPr="001669F6">
        <w:rPr>
          <w:rFonts w:cs="Times New Roman"/>
          <w:lang w:val="en-GB"/>
        </w:rPr>
        <w:t>The sporulation frequency for all OTUs within an individual increases or decreases simultaneously at a single time point in the majority of time points (Figure 9A). This indicates a dependency on the current state of the gut in each host. We investigated the correlation between the variation in sporulation frequency of each OTU at a single time point, normalised by the mean variation in sporulation frequency of this OTU across all days for an individual, and the same value with the day variable reshuffled. There was no correlation between the original and reshuffled data (Pearson’s correlation: 0.03, p = 0.74), confirming that the temporal order of sampling days is a key factor influencing the sporulation frequency of an OTU.</w:t>
      </w:r>
    </w:p>
    <w:p w14:paraId="287A8066" w14:textId="01BE3E6F" w:rsidR="001560D9" w:rsidRPr="00511463" w:rsidRDefault="001669F6" w:rsidP="001669F6">
      <w:pPr>
        <w:rPr>
          <w:rStyle w:val="katex-mathml"/>
          <w:rFonts w:cs="Times New Roman"/>
          <w:lang w:val="en-GB"/>
        </w:rPr>
      </w:pPr>
      <w:r w:rsidRPr="001669F6">
        <w:rPr>
          <w:rFonts w:cs="Times New Roman"/>
          <w:lang w:val="en-GB"/>
        </w:rPr>
        <w:t xml:space="preserve">Variance in sporulation frequency of an OTU within an individual compared to variance in sporulation frequency of the same OTU in the whole population shows host specificity. This is evidenced by the ratio between the variance of OTU </w:t>
      </w:r>
      <w:r w:rsidRPr="001669F6">
        <w:rPr>
          <w:rFonts w:cs="Times New Roman"/>
          <w:i/>
          <w:iCs/>
          <w:lang w:val="en-GB"/>
        </w:rPr>
        <w:t>i</w:t>
      </w:r>
      <w:r w:rsidRPr="001669F6">
        <w:rPr>
          <w:rFonts w:cs="Times New Roman"/>
          <w:lang w:val="en-GB"/>
        </w:rPr>
        <w:t xml:space="preserve"> in an individual and the variance of OTU </w:t>
      </w:r>
      <w:r w:rsidRPr="001669F6">
        <w:rPr>
          <w:rFonts w:cs="Times New Roman"/>
          <w:i/>
          <w:iCs/>
          <w:lang w:val="en-GB"/>
        </w:rPr>
        <w:t>i</w:t>
      </w:r>
      <w:r w:rsidRPr="001669F6">
        <w:rPr>
          <w:rFonts w:cs="Times New Roman"/>
          <w:lang w:val="en-GB"/>
        </w:rPr>
        <w:t xml:space="preserve"> in the population, which falls below 1 in all but two individuals (Figure 9B). An exception was the increase in sporulation frequency in individual H, as opposed to population variance, which can be linked to antibiotic consumption between days 71 and 84 during the study. There was also a slight increase in individual C, linked to five days abroad in the second month of the study. Interestingly, in individual H this coincided with a decrease in alpha diversity, while in individual C there was an increase in alpha diversity. The Kruskal test shows significantly different variance in sporulation frequency of OTUs between individuals in our study (p = 1.7e-8), which strengthens our comparison as the population variance reflects highly different individuals. In contrast, comparison of the variance in sporulation frequency between different OTUs is not significantly different (Kruskal test, p = 0.96, Figure 9C). Further confirmation of the dependence of sporulation frequency on host and time, rather than OTU classification, is provided by positive Pearson’s correlations between sporulation frequencies of OTUs within an individual (Supplementary Figure 5).</w:t>
      </w:r>
      <w:r w:rsidR="001560D9" w:rsidRPr="00511463">
        <w:rPr>
          <w:rStyle w:val="katex-mathml"/>
          <w:rFonts w:cs="Times New Roman"/>
          <w:lang w:val="en-GB"/>
        </w:rPr>
        <w:t xml:space="preserve"> </w:t>
      </w:r>
    </w:p>
    <w:p w14:paraId="5A3EBB92" w14:textId="77777777" w:rsidR="001560D9" w:rsidRPr="00511463" w:rsidRDefault="001560D9" w:rsidP="001560D9">
      <w:pPr>
        <w:rPr>
          <w:rStyle w:val="katex-mathml"/>
          <w:rFonts w:cs="Times New Roman"/>
          <w:lang w:val="en-GB"/>
        </w:rPr>
      </w:pPr>
    </w:p>
    <w:p w14:paraId="33AEA695" w14:textId="77777777" w:rsidR="001560D9" w:rsidRPr="00511463" w:rsidRDefault="001560D9" w:rsidP="001560D9">
      <w:pPr>
        <w:rPr>
          <w:rFonts w:cs="Times New Roman"/>
          <w:lang w:val="en-GB"/>
        </w:rPr>
      </w:pPr>
      <w:r w:rsidRPr="00511463">
        <w:rPr>
          <w:rFonts w:cs="Times New Roman"/>
          <w:b/>
          <w:bCs/>
          <w:noProof/>
          <w:lang w:val="en-GB"/>
        </w:rPr>
        <w:lastRenderedPageBreak/>
        <w:drawing>
          <wp:inline distT="0" distB="0" distL="0" distR="0" wp14:anchorId="0D27D859" wp14:editId="7AB39F67">
            <wp:extent cx="5753735" cy="4779010"/>
            <wp:effectExtent l="0" t="0" r="0" b="2540"/>
            <wp:docPr id="832987580"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87580" name="Picture 4" descr="A screenshot of a graph&#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3735" cy="4779010"/>
                    </a:xfrm>
                    <a:prstGeom prst="rect">
                      <a:avLst/>
                    </a:prstGeom>
                    <a:noFill/>
                    <a:ln>
                      <a:noFill/>
                    </a:ln>
                  </pic:spPr>
                </pic:pic>
              </a:graphicData>
            </a:graphic>
          </wp:inline>
        </w:drawing>
      </w:r>
    </w:p>
    <w:p w14:paraId="4E39741A" w14:textId="52A6CA6C" w:rsidR="001560D9" w:rsidRPr="001669F6" w:rsidRDefault="001560D9" w:rsidP="001669F6">
      <w:pPr>
        <w:ind w:left="360"/>
        <w:rPr>
          <w:rFonts w:cs="Times New Roman"/>
          <w:sz w:val="20"/>
          <w:szCs w:val="20"/>
          <w:lang w:val="en-GB"/>
        </w:rPr>
      </w:pPr>
      <w:r w:rsidRPr="001669F6">
        <w:rPr>
          <w:rFonts w:cs="Times New Roman"/>
          <w:b/>
          <w:bCs/>
          <w:sz w:val="20"/>
          <w:szCs w:val="20"/>
          <w:lang w:val="en-GB"/>
        </w:rPr>
        <w:t xml:space="preserve">Figure </w:t>
      </w:r>
      <w:r w:rsidR="002A2E47" w:rsidRPr="001669F6">
        <w:rPr>
          <w:rFonts w:cs="Times New Roman"/>
          <w:b/>
          <w:bCs/>
          <w:sz w:val="20"/>
          <w:szCs w:val="20"/>
          <w:lang w:val="en-GB"/>
        </w:rPr>
        <w:t>9</w:t>
      </w:r>
      <w:r w:rsidRPr="001669F6">
        <w:rPr>
          <w:rFonts w:cs="Times New Roman"/>
          <w:b/>
          <w:bCs/>
          <w:sz w:val="20"/>
          <w:szCs w:val="20"/>
          <w:lang w:val="en-GB"/>
        </w:rPr>
        <w:t>. Sporulation frequency is more influenced by the individual and the specific time point of sampling than OTUs identity.</w:t>
      </w:r>
      <w:r w:rsidR="001669F6">
        <w:rPr>
          <w:rFonts w:cs="Times New Roman"/>
          <w:sz w:val="20"/>
          <w:szCs w:val="20"/>
          <w:lang w:val="en-GB"/>
        </w:rPr>
        <w:t xml:space="preserve"> </w:t>
      </w:r>
      <w:r w:rsidRPr="001669F6">
        <w:rPr>
          <w:rFonts w:cs="Times New Roman"/>
          <w:sz w:val="20"/>
          <w:szCs w:val="20"/>
          <w:lang w:val="en-GB"/>
        </w:rPr>
        <w:t xml:space="preserve">Plot shows only highly prevalent OTUs belonging to ethanol resistant Bacillota fraction (present in &gt; </w:t>
      </w:r>
      <w:r w:rsidR="001669F6">
        <w:rPr>
          <w:rFonts w:cs="Times New Roman"/>
          <w:sz w:val="20"/>
          <w:szCs w:val="20"/>
          <w:lang w:val="en-GB"/>
        </w:rPr>
        <w:t>8</w:t>
      </w:r>
      <w:r w:rsidRPr="001669F6">
        <w:rPr>
          <w:rFonts w:cs="Times New Roman"/>
          <w:sz w:val="20"/>
          <w:szCs w:val="20"/>
          <w:lang w:val="en-GB"/>
        </w:rPr>
        <w:t>0% of samples, n = 21). A) Sporulation frequency normalized by individuals mean sporulation frequency (m</w:t>
      </w:r>
      <w:r w:rsidRPr="001669F6">
        <w:rPr>
          <w:rFonts w:cs="Times New Roman"/>
          <w:i/>
          <w:iCs/>
          <w:sz w:val="20"/>
          <w:szCs w:val="20"/>
          <w:vertAlign w:val="subscript"/>
          <w:lang w:val="en-GB"/>
        </w:rPr>
        <w:t>i</w:t>
      </w:r>
      <w:r w:rsidRPr="001669F6">
        <w:rPr>
          <w:rFonts w:cs="Times New Roman"/>
          <w:sz w:val="20"/>
          <w:szCs w:val="20"/>
          <w:lang w:val="en-GB"/>
        </w:rPr>
        <w:t xml:space="preserve"> = normalized abundance of OTU </w:t>
      </w:r>
      <w:r w:rsidRPr="001669F6">
        <w:rPr>
          <w:rFonts w:cs="Times New Roman"/>
          <w:i/>
          <w:iCs/>
          <w:sz w:val="20"/>
          <w:szCs w:val="20"/>
          <w:lang w:val="en-GB"/>
        </w:rPr>
        <w:t>i</w:t>
      </w:r>
      <w:r w:rsidRPr="001669F6">
        <w:rPr>
          <w:rFonts w:cs="Times New Roman"/>
          <w:sz w:val="20"/>
          <w:szCs w:val="20"/>
          <w:lang w:val="en-GB"/>
        </w:rPr>
        <w:t xml:space="preserve"> in bulk microbiota sample, e</w:t>
      </w:r>
      <w:r w:rsidRPr="001669F6">
        <w:rPr>
          <w:rFonts w:cs="Times New Roman"/>
          <w:i/>
          <w:iCs/>
          <w:sz w:val="20"/>
          <w:szCs w:val="20"/>
          <w:vertAlign w:val="subscript"/>
          <w:lang w:val="en-GB"/>
        </w:rPr>
        <w:t>i</w:t>
      </w:r>
      <w:r w:rsidRPr="001669F6">
        <w:rPr>
          <w:rFonts w:cs="Times New Roman"/>
          <w:sz w:val="20"/>
          <w:szCs w:val="20"/>
          <w:lang w:val="en-GB"/>
        </w:rPr>
        <w:t xml:space="preserve"> = normalized abundance of OTU </w:t>
      </w:r>
      <w:r w:rsidRPr="001669F6">
        <w:rPr>
          <w:rFonts w:cs="Times New Roman"/>
          <w:i/>
          <w:iCs/>
          <w:sz w:val="20"/>
          <w:szCs w:val="20"/>
          <w:lang w:val="en-GB"/>
        </w:rPr>
        <w:t>i</w:t>
      </w:r>
      <w:r w:rsidRPr="001669F6">
        <w:rPr>
          <w:rFonts w:cs="Times New Roman"/>
          <w:sz w:val="20"/>
          <w:szCs w:val="20"/>
          <w:lang w:val="en-GB"/>
        </w:rPr>
        <w:t xml:space="preserve"> in ethanol resistant fraction). B) Ratio of sporulation frequency variance of OTU </w:t>
      </w:r>
      <w:r w:rsidRPr="001669F6">
        <w:rPr>
          <w:rFonts w:cs="Times New Roman"/>
          <w:i/>
          <w:iCs/>
          <w:sz w:val="20"/>
          <w:szCs w:val="20"/>
          <w:lang w:val="en-GB"/>
        </w:rPr>
        <w:t>i</w:t>
      </w:r>
      <w:r w:rsidRPr="001669F6">
        <w:rPr>
          <w:rFonts w:cs="Times New Roman"/>
          <w:sz w:val="20"/>
          <w:szCs w:val="20"/>
          <w:lang w:val="en-GB"/>
        </w:rPr>
        <w:t xml:space="preserve"> in individual and in the population, plotted by individual and C) plotted by OTU.</w:t>
      </w:r>
    </w:p>
    <w:p w14:paraId="6E78573C" w14:textId="77777777" w:rsidR="000F6B25" w:rsidRDefault="000F6B25" w:rsidP="00812F3D">
      <w:pPr>
        <w:rPr>
          <w:lang w:val="en-GB"/>
        </w:rPr>
      </w:pPr>
    </w:p>
    <w:p w14:paraId="3B696D90" w14:textId="64C3E79C" w:rsidR="00D35F6F" w:rsidRDefault="00D35F6F" w:rsidP="00D35F6F">
      <w:pPr>
        <w:pStyle w:val="ListParagraph"/>
        <w:numPr>
          <w:ilvl w:val="2"/>
          <w:numId w:val="14"/>
        </w:numPr>
        <w:rPr>
          <w:lang w:val="en-GB"/>
        </w:rPr>
      </w:pPr>
      <w:r>
        <w:rPr>
          <w:lang w:val="en-GB"/>
        </w:rPr>
        <w:t xml:space="preserve">Shotgun metagenomic sequencing </w:t>
      </w:r>
    </w:p>
    <w:p w14:paraId="0D0BD9E4" w14:textId="5ECC923C" w:rsidR="000F6B25" w:rsidRPr="00D35F6F" w:rsidRDefault="000F6B25" w:rsidP="00D35F6F">
      <w:pPr>
        <w:pStyle w:val="ListParagraph"/>
        <w:numPr>
          <w:ilvl w:val="3"/>
          <w:numId w:val="14"/>
        </w:numPr>
        <w:rPr>
          <w:lang w:val="en-GB"/>
        </w:rPr>
      </w:pPr>
      <w:r w:rsidRPr="00D35F6F">
        <w:rPr>
          <w:lang w:val="en-GB"/>
        </w:rPr>
        <w:t xml:space="preserve">Composition, abundance and diversity of microorganisms based on shotgun metagenomic sequencing </w:t>
      </w:r>
    </w:p>
    <w:p w14:paraId="5CDF90C8" w14:textId="5D429BCA" w:rsidR="00990C84" w:rsidRDefault="00D35F6F" w:rsidP="004D0F16">
      <w:pPr>
        <w:rPr>
          <w:lang w:val="en-GB"/>
        </w:rPr>
      </w:pPr>
      <w:r w:rsidRPr="00C9741A">
        <w:rPr>
          <w:lang w:val="en-GB"/>
        </w:rPr>
        <w:t xml:space="preserve">Out of 234 </w:t>
      </w:r>
      <w:r>
        <w:rPr>
          <w:lang w:val="en-GB"/>
        </w:rPr>
        <w:t xml:space="preserve">samples </w:t>
      </w:r>
      <w:r w:rsidRPr="00C9741A">
        <w:rPr>
          <w:lang w:val="en-GB"/>
        </w:rPr>
        <w:t>(117 of bulk microbiota and 117 of ethanol treated) we successfully sequenced 2</w:t>
      </w:r>
      <w:r>
        <w:rPr>
          <w:lang w:val="en-GB"/>
        </w:rPr>
        <w:t>0</w:t>
      </w:r>
      <w:r w:rsidRPr="00C9741A">
        <w:rPr>
          <w:lang w:val="en-GB"/>
        </w:rPr>
        <w:t>0</w:t>
      </w:r>
      <w:r w:rsidR="00990C84">
        <w:rPr>
          <w:lang w:val="en-GB"/>
        </w:rPr>
        <w:t>, removed reads of bad quality and human DNA</w:t>
      </w:r>
      <w:r w:rsidRPr="00C9741A">
        <w:rPr>
          <w:lang w:val="en-GB"/>
        </w:rPr>
        <w:t xml:space="preserve"> (Supplement Table 2).</w:t>
      </w:r>
      <w:r>
        <w:rPr>
          <w:lang w:val="en-GB"/>
        </w:rPr>
        <w:t xml:space="preserve"> Negative controls were not included in the shotgun metagenomic sequencing. </w:t>
      </w:r>
      <w:r w:rsidR="00697C92">
        <w:rPr>
          <w:lang w:val="en-GB"/>
        </w:rPr>
        <w:t xml:space="preserve">There </w:t>
      </w:r>
      <w:r w:rsidR="00990C84">
        <w:rPr>
          <w:lang w:val="en-GB"/>
        </w:rPr>
        <w:t>is</w:t>
      </w:r>
      <w:r w:rsidR="00697C92">
        <w:rPr>
          <w:lang w:val="en-GB"/>
        </w:rPr>
        <w:t xml:space="preserve"> a plethora of analysis one can do with shotgun </w:t>
      </w:r>
      <w:r w:rsidR="00697C92">
        <w:rPr>
          <w:lang w:val="en-GB"/>
        </w:rPr>
        <w:lastRenderedPageBreak/>
        <w:t>metagenomic data, from assembling contigs and binning</w:t>
      </w:r>
      <w:r w:rsidR="00990C84">
        <w:rPr>
          <w:lang w:val="en-GB"/>
        </w:rPr>
        <w:t xml:space="preserve"> and manually curating bins into MAGs</w:t>
      </w:r>
      <w:r w:rsidR="00697C92">
        <w:rPr>
          <w:lang w:val="en-GB"/>
        </w:rPr>
        <w:t xml:space="preserve">, to </w:t>
      </w:r>
      <w:r w:rsidR="00990C84">
        <w:rPr>
          <w:lang w:val="en-GB"/>
        </w:rPr>
        <w:t>reference-based</w:t>
      </w:r>
      <w:r w:rsidR="00697C92">
        <w:rPr>
          <w:lang w:val="en-GB"/>
        </w:rPr>
        <w:t xml:space="preserve"> </w:t>
      </w:r>
      <w:r w:rsidR="00127206">
        <w:rPr>
          <w:lang w:val="en-GB"/>
        </w:rPr>
        <w:t xml:space="preserve">determination of </w:t>
      </w:r>
      <w:r w:rsidR="00990C84">
        <w:rPr>
          <w:lang w:val="en-GB"/>
        </w:rPr>
        <w:t xml:space="preserve">bacteria, archaea, viruses and eukaryotes. </w:t>
      </w:r>
    </w:p>
    <w:p w14:paraId="076E7171" w14:textId="08B8ED9D" w:rsidR="00645CFE" w:rsidRDefault="00990C84" w:rsidP="004D0F16">
      <w:pPr>
        <w:rPr>
          <w:lang w:val="en-GB"/>
        </w:rPr>
      </w:pPr>
      <w:r>
        <w:rPr>
          <w:lang w:val="en-GB"/>
        </w:rPr>
        <w:t xml:space="preserve">Based on </w:t>
      </w:r>
      <w:r w:rsidR="00F02416">
        <w:rPr>
          <w:lang w:val="en-GB"/>
        </w:rPr>
        <w:t>sequence alignment and last-common ancestor (LCA) algorithm we were able to determine almost 97% of all contigs. 92% of contigs are determined bacterial origin, 3% belong to viral and around 1% to eukaryotes, while less than 0.4% belong to archaeal ancestry across all samples.</w:t>
      </w:r>
      <w:r w:rsidR="006A711F">
        <w:rPr>
          <w:lang w:val="en-GB"/>
        </w:rPr>
        <w:t xml:space="preserve"> While MetaPhlAn, which is also based on sequence alignment, but this time to a very curated clade-unique markers determined about </w:t>
      </w:r>
      <w:r w:rsidR="00645CFE">
        <w:rPr>
          <w:lang w:val="en-GB"/>
        </w:rPr>
        <w:t>85 % of all abundance across samples. This does not include viral sequences, as of the time of analysis MetaPhlAn 4.1. did not enable classification of viral sequences</w:t>
      </w:r>
      <w:r w:rsidR="00E525C2">
        <w:rPr>
          <w:lang w:val="en-GB"/>
        </w:rPr>
        <w:t xml:space="preserve"> (to je tukaj napisano tako, ker obljubljajo ta feature v naslednji verziji, ki ne vem kdaj točno bo, ampak kmalu)</w:t>
      </w:r>
      <w:r w:rsidR="00645CFE">
        <w:rPr>
          <w:lang w:val="en-GB"/>
        </w:rPr>
        <w:t xml:space="preserve">. The first approach enables classification of more sequences, but is not as reliable as MetaPhlAn, while the second can miss some taxa as they are maybe not present in their database but reports higher accuracy results. Moving forward we decided to work with MetaPhlAn results. </w:t>
      </w:r>
    </w:p>
    <w:p w14:paraId="41F2BF2E" w14:textId="23695E56" w:rsidR="00613901" w:rsidRDefault="00613901" w:rsidP="004D0F16">
      <w:pPr>
        <w:rPr>
          <w:lang w:val="en-GB"/>
        </w:rPr>
      </w:pPr>
      <w:r>
        <w:rPr>
          <w:noProof/>
          <w:lang w:val="en-GB"/>
        </w:rPr>
        <w:lastRenderedPageBreak/>
        <w:drawing>
          <wp:inline distT="0" distB="0" distL="0" distR="0" wp14:anchorId="1C54BD78" wp14:editId="66AC9541">
            <wp:extent cx="4132432" cy="7267575"/>
            <wp:effectExtent l="0" t="0" r="1905" b="0"/>
            <wp:docPr id="789456818" name="Picture 8" descr="A green and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456818" name="Picture 8" descr="A green and purple bar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33396" cy="7269271"/>
                    </a:xfrm>
                    <a:prstGeom prst="rect">
                      <a:avLst/>
                    </a:prstGeom>
                  </pic:spPr>
                </pic:pic>
              </a:graphicData>
            </a:graphic>
          </wp:inline>
        </w:drawing>
      </w:r>
    </w:p>
    <w:p w14:paraId="7C87D771" w14:textId="4118D679" w:rsidR="00645CFE" w:rsidRPr="00CB3C19" w:rsidRDefault="00645CFE" w:rsidP="00727966">
      <w:pPr>
        <w:rPr>
          <w:lang w:val="en-GB"/>
        </w:rPr>
      </w:pPr>
      <w:r>
        <w:rPr>
          <w:lang w:val="en-GB"/>
        </w:rPr>
        <w:t xml:space="preserve">Archaea were detected in 5 individuals in our cohort, where genus </w:t>
      </w:r>
      <w:r w:rsidRPr="00645CFE">
        <w:rPr>
          <w:i/>
          <w:iCs/>
          <w:lang w:val="en-GB"/>
        </w:rPr>
        <w:t>Methanobrevibacter</w:t>
      </w:r>
      <w:r>
        <w:rPr>
          <w:lang w:val="en-GB"/>
        </w:rPr>
        <w:t xml:space="preserve"> </w:t>
      </w:r>
      <w:r w:rsidR="00CB3C19">
        <w:rPr>
          <w:lang w:val="en-GB"/>
        </w:rPr>
        <w:t xml:space="preserve">is present in all five individuals, </w:t>
      </w:r>
      <w:r>
        <w:rPr>
          <w:lang w:val="en-GB"/>
        </w:rPr>
        <w:t xml:space="preserve">and </w:t>
      </w:r>
      <w:r w:rsidRPr="00645CFE">
        <w:rPr>
          <w:i/>
          <w:iCs/>
          <w:lang w:val="en-GB"/>
        </w:rPr>
        <w:t>Methanosphera</w:t>
      </w:r>
      <w:r>
        <w:rPr>
          <w:lang w:val="en-GB"/>
        </w:rPr>
        <w:t xml:space="preserve"> were present </w:t>
      </w:r>
      <w:r w:rsidR="00CB3C19">
        <w:rPr>
          <w:lang w:val="en-GB"/>
        </w:rPr>
        <w:t>in only two individuals (Figure 10</w:t>
      </w:r>
      <w:r w:rsidR="00E525C2">
        <w:rPr>
          <w:lang w:val="en-GB"/>
        </w:rPr>
        <w:t xml:space="preserve"> ali supplement figure</w:t>
      </w:r>
      <w:r w:rsidR="00CB3C19">
        <w:rPr>
          <w:lang w:val="en-GB"/>
        </w:rPr>
        <w:t xml:space="preserve">). </w:t>
      </w:r>
      <w:r w:rsidR="00CB3C19" w:rsidRPr="00727966">
        <w:rPr>
          <w:i/>
          <w:iCs/>
          <w:lang w:val="en-GB"/>
        </w:rPr>
        <w:t>Methanobrevibacter</w:t>
      </w:r>
      <w:r>
        <w:rPr>
          <w:i/>
          <w:iCs/>
          <w:lang w:val="en-GB"/>
        </w:rPr>
        <w:t xml:space="preserve"> smithii</w:t>
      </w:r>
      <w:r>
        <w:rPr>
          <w:lang w:val="en-GB"/>
        </w:rPr>
        <w:t xml:space="preserve"> is the most abundant archaeal species across our samples and shows stable </w:t>
      </w:r>
      <w:r>
        <w:rPr>
          <w:lang w:val="en-GB"/>
        </w:rPr>
        <w:lastRenderedPageBreak/>
        <w:t>presence within individuals through time.</w:t>
      </w:r>
      <w:r w:rsidR="00CB3C19">
        <w:rPr>
          <w:lang w:val="en-GB"/>
        </w:rPr>
        <w:t xml:space="preserve"> </w:t>
      </w:r>
      <w:r w:rsidR="00CB3C19" w:rsidRPr="00727966">
        <w:rPr>
          <w:i/>
          <w:iCs/>
          <w:lang w:val="en-GB"/>
        </w:rPr>
        <w:t>Methanosphera stadmanae</w:t>
      </w:r>
      <w:r w:rsidR="00CB3C19">
        <w:rPr>
          <w:lang w:val="en-GB"/>
        </w:rPr>
        <w:t xml:space="preserve"> is present in even lower abundance than </w:t>
      </w:r>
      <w:r w:rsidR="00CB3C19">
        <w:rPr>
          <w:i/>
          <w:iCs/>
          <w:lang w:val="en-GB"/>
        </w:rPr>
        <w:t>M. smothii</w:t>
      </w:r>
      <w:r w:rsidR="00CB3C19">
        <w:rPr>
          <w:lang w:val="en-GB"/>
        </w:rPr>
        <w:t xml:space="preserve"> but also exhibited stable presence. </w:t>
      </w:r>
    </w:p>
    <w:p w14:paraId="671A77CF" w14:textId="317BFC39" w:rsidR="004D0F16" w:rsidRDefault="00645CFE" w:rsidP="00727966">
      <w:pPr>
        <w:rPr>
          <w:lang w:val="en-GB"/>
        </w:rPr>
      </w:pPr>
      <w:r>
        <w:rPr>
          <w:lang w:val="en-GB"/>
        </w:rPr>
        <w:t xml:space="preserve"> </w:t>
      </w:r>
      <w:r w:rsidR="00BB28BA">
        <w:rPr>
          <w:noProof/>
          <w:lang w:val="en-GB"/>
        </w:rPr>
        <w:drawing>
          <wp:inline distT="0" distB="0" distL="0" distR="0" wp14:anchorId="2581E5B0" wp14:editId="3CD64CEA">
            <wp:extent cx="4099560" cy="5147921"/>
            <wp:effectExtent l="0" t="0" r="0" b="0"/>
            <wp:docPr id="84365831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58314" name="Picture 2" descr="A screenshot of a graph&#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00883" cy="5149582"/>
                    </a:xfrm>
                    <a:prstGeom prst="rect">
                      <a:avLst/>
                    </a:prstGeom>
                    <a:noFill/>
                    <a:ln>
                      <a:noFill/>
                    </a:ln>
                  </pic:spPr>
                </pic:pic>
              </a:graphicData>
            </a:graphic>
          </wp:inline>
        </w:drawing>
      </w:r>
    </w:p>
    <w:p w14:paraId="5FFE3E70" w14:textId="4EE7FE93" w:rsidR="00E525C2" w:rsidRDefault="00645CFE" w:rsidP="00CB3C19">
      <w:pPr>
        <w:ind w:left="720"/>
        <w:rPr>
          <w:lang w:val="en-GB"/>
        </w:rPr>
      </w:pPr>
      <w:r>
        <w:rPr>
          <w:lang w:val="en-GB"/>
        </w:rPr>
        <w:t xml:space="preserve">Figure 10. </w:t>
      </w:r>
      <w:r w:rsidR="00E525C2">
        <w:rPr>
          <w:lang w:val="en-GB"/>
        </w:rPr>
        <w:t xml:space="preserve">Abundance and persistence of archaea. Relative abundance of archaeal species detected with MetaPhlAn. </w:t>
      </w:r>
    </w:p>
    <w:p w14:paraId="3224E297" w14:textId="1206C3ED" w:rsidR="004D0F16" w:rsidRPr="00E525C2" w:rsidRDefault="00E525C2" w:rsidP="00727966">
      <w:pPr>
        <w:rPr>
          <w:lang w:val="en-GB"/>
        </w:rPr>
      </w:pPr>
      <w:r>
        <w:rPr>
          <w:lang w:val="en-GB"/>
        </w:rPr>
        <w:t xml:space="preserve">Eukaryotes were detected in 8 out of 9 individuals in out cohort (Figure 11 ali supplement figrue). Interestingly not all individuals had </w:t>
      </w:r>
      <w:r w:rsidRPr="00E525C2">
        <w:rPr>
          <w:i/>
          <w:iCs/>
          <w:lang w:val="en-GB"/>
        </w:rPr>
        <w:t>Saccharomyces cerevisiae</w:t>
      </w:r>
      <w:r>
        <w:rPr>
          <w:lang w:val="en-GB"/>
        </w:rPr>
        <w:t xml:space="preserve">, despite reporting eating bread, further confirming this species as truly transient in the human gut. In four individuals (C, D, E, H) we detected genus </w:t>
      </w:r>
      <w:r>
        <w:rPr>
          <w:i/>
          <w:iCs/>
          <w:lang w:val="en-GB"/>
        </w:rPr>
        <w:t xml:space="preserve">Blastocystis </w:t>
      </w:r>
      <w:r>
        <w:rPr>
          <w:lang w:val="en-GB"/>
        </w:rPr>
        <w:t xml:space="preserve">at low abundances (0.01 to 0.6% of all relative abundance). </w:t>
      </w:r>
    </w:p>
    <w:p w14:paraId="2AAB04FE" w14:textId="77777777" w:rsidR="00E525C2" w:rsidRDefault="00E525C2" w:rsidP="00727966">
      <w:pPr>
        <w:rPr>
          <w:lang w:val="en-GB"/>
        </w:rPr>
      </w:pPr>
    </w:p>
    <w:p w14:paraId="56721259" w14:textId="057CC0DF" w:rsidR="009B0E01" w:rsidRPr="00727966" w:rsidRDefault="009B0E01" w:rsidP="00727966">
      <w:pPr>
        <w:rPr>
          <w:lang w:val="en-GB"/>
        </w:rPr>
      </w:pPr>
      <w:r>
        <w:rPr>
          <w:noProof/>
          <w:lang w:val="en-GB"/>
        </w:rPr>
        <w:lastRenderedPageBreak/>
        <w:drawing>
          <wp:inline distT="0" distB="0" distL="0" distR="0" wp14:anchorId="5C78D3AD" wp14:editId="685AF1F3">
            <wp:extent cx="5934075" cy="7019925"/>
            <wp:effectExtent l="0" t="0" r="9525" b="9525"/>
            <wp:docPr id="2004912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4075" cy="7019925"/>
                    </a:xfrm>
                    <a:prstGeom prst="rect">
                      <a:avLst/>
                    </a:prstGeom>
                    <a:noFill/>
                    <a:ln>
                      <a:noFill/>
                    </a:ln>
                  </pic:spPr>
                </pic:pic>
              </a:graphicData>
            </a:graphic>
          </wp:inline>
        </w:drawing>
      </w:r>
    </w:p>
    <w:p w14:paraId="673442CA" w14:textId="3EC495B1" w:rsidR="009B0E01" w:rsidRDefault="00E525C2" w:rsidP="00727966">
      <w:pPr>
        <w:rPr>
          <w:lang w:val="en-GB"/>
        </w:rPr>
      </w:pPr>
      <w:r>
        <w:rPr>
          <w:lang w:val="en-GB"/>
        </w:rPr>
        <w:tab/>
        <w:t xml:space="preserve">Figure 11. Abundance and persistence of eukaryotes. Relative abundance of eukaryotes detected with MetaPhlAn. </w:t>
      </w:r>
    </w:p>
    <w:p w14:paraId="42E06F35" w14:textId="0A91D12E" w:rsidR="001A4AD5" w:rsidRDefault="001A4AD5" w:rsidP="00727966">
      <w:pPr>
        <w:rPr>
          <w:lang w:val="en-GB"/>
        </w:rPr>
      </w:pPr>
    </w:p>
    <w:p w14:paraId="73125F19" w14:textId="77777777" w:rsidR="00613901" w:rsidRDefault="00613901" w:rsidP="00613901">
      <w:pPr>
        <w:rPr>
          <w:lang w:val="en-GB"/>
        </w:rPr>
      </w:pPr>
      <w:r>
        <w:rPr>
          <w:noProof/>
          <w:lang w:val="en-GB"/>
        </w:rPr>
        <w:lastRenderedPageBreak/>
        <w:drawing>
          <wp:anchor distT="0" distB="0" distL="114300" distR="114300" simplePos="0" relativeHeight="251660288" behindDoc="0" locked="0" layoutInCell="1" allowOverlap="1" wp14:anchorId="33B42507" wp14:editId="19CCFEE2">
            <wp:simplePos x="0" y="0"/>
            <wp:positionH relativeFrom="column">
              <wp:posOffset>-9525</wp:posOffset>
            </wp:positionH>
            <wp:positionV relativeFrom="paragraph">
              <wp:posOffset>2029460</wp:posOffset>
            </wp:positionV>
            <wp:extent cx="5934075" cy="2905125"/>
            <wp:effectExtent l="0" t="0" r="9525" b="9525"/>
            <wp:wrapTopAndBottom/>
            <wp:docPr id="6395556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4075" cy="2905125"/>
                    </a:xfrm>
                    <a:prstGeom prst="rect">
                      <a:avLst/>
                    </a:prstGeom>
                    <a:noFill/>
                    <a:ln>
                      <a:noFill/>
                    </a:ln>
                  </pic:spPr>
                </pic:pic>
              </a:graphicData>
            </a:graphic>
          </wp:anchor>
        </w:drawing>
      </w:r>
      <w:r w:rsidR="0008144B">
        <w:rPr>
          <w:lang w:val="en-GB"/>
        </w:rPr>
        <w:t>We detected both eukaryotic (</w:t>
      </w:r>
      <w:r w:rsidR="0008144B">
        <w:rPr>
          <w:i/>
          <w:iCs/>
          <w:lang w:val="en-GB"/>
        </w:rPr>
        <w:t xml:space="preserve">Alsuviricetes, Arfiviricetes, Herviviricetes </w:t>
      </w:r>
      <w:r w:rsidR="0008144B" w:rsidRPr="0008144B">
        <w:rPr>
          <w:lang w:val="en-GB"/>
        </w:rPr>
        <w:t>and</w:t>
      </w:r>
      <w:r w:rsidR="0008144B">
        <w:rPr>
          <w:i/>
          <w:iCs/>
          <w:lang w:val="en-GB"/>
        </w:rPr>
        <w:t xml:space="preserve"> Megavirictes</w:t>
      </w:r>
      <w:r w:rsidR="0008144B">
        <w:rPr>
          <w:lang w:val="en-GB"/>
        </w:rPr>
        <w:t>) and bacterial viruses (</w:t>
      </w:r>
      <w:r w:rsidR="0008144B">
        <w:rPr>
          <w:i/>
          <w:iCs/>
          <w:lang w:val="en-GB"/>
        </w:rPr>
        <w:t>Faserviricetes, Malgrandeviricetes</w:t>
      </w:r>
      <w:r w:rsidR="0008144B">
        <w:rPr>
          <w:lang w:val="en-GB"/>
        </w:rPr>
        <w:t xml:space="preserve"> and </w:t>
      </w:r>
      <w:r w:rsidR="0008144B">
        <w:rPr>
          <w:i/>
          <w:iCs/>
          <w:lang w:val="en-GB"/>
        </w:rPr>
        <w:t>Caudoviricetes</w:t>
      </w:r>
      <w:r w:rsidR="0008144B">
        <w:rPr>
          <w:lang w:val="en-GB"/>
        </w:rPr>
        <w:t>), and a family of viruses able to infect both eukaryotic and bacterial cells (</w:t>
      </w:r>
      <w:r w:rsidR="0008144B" w:rsidRPr="0008144B">
        <w:rPr>
          <w:i/>
          <w:iCs/>
          <w:lang w:val="en-GB"/>
        </w:rPr>
        <w:t>Duplopiviricetes</w:t>
      </w:r>
      <w:r w:rsidR="0008144B">
        <w:rPr>
          <w:lang w:val="en-GB"/>
        </w:rPr>
        <w:t xml:space="preserve">) in our bulk microbiota samples (Figure 12). Bacteriophages were present at ten-times the relative abundance than eukaryotic viruses, among them </w:t>
      </w:r>
      <w:r w:rsidR="0008144B">
        <w:rPr>
          <w:i/>
          <w:iCs/>
          <w:lang w:val="en-GB"/>
        </w:rPr>
        <w:t xml:space="preserve">Caudovirales </w:t>
      </w:r>
      <w:r w:rsidR="0008144B">
        <w:rPr>
          <w:lang w:val="en-GB"/>
        </w:rPr>
        <w:t xml:space="preserve">were the most abundant of them all. Viral communities in the human gut were individual-specific and clustered as such (Supplement Figure 6, NMDS of Bray-Curtis dissimilarity). Abundance of viruses was persistent through time and was not affected by extreme events or other metadata we gathered from subjects in out cohort.  </w:t>
      </w:r>
    </w:p>
    <w:p w14:paraId="33CFE1AC" w14:textId="6F03DD63" w:rsidR="0008144B" w:rsidRDefault="0008144B" w:rsidP="00613901">
      <w:pPr>
        <w:rPr>
          <w:lang w:val="en-GB"/>
        </w:rPr>
      </w:pPr>
      <w:r>
        <w:rPr>
          <w:lang w:val="en-GB"/>
        </w:rPr>
        <w:t xml:space="preserve">Figure 12. Viral sequences determined with geNomad. </w:t>
      </w:r>
    </w:p>
    <w:p w14:paraId="5C81C314" w14:textId="37FD174E" w:rsidR="00EC6944" w:rsidRDefault="00EC6944" w:rsidP="00812F3D">
      <w:pPr>
        <w:rPr>
          <w:lang w:val="en-GB"/>
        </w:rPr>
      </w:pPr>
    </w:p>
    <w:p w14:paraId="420B9A0B" w14:textId="2FCFD08D" w:rsidR="00613901" w:rsidRPr="006422E4" w:rsidRDefault="00613901" w:rsidP="00812F3D">
      <w:pPr>
        <w:rPr>
          <w:lang w:val="en-GB"/>
        </w:rPr>
      </w:pPr>
      <w:r>
        <w:rPr>
          <w:lang w:val="en-GB"/>
        </w:rPr>
        <w:t xml:space="preserve">We detected 1033 single-genome bins (SGBs) within domain </w:t>
      </w:r>
      <w:r>
        <w:rPr>
          <w:i/>
          <w:iCs/>
          <w:lang w:val="en-GB"/>
        </w:rPr>
        <w:t>Bacteria</w:t>
      </w:r>
      <w:r>
        <w:rPr>
          <w:lang w:val="en-GB"/>
        </w:rPr>
        <w:t xml:space="preserve"> with MetaPhlAn. Out of those 527 have NCBI genome determination, others are determined only to phylum level, but their genome is more than 30% different than any other genome in the databases. </w:t>
      </w:r>
      <w:r w:rsidR="006422E4">
        <w:rPr>
          <w:lang w:val="en-GB"/>
        </w:rPr>
        <w:t xml:space="preserve">The bulk microbiota samples are in accordance with amplicon sequences, while for the ethanol treated samples, we obtained much more species from phylum </w:t>
      </w:r>
      <w:r w:rsidR="006422E4">
        <w:rPr>
          <w:i/>
          <w:iCs/>
          <w:lang w:val="en-GB"/>
        </w:rPr>
        <w:t>Bacteroidota</w:t>
      </w:r>
      <w:r w:rsidR="006422E4">
        <w:rPr>
          <w:lang w:val="en-GB"/>
        </w:rPr>
        <w:t xml:space="preserve"> than OTUs from the same phylum (Figure 13). </w:t>
      </w:r>
    </w:p>
    <w:p w14:paraId="5237B512" w14:textId="77777777" w:rsidR="00613901" w:rsidRDefault="00613901" w:rsidP="00812F3D">
      <w:pPr>
        <w:rPr>
          <w:lang w:val="en-GB"/>
        </w:rPr>
      </w:pPr>
    </w:p>
    <w:p w14:paraId="6FEE2748" w14:textId="54A280DA" w:rsidR="009B0E01" w:rsidRDefault="009B0E01" w:rsidP="00812F3D">
      <w:pPr>
        <w:rPr>
          <w:lang w:val="en-GB"/>
        </w:rPr>
      </w:pPr>
      <w:r>
        <w:rPr>
          <w:noProof/>
          <w:lang w:val="en-GB"/>
        </w:rPr>
        <w:lastRenderedPageBreak/>
        <w:drawing>
          <wp:inline distT="0" distB="0" distL="0" distR="0" wp14:anchorId="581917FE" wp14:editId="1602D366">
            <wp:extent cx="5222656" cy="5934075"/>
            <wp:effectExtent l="0" t="0" r="0" b="0"/>
            <wp:docPr id="1390040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26173" cy="5938071"/>
                    </a:xfrm>
                    <a:prstGeom prst="rect">
                      <a:avLst/>
                    </a:prstGeom>
                    <a:noFill/>
                    <a:ln>
                      <a:noFill/>
                    </a:ln>
                  </pic:spPr>
                </pic:pic>
              </a:graphicData>
            </a:graphic>
          </wp:inline>
        </w:drawing>
      </w:r>
    </w:p>
    <w:p w14:paraId="7762A6C5" w14:textId="77777777" w:rsidR="006422E4" w:rsidRDefault="006422E4" w:rsidP="00812F3D">
      <w:pPr>
        <w:rPr>
          <w:lang w:val="en-GB"/>
        </w:rPr>
      </w:pPr>
      <w:r>
        <w:rPr>
          <w:lang w:val="en-GB"/>
        </w:rPr>
        <w:tab/>
        <w:t>Figure 13. Relative abundance of bacterial phyla across individuals for the bulk microbiota samples and ethanol treated samples based on results from MetaPhlAn using shotgun metagenomic data.</w:t>
      </w:r>
    </w:p>
    <w:p w14:paraId="3114E529" w14:textId="56B4CBB3" w:rsidR="006422E4" w:rsidRDefault="006422E4" w:rsidP="00812F3D">
      <w:pPr>
        <w:rPr>
          <w:lang w:val="en-GB"/>
        </w:rPr>
      </w:pPr>
      <w:r>
        <w:rPr>
          <w:lang w:val="en-GB"/>
        </w:rPr>
        <w:t xml:space="preserve"> </w:t>
      </w:r>
    </w:p>
    <w:p w14:paraId="1DA77BC2" w14:textId="32E9C780" w:rsidR="009B0E01" w:rsidRDefault="00182507" w:rsidP="00812F3D">
      <w:pPr>
        <w:rPr>
          <w:lang w:val="en-GB"/>
        </w:rPr>
      </w:pPr>
      <w:r>
        <w:rPr>
          <w:lang w:val="en-GB"/>
        </w:rPr>
        <w:t xml:space="preserve">Although we previously showed that ethanol-resistant </w:t>
      </w:r>
      <w:r w:rsidRPr="00182507">
        <w:rPr>
          <w:lang w:val="en-GB"/>
        </w:rPr>
        <w:t>Bacillota</w:t>
      </w:r>
      <w:r>
        <w:rPr>
          <w:lang w:val="en-GB"/>
        </w:rPr>
        <w:t xml:space="preserve"> </w:t>
      </w:r>
      <w:r w:rsidRPr="00182507">
        <w:rPr>
          <w:lang w:val="en-GB"/>
        </w:rPr>
        <w:t>community</w:t>
      </w:r>
      <w:r>
        <w:rPr>
          <w:lang w:val="en-GB"/>
        </w:rPr>
        <w:t xml:space="preserve"> is a good proxy for studying sporobiota, with metagenomic data we could go even a step further and determine sporulation ability based on the presence of sporulation genes, while ethanol-resistant species gives us the additional information of active spore formation. </w:t>
      </w:r>
    </w:p>
    <w:p w14:paraId="6DF1BB7B" w14:textId="602FC5FF" w:rsidR="00140BAA" w:rsidRDefault="00140BAA" w:rsidP="00812F3D">
      <w:pPr>
        <w:rPr>
          <w:lang w:val="en-GB"/>
        </w:rPr>
      </w:pPr>
      <w:r>
        <w:rPr>
          <w:lang w:val="en-GB"/>
        </w:rPr>
        <w:lastRenderedPageBreak/>
        <w:t xml:space="preserve">Spore-forming bacteria are present in the human gut at higher relative abundances and persist for longer periods of time within the gut of a individual (Figure 14). </w:t>
      </w:r>
    </w:p>
    <w:p w14:paraId="4A61D854" w14:textId="60B243D2" w:rsidR="00140BAA" w:rsidRDefault="00140BAA" w:rsidP="00812F3D">
      <w:pPr>
        <w:rPr>
          <w:lang w:val="en-GB"/>
        </w:rPr>
      </w:pPr>
      <w:r>
        <w:rPr>
          <w:noProof/>
          <w:lang w:val="en-GB"/>
        </w:rPr>
        <w:drawing>
          <wp:inline distT="0" distB="0" distL="0" distR="0" wp14:anchorId="31E0AD1A" wp14:editId="68B74032">
            <wp:extent cx="5943600" cy="3903980"/>
            <wp:effectExtent l="0" t="0" r="0" b="1270"/>
            <wp:docPr id="5707010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01025" name="Picture 570701025"/>
                    <pic:cNvPicPr/>
                  </pic:nvPicPr>
                  <pic:blipFill>
                    <a:blip r:embed="rId23">
                      <a:extLst>
                        <a:ext uri="{28A0092B-C50C-407E-A947-70E740481C1C}">
                          <a14:useLocalDpi xmlns:a14="http://schemas.microsoft.com/office/drawing/2010/main" val="0"/>
                        </a:ext>
                      </a:extLst>
                    </a:blip>
                    <a:stretch>
                      <a:fillRect/>
                    </a:stretch>
                  </pic:blipFill>
                  <pic:spPr>
                    <a:xfrm>
                      <a:off x="0" y="0"/>
                      <a:ext cx="5943600" cy="3903980"/>
                    </a:xfrm>
                    <a:prstGeom prst="rect">
                      <a:avLst/>
                    </a:prstGeom>
                  </pic:spPr>
                </pic:pic>
              </a:graphicData>
            </a:graphic>
          </wp:inline>
        </w:drawing>
      </w:r>
    </w:p>
    <w:p w14:paraId="328C69B3" w14:textId="1A5E2075" w:rsidR="00140BAA" w:rsidRDefault="00140BAA" w:rsidP="00812F3D">
      <w:pPr>
        <w:rPr>
          <w:lang w:val="en-GB"/>
        </w:rPr>
      </w:pPr>
      <w:r>
        <w:rPr>
          <w:lang w:val="en-GB"/>
        </w:rPr>
        <w:t xml:space="preserve">Figure 14. A) The number of species by phylum detected with MetaPhlAn and their relative abundances, separated by non-spore forming and spore-forming for the phyla, where spore-forming bacteria were detected. B) Prevalence within an individual for spore-forming and non-spore forming bacteria. </w:t>
      </w:r>
    </w:p>
    <w:p w14:paraId="266B1451" w14:textId="5E13BB09" w:rsidR="00140BAA" w:rsidRPr="00140BAA" w:rsidRDefault="00140BAA" w:rsidP="00812F3D">
      <w:pPr>
        <w:rPr>
          <w:lang w:val="en-GB"/>
        </w:rPr>
      </w:pPr>
      <w:r>
        <w:rPr>
          <w:lang w:val="en-GB"/>
        </w:rPr>
        <w:t xml:space="preserve">This hold true when we are observing the big picture with all the phyla, but also if we only observe the phylum </w:t>
      </w:r>
      <w:r>
        <w:rPr>
          <w:i/>
          <w:iCs/>
          <w:lang w:val="en-GB"/>
        </w:rPr>
        <w:t xml:space="preserve"> Bacillota</w:t>
      </w:r>
      <w:r>
        <w:rPr>
          <w:lang w:val="en-GB"/>
        </w:rPr>
        <w:t xml:space="preserve">. </w:t>
      </w:r>
    </w:p>
    <w:p w14:paraId="62A31819" w14:textId="77777777" w:rsidR="00613901" w:rsidRDefault="00613901" w:rsidP="00812F3D">
      <w:pPr>
        <w:rPr>
          <w:lang w:val="en-GB"/>
        </w:rPr>
      </w:pPr>
    </w:p>
    <w:p w14:paraId="15D2A0C2" w14:textId="77777777" w:rsidR="009B0E01" w:rsidRDefault="009B0E01" w:rsidP="00812F3D">
      <w:pPr>
        <w:rPr>
          <w:lang w:val="en-GB"/>
        </w:rPr>
      </w:pPr>
    </w:p>
    <w:p w14:paraId="398D9DFE" w14:textId="3B578674" w:rsidR="009B0E01" w:rsidRDefault="009B0E01">
      <w:pPr>
        <w:spacing w:line="259" w:lineRule="auto"/>
        <w:jc w:val="left"/>
        <w:rPr>
          <w:lang w:val="en-GB"/>
        </w:rPr>
      </w:pPr>
      <w:r>
        <w:rPr>
          <w:lang w:val="en-GB"/>
        </w:rPr>
        <w:br w:type="page"/>
      </w:r>
    </w:p>
    <w:p w14:paraId="28420C06" w14:textId="49E04881" w:rsidR="00727966" w:rsidRPr="00727966" w:rsidRDefault="00727966" w:rsidP="00727966">
      <w:pPr>
        <w:pStyle w:val="ListParagraph"/>
        <w:numPr>
          <w:ilvl w:val="0"/>
          <w:numId w:val="14"/>
        </w:numPr>
        <w:rPr>
          <w:rFonts w:cs="Times New Roman"/>
          <w:bCs/>
          <w:lang w:val="en-GB"/>
        </w:rPr>
      </w:pPr>
      <w:r w:rsidRPr="00727966">
        <w:rPr>
          <w:rFonts w:cs="Times New Roman"/>
          <w:bCs/>
          <w:lang w:val="en-GB"/>
        </w:rPr>
        <w:lastRenderedPageBreak/>
        <w:t xml:space="preserve">Individual-specific population genetics analysis on the isolated spore-forming species </w:t>
      </w:r>
    </w:p>
    <w:p w14:paraId="13AC9550" w14:textId="77777777" w:rsidR="00727966" w:rsidRPr="00727966" w:rsidRDefault="00727966" w:rsidP="00727966">
      <w:pPr>
        <w:rPr>
          <w:rFonts w:cs="Times New Roman"/>
          <w:bCs/>
          <w:lang w:val="en-GB"/>
        </w:rPr>
      </w:pPr>
    </w:p>
    <w:p w14:paraId="3186D65A" w14:textId="279E42EA" w:rsidR="002E5062" w:rsidRPr="00727966" w:rsidRDefault="002E5062" w:rsidP="00727966">
      <w:pPr>
        <w:pStyle w:val="ListParagraph"/>
        <w:numPr>
          <w:ilvl w:val="1"/>
          <w:numId w:val="14"/>
        </w:numPr>
        <w:rPr>
          <w:rFonts w:cs="Times New Roman"/>
          <w:bCs/>
          <w:lang w:val="en-GB"/>
        </w:rPr>
      </w:pPr>
      <w:r w:rsidRPr="00727966">
        <w:rPr>
          <w:rFonts w:cs="Times New Roman"/>
          <w:bCs/>
          <w:lang w:val="en-GB"/>
        </w:rPr>
        <w:t>Cultivation of spore-forming species from ethanol shocked samples</w:t>
      </w:r>
    </w:p>
    <w:p w14:paraId="1CDA13B6"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 xml:space="preserve">Goals: </w:t>
      </w:r>
    </w:p>
    <w:p w14:paraId="7532FEDC"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 xml:space="preserve">Optimization of spore-forming species, looking at evolution of this species in time </w:t>
      </w:r>
    </w:p>
    <w:p w14:paraId="406844A5"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We aim to optimize the growth conditions and to obtain strains of the same spore-forming species from different time points of an individual for whole-genome sequencing. With the genome comparison of a population of a species at different time points we will try to assess the retention/transition time and new acquisition of a spore-forming bacteria in the human gut. We will also be monitoring changes in the number of plasmids/phages in this species. This will be done in parallel with the analysis of metagenomic data.</w:t>
      </w:r>
    </w:p>
    <w:p w14:paraId="7B1E3831" w14:textId="77777777" w:rsidR="002E5062" w:rsidRPr="00511463" w:rsidRDefault="002E5062" w:rsidP="00812F3D">
      <w:pPr>
        <w:rPr>
          <w:rFonts w:cs="Times New Roman"/>
          <w:lang w:val="en-GB"/>
        </w:rPr>
      </w:pPr>
    </w:p>
    <w:p w14:paraId="515EB03A" w14:textId="77777777" w:rsidR="002E5062" w:rsidRPr="00511463" w:rsidRDefault="002E5062" w:rsidP="00812F3D">
      <w:pPr>
        <w:rPr>
          <w:rFonts w:cs="Times New Roman"/>
          <w:lang w:val="en-GB"/>
        </w:rPr>
      </w:pPr>
      <w:r w:rsidRPr="00511463">
        <w:rPr>
          <w:rFonts w:cs="Times New Roman"/>
          <w:lang w:val="en-GB"/>
        </w:rPr>
        <w:t xml:space="preserve">Analysis of amplicon sequences, in particular the analysis of sporulation frequency revealed that individual H, who consumed amoxicillin, a broad-spectrum penicillin during the study had a significantly higher sporulation frequency for all OTUs in comparison to the res of our population. We also noticed we noticed a reduction in diversity and absolute abundance of bacteria during this period. We decided this is an interesting time period for deeper investigation into strain persistence and structure, as the consumption of AB has been shown multiple times to have an effect (REF). </w:t>
      </w:r>
    </w:p>
    <w:p w14:paraId="389B87CC" w14:textId="77777777" w:rsidR="002E5062" w:rsidRPr="00511463" w:rsidRDefault="002E5062" w:rsidP="00812F3D">
      <w:pPr>
        <w:rPr>
          <w:rFonts w:cs="Times New Roman"/>
          <w:lang w:val="en-GB"/>
        </w:rPr>
      </w:pPr>
      <w:r w:rsidRPr="00511463">
        <w:rPr>
          <w:rFonts w:cs="Times New Roman"/>
          <w:lang w:val="en-GB"/>
        </w:rPr>
        <w:t xml:space="preserve">In our preliminary testing for isolation of spore-formers in culture we used BHIS medium (See chapter xy), but for this we have chosen a growth medium that has proven successful in our lab in previous testing of cultivation spore-forming bacteria from the healthy human gut – WCAB ( magisterij Urška Dobovišek). Samples were exposed to ethanol shock and plated onto WCAB medium for 3 days until ~70-100 colonies were selected. Replated colonies were determined with MALDI-TOF and due to the highest number (44) we selected </w:t>
      </w:r>
      <w:r w:rsidRPr="00511463">
        <w:rPr>
          <w:rFonts w:cs="Times New Roman"/>
          <w:i/>
          <w:iCs/>
          <w:lang w:val="en-GB"/>
        </w:rPr>
        <w:t>Clostridium saudiense</w:t>
      </w:r>
      <w:r w:rsidRPr="00511463">
        <w:rPr>
          <w:rFonts w:cs="Times New Roman"/>
          <w:lang w:val="en-GB"/>
        </w:rPr>
        <w:t xml:space="preserve"> for sequencing. ANI score showed that 2 isolates were not pure/this species. One isolate was determined on the whole genome to be </w:t>
      </w:r>
      <w:r w:rsidRPr="00511463">
        <w:rPr>
          <w:rFonts w:cs="Times New Roman"/>
          <w:i/>
          <w:iCs/>
          <w:lang w:val="en-GB"/>
        </w:rPr>
        <w:t>Clostridium paraputrificium</w:t>
      </w:r>
      <w:r w:rsidRPr="00511463">
        <w:rPr>
          <w:rFonts w:cs="Times New Roman"/>
          <w:lang w:val="en-GB"/>
        </w:rPr>
        <w:t xml:space="preserve">, while another was a mixed isolate of </w:t>
      </w:r>
      <w:r w:rsidRPr="00511463">
        <w:rPr>
          <w:rFonts w:cs="Times New Roman"/>
          <w:i/>
          <w:iCs/>
          <w:lang w:val="en-GB"/>
        </w:rPr>
        <w:t xml:space="preserve">C. paraputrificium </w:t>
      </w:r>
      <w:r w:rsidRPr="00511463">
        <w:rPr>
          <w:rFonts w:cs="Times New Roman"/>
          <w:lang w:val="en-GB"/>
        </w:rPr>
        <w:t xml:space="preserve">and </w:t>
      </w:r>
      <w:r w:rsidRPr="00511463">
        <w:rPr>
          <w:rFonts w:cs="Times New Roman"/>
          <w:i/>
          <w:iCs/>
          <w:lang w:val="en-GB"/>
        </w:rPr>
        <w:t>C. saudiense</w:t>
      </w:r>
      <w:r w:rsidRPr="00511463">
        <w:rPr>
          <w:rFonts w:cs="Times New Roman"/>
          <w:lang w:val="en-GB"/>
        </w:rPr>
        <w:t xml:space="preserve">, they were excluded from the analysis. We determined strain break after pairwise comparisons of all genomes from </w:t>
      </w:r>
      <w:r w:rsidRPr="00511463">
        <w:rPr>
          <w:rFonts w:cs="Times New Roman"/>
          <w:i/>
          <w:iCs/>
          <w:lang w:val="en-GB"/>
        </w:rPr>
        <w:t>C. saudiense</w:t>
      </w:r>
      <w:r w:rsidRPr="00511463">
        <w:rPr>
          <w:rFonts w:cs="Times New Roman"/>
          <w:lang w:val="en-GB"/>
        </w:rPr>
        <w:t xml:space="preserve"> to be at 99.8%, from this we defined 4 strain groups with one genome being an singleton. This grouping was also confirmed when we constructed the phylogenetic tree on SNPs in core genome using MEGA’s neighbor-joining tree (Figure)</w:t>
      </w:r>
    </w:p>
    <w:p w14:paraId="41B57813" w14:textId="77777777" w:rsidR="002E5062" w:rsidRPr="00511463" w:rsidRDefault="002E5062" w:rsidP="00812F3D">
      <w:pPr>
        <w:rPr>
          <w:rFonts w:cs="Times New Roman"/>
          <w:lang w:val="en-GB"/>
        </w:rPr>
      </w:pPr>
      <w:r w:rsidRPr="00511463">
        <w:rPr>
          <w:noProof/>
          <w:lang w:val="en-GB"/>
        </w:rPr>
        <w:lastRenderedPageBreak/>
        <w:drawing>
          <wp:inline distT="0" distB="0" distL="0" distR="0" wp14:anchorId="3FDD7391" wp14:editId="2DA7584B">
            <wp:extent cx="5149970" cy="4910916"/>
            <wp:effectExtent l="0" t="0" r="0" b="4445"/>
            <wp:docPr id="1752943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943969" name="Picture 1" descr="A screenshot of a computer&#10;&#10;AI-generated content may be incorrect."/>
                    <pic:cNvPicPr/>
                  </pic:nvPicPr>
                  <pic:blipFill rotWithShape="1">
                    <a:blip r:embed="rId24"/>
                    <a:srcRect r="70500"/>
                    <a:stretch/>
                  </pic:blipFill>
                  <pic:spPr bwMode="auto">
                    <a:xfrm>
                      <a:off x="0" y="0"/>
                      <a:ext cx="5163445" cy="4923765"/>
                    </a:xfrm>
                    <a:prstGeom prst="rect">
                      <a:avLst/>
                    </a:prstGeom>
                    <a:ln>
                      <a:noFill/>
                    </a:ln>
                    <a:extLst>
                      <a:ext uri="{53640926-AAD7-44D8-BBD7-CCE9431645EC}">
                        <a14:shadowObscured xmlns:a14="http://schemas.microsoft.com/office/drawing/2010/main"/>
                      </a:ext>
                    </a:extLst>
                  </pic:spPr>
                </pic:pic>
              </a:graphicData>
            </a:graphic>
          </wp:inline>
        </w:drawing>
      </w:r>
    </w:p>
    <w:p w14:paraId="69CC3802" w14:textId="77777777" w:rsidR="002E5062" w:rsidRPr="00511463" w:rsidRDefault="002E5062" w:rsidP="00812F3D">
      <w:pPr>
        <w:rPr>
          <w:rFonts w:cs="Times New Roman"/>
          <w:lang w:val="en-GB"/>
        </w:rPr>
      </w:pPr>
      <w:r w:rsidRPr="00511463">
        <w:rPr>
          <w:rFonts w:cs="Times New Roman"/>
          <w:lang w:val="en-GB"/>
        </w:rPr>
        <w:t xml:space="preserve">Figure. Neighbor-joining tree based on SNPs determined with SNIPPY, excluding polymorphic regions (Gibbons) in MEGA12. Dots besides isolate names represent the timepoint (green = 5, yellow = 7, orange = 9). </w:t>
      </w:r>
    </w:p>
    <w:p w14:paraId="5A8D8D07" w14:textId="79580B86" w:rsidR="002E5062" w:rsidRPr="00511463" w:rsidRDefault="002E5062" w:rsidP="00812F3D">
      <w:pPr>
        <w:rPr>
          <w:rFonts w:cs="Times New Roman"/>
          <w:lang w:val="en-GB"/>
        </w:rPr>
      </w:pPr>
      <w:r w:rsidRPr="00511463">
        <w:rPr>
          <w:rFonts w:cs="Times New Roman"/>
          <w:lang w:val="en-GB"/>
        </w:rPr>
        <w:t xml:space="preserve">Using data from isolates we are able to show greater diversity before antibiotic consumption (AB), and a consequent reduction and difference in strain structure after AB. But interestingly this is not confirmed in the shotgun metagenomic data, where all four strains detected persist through all timepoints while the frequency of their abundances changes after antibiotic consumption, but interestingly starts at one timepoint prior to AB consumption, when the individual traveled out of Slovenia for more than 3 days. This is when we notice a reduction in the number of bacteria observed. Interestingly we notice that the relative abundance in bulk microbiota after </w:t>
      </w:r>
      <w:r w:rsidR="00D70673" w:rsidRPr="00511463">
        <w:rPr>
          <w:rFonts w:cs="Times New Roman"/>
          <w:lang w:val="en-GB"/>
        </w:rPr>
        <w:t>these events</w:t>
      </w:r>
      <w:r w:rsidRPr="00511463">
        <w:rPr>
          <w:rFonts w:cs="Times New Roman"/>
          <w:lang w:val="en-GB"/>
        </w:rPr>
        <w:t xml:space="preserve"> for all four remains constant, but in ethanol treated samples strain 1 appears to be dominant, which means it was the one strain that produced more spores than other strains (Figure). </w:t>
      </w:r>
    </w:p>
    <w:p w14:paraId="03681964" w14:textId="77777777" w:rsidR="002E5062" w:rsidRPr="00511463" w:rsidRDefault="002E5062" w:rsidP="00812F3D">
      <w:pPr>
        <w:rPr>
          <w:rFonts w:cs="Times New Roman"/>
          <w:lang w:val="en-GB"/>
        </w:rPr>
      </w:pPr>
      <w:r w:rsidRPr="00511463">
        <w:rPr>
          <w:rFonts w:cs="Times New Roman"/>
          <w:noProof/>
          <w:lang w:val="en-GB"/>
        </w:rPr>
        <w:lastRenderedPageBreak/>
        <w:drawing>
          <wp:inline distT="0" distB="0" distL="0" distR="0" wp14:anchorId="07F30E31" wp14:editId="3C886179">
            <wp:extent cx="5760720" cy="1974850"/>
            <wp:effectExtent l="0" t="0" r="0" b="6350"/>
            <wp:docPr id="1730525423" name="Picture 5" descr="A graph of different colored lines&#10;&#10;AI-generated content may be incorrect.">
              <a:extLst xmlns:a="http://schemas.openxmlformats.org/drawingml/2006/main">
                <a:ext uri="{FF2B5EF4-FFF2-40B4-BE49-F238E27FC236}">
                  <a16:creationId xmlns:a16="http://schemas.microsoft.com/office/drawing/2014/main" id="{69EC46B0-13BE-5CED-2D33-B0EBCC7B95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graph of different colored lines&#10;&#10;AI-generated content may be incorrect.">
                      <a:extLst>
                        <a:ext uri="{FF2B5EF4-FFF2-40B4-BE49-F238E27FC236}">
                          <a16:creationId xmlns:a16="http://schemas.microsoft.com/office/drawing/2014/main" id="{69EC46B0-13BE-5CED-2D33-B0EBCC7B95C3}"/>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1974850"/>
                    </a:xfrm>
                    <a:prstGeom prst="rect">
                      <a:avLst/>
                    </a:prstGeom>
                  </pic:spPr>
                </pic:pic>
              </a:graphicData>
            </a:graphic>
          </wp:inline>
        </w:drawing>
      </w:r>
    </w:p>
    <w:p w14:paraId="4BA2CE9E" w14:textId="4DDC105E" w:rsidR="002E5062" w:rsidRPr="00511463" w:rsidRDefault="002E5062" w:rsidP="00812F3D">
      <w:pPr>
        <w:rPr>
          <w:rFonts w:cs="Times New Roman"/>
          <w:lang w:val="en-GB"/>
        </w:rPr>
      </w:pPr>
      <w:r w:rsidRPr="00511463">
        <w:rPr>
          <w:rFonts w:cs="Times New Roman"/>
          <w:lang w:val="en-GB"/>
        </w:rPr>
        <w:t xml:space="preserve">Figure. Results from PStrain determination of strains in the shotgun metagenomic samples. Vertical lines represent extreme events in this </w:t>
      </w:r>
      <w:r w:rsidR="009C4708" w:rsidRPr="00511463">
        <w:rPr>
          <w:rFonts w:cs="Times New Roman"/>
          <w:lang w:val="en-GB"/>
        </w:rPr>
        <w:t>individual’s</w:t>
      </w:r>
      <w:r w:rsidRPr="00511463">
        <w:rPr>
          <w:rFonts w:cs="Times New Roman"/>
          <w:lang w:val="en-GB"/>
        </w:rPr>
        <w:t xml:space="preserve"> life. </w:t>
      </w:r>
    </w:p>
    <w:p w14:paraId="21364C88" w14:textId="57CC0DB5" w:rsidR="00D239F1" w:rsidRPr="00511463" w:rsidRDefault="002E5062" w:rsidP="00812F3D">
      <w:pPr>
        <w:rPr>
          <w:lang w:val="en-GB"/>
        </w:rPr>
      </w:pPr>
      <w:r w:rsidRPr="00511463">
        <w:rPr>
          <w:lang w:val="en-GB"/>
        </w:rPr>
        <w:t xml:space="preserve">Functional enrichment analysis </w:t>
      </w:r>
      <w:r w:rsidR="00D70673" w:rsidRPr="00511463">
        <w:rPr>
          <w:lang w:val="en-GB"/>
        </w:rPr>
        <w:t>showed 4 phage related functions to be more connected with the isolates in the genomes from antibiotic treatment timepoint as opposed to the isolates before and after antibiotic treatment.</w:t>
      </w:r>
    </w:p>
    <w:p w14:paraId="69341F18" w14:textId="77777777" w:rsidR="005A5326" w:rsidRPr="00511463" w:rsidRDefault="005A5326" w:rsidP="00812F3D">
      <w:pPr>
        <w:rPr>
          <w:lang w:val="en-GB"/>
        </w:rPr>
      </w:pPr>
    </w:p>
    <w:p w14:paraId="1179A1F1" w14:textId="77777777" w:rsidR="005A5326" w:rsidRPr="00511463" w:rsidRDefault="005A5326" w:rsidP="00812F3D">
      <w:pPr>
        <w:rPr>
          <w:lang w:val="en-GB"/>
        </w:rPr>
      </w:pPr>
    </w:p>
    <w:p w14:paraId="2F7EFDB1" w14:textId="4EB3C90C" w:rsidR="005A5326" w:rsidRDefault="00727966" w:rsidP="00727966">
      <w:pPr>
        <w:pStyle w:val="ListParagraph"/>
        <w:numPr>
          <w:ilvl w:val="0"/>
          <w:numId w:val="14"/>
        </w:numPr>
        <w:rPr>
          <w:lang w:val="en-GB"/>
        </w:rPr>
      </w:pPr>
      <w:r>
        <w:rPr>
          <w:lang w:val="en-GB"/>
        </w:rPr>
        <w:t>Monitoring longitudinal change</w:t>
      </w:r>
      <w:r w:rsidR="00724427">
        <w:rPr>
          <w:lang w:val="en-GB"/>
        </w:rPr>
        <w:t>s</w:t>
      </w:r>
      <w:r>
        <w:rPr>
          <w:lang w:val="en-GB"/>
        </w:rPr>
        <w:t xml:space="preserve"> in the resistome depending on changes in the intestinal microbiota </w:t>
      </w:r>
    </w:p>
    <w:p w14:paraId="47032BF1" w14:textId="5CB2A027" w:rsidR="003D0A37" w:rsidRDefault="00DD7EFF" w:rsidP="00812F3D">
      <w:pPr>
        <w:rPr>
          <w:lang w:val="en-GB"/>
        </w:rPr>
      </w:pPr>
      <w:r>
        <w:rPr>
          <w:lang w:val="en-GB"/>
        </w:rPr>
        <w:t>Across all individuals in our cohort, we detected 1</w:t>
      </w:r>
      <w:r w:rsidR="001B1300">
        <w:rPr>
          <w:lang w:val="en-GB"/>
        </w:rPr>
        <w:t>1</w:t>
      </w:r>
      <w:r w:rsidR="00C75DA5">
        <w:rPr>
          <w:lang w:val="en-GB"/>
        </w:rPr>
        <w:t>3</w:t>
      </w:r>
      <w:r>
        <w:rPr>
          <w:lang w:val="en-GB"/>
        </w:rPr>
        <w:t xml:space="preserve"> antimicrobial resistance genes (ARGs) in 1</w:t>
      </w:r>
      <w:r w:rsidR="00C75DA5">
        <w:rPr>
          <w:lang w:val="en-GB"/>
        </w:rPr>
        <w:t>7</w:t>
      </w:r>
      <w:r>
        <w:rPr>
          <w:lang w:val="en-GB"/>
        </w:rPr>
        <w:t xml:space="preserve"> different classes, with 5 different mechanisms of resistance based on CARD database</w:t>
      </w:r>
      <w:r w:rsidR="003D0A37">
        <w:rPr>
          <w:lang w:val="en-GB"/>
        </w:rPr>
        <w:t xml:space="preserve"> (Figure )</w:t>
      </w:r>
      <w:r w:rsidR="001B1300">
        <w:rPr>
          <w:lang w:val="en-GB"/>
        </w:rPr>
        <w:t>.</w:t>
      </w:r>
      <w:r>
        <w:rPr>
          <w:lang w:val="en-GB"/>
        </w:rPr>
        <w:t xml:space="preserve"> </w:t>
      </w:r>
      <w:r w:rsidR="003D0A37">
        <w:rPr>
          <w:lang w:val="en-GB"/>
        </w:rPr>
        <w:t xml:space="preserve">Resistance to aminoglycosides is encoded on the highest number of genes, which work to inactivate the antibiotic (Figure A). Three classes of antimicrobial resistance genes that possess the greatest diversity of genes are also among the top four most abundant ones (Figure B). The most abundant genes code for resistance to tetracyclines, by protecting the target of antibiotics, followed by genes coding for resistance against antibiotics working on protein synthesis (lincosamide, macrolide and </w:t>
      </w:r>
      <w:r w:rsidR="007F2F3F">
        <w:rPr>
          <w:lang w:val="en-GB"/>
        </w:rPr>
        <w:t>streptogramin), and beta-lactams by inactivating the antibiotic</w:t>
      </w:r>
      <w:r w:rsidR="003D0A37">
        <w:rPr>
          <w:lang w:val="en-GB"/>
        </w:rPr>
        <w:t>.</w:t>
      </w:r>
      <w:r w:rsidR="007F2F3F">
        <w:rPr>
          <w:lang w:val="en-GB"/>
        </w:rPr>
        <w:t xml:space="preserve"> </w:t>
      </w:r>
      <w:r w:rsidR="003D0A37">
        <w:rPr>
          <w:lang w:val="en-GB"/>
        </w:rPr>
        <w:t xml:space="preserve"> </w:t>
      </w:r>
    </w:p>
    <w:p w14:paraId="0FE16C1E" w14:textId="77777777" w:rsidR="007F2F3F" w:rsidRDefault="007F2F3F" w:rsidP="00812F3D">
      <w:pPr>
        <w:rPr>
          <w:rFonts w:cs="Times New Roman"/>
          <w:lang w:val="en-GB"/>
        </w:rPr>
        <w:sectPr w:rsidR="007F2F3F" w:rsidSect="007F2F3F">
          <w:pgSz w:w="12240" w:h="15840"/>
          <w:pgMar w:top="1440" w:right="1440" w:bottom="1440" w:left="1440" w:header="720" w:footer="720" w:gutter="0"/>
          <w:lnNumType w:countBy="1" w:restart="continuous"/>
          <w:cols w:space="720"/>
          <w:docGrid w:linePitch="360"/>
        </w:sectPr>
      </w:pPr>
    </w:p>
    <w:p w14:paraId="15DF8771" w14:textId="5D9D8A1F" w:rsidR="007A1957" w:rsidRDefault="00E35552" w:rsidP="00812F3D">
      <w:pPr>
        <w:rPr>
          <w:rFonts w:cs="Times New Roman"/>
          <w:lang w:val="en-GB"/>
        </w:rPr>
      </w:pPr>
      <w:r w:rsidRPr="00E35552">
        <w:rPr>
          <w:rFonts w:cs="Times New Roman"/>
          <w:noProof/>
          <w:lang w:val="en-GB"/>
        </w:rPr>
        <w:lastRenderedPageBreak/>
        <w:drawing>
          <wp:inline distT="0" distB="0" distL="0" distR="0" wp14:anchorId="7FC8B5ED" wp14:editId="040FEEA8">
            <wp:extent cx="8543093" cy="3036498"/>
            <wp:effectExtent l="0" t="0" r="0" b="0"/>
            <wp:docPr id="95028747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87476" name=""/>
                    <pic:cNvPicPr/>
                  </pic:nvPicPr>
                  <pic:blipFill rotWithShape="1">
                    <a:blip r:embed="rId26">
                      <a:extLst>
                        <a:ext uri="{96DAC541-7B7A-43D3-8B79-37D633B846F1}">
                          <asvg:svgBlip xmlns:asvg="http://schemas.microsoft.com/office/drawing/2016/SVG/main" r:embed="rId27"/>
                        </a:ext>
                      </a:extLst>
                    </a:blip>
                    <a:srcRect l="8386" r="8491"/>
                    <a:stretch/>
                  </pic:blipFill>
                  <pic:spPr bwMode="auto">
                    <a:xfrm>
                      <a:off x="0" y="0"/>
                      <a:ext cx="8567184" cy="3045061"/>
                    </a:xfrm>
                    <a:prstGeom prst="rect">
                      <a:avLst/>
                    </a:prstGeom>
                    <a:ln>
                      <a:noFill/>
                    </a:ln>
                    <a:extLst>
                      <a:ext uri="{53640926-AAD7-44D8-BBD7-CCE9431645EC}">
                        <a14:shadowObscured xmlns:a14="http://schemas.microsoft.com/office/drawing/2010/main"/>
                      </a:ext>
                    </a:extLst>
                  </pic:spPr>
                </pic:pic>
              </a:graphicData>
            </a:graphic>
          </wp:inline>
        </w:drawing>
      </w:r>
    </w:p>
    <w:p w14:paraId="286EC6BD" w14:textId="55EE6F29" w:rsidR="008E5937" w:rsidRPr="00511463" w:rsidRDefault="00D70EDC" w:rsidP="00812F3D">
      <w:pPr>
        <w:rPr>
          <w:rFonts w:cs="Times New Roman"/>
          <w:lang w:val="en-GB"/>
        </w:rPr>
      </w:pPr>
      <w:r>
        <w:rPr>
          <w:rFonts w:cs="Times New Roman"/>
          <w:lang w:val="en-GB"/>
        </w:rPr>
        <w:t xml:space="preserve">Figure . </w:t>
      </w:r>
      <w:r w:rsidR="00E97C31">
        <w:rPr>
          <w:rFonts w:cs="Times New Roman"/>
          <w:lang w:val="en-GB"/>
        </w:rPr>
        <w:t>Number of u</w:t>
      </w:r>
      <w:r>
        <w:rPr>
          <w:rFonts w:cs="Times New Roman"/>
          <w:lang w:val="en-GB"/>
        </w:rPr>
        <w:t xml:space="preserve">nique genes and number of mapped reads </w:t>
      </w:r>
      <w:r w:rsidR="00E97C31">
        <w:rPr>
          <w:rFonts w:cs="Times New Roman"/>
          <w:lang w:val="en-GB"/>
        </w:rPr>
        <w:t xml:space="preserve">(TPM) </w:t>
      </w:r>
      <w:r>
        <w:rPr>
          <w:rFonts w:cs="Times New Roman"/>
          <w:lang w:val="en-GB"/>
        </w:rPr>
        <w:t>to antimicrobial resistance genes across all individuals</w:t>
      </w:r>
      <w:r w:rsidR="00DF1F48">
        <w:rPr>
          <w:rFonts w:cs="Times New Roman"/>
          <w:lang w:val="en-GB"/>
        </w:rPr>
        <w:t>, coloured by mechanism of resistance based on CARD</w:t>
      </w:r>
      <w:r>
        <w:rPr>
          <w:rFonts w:cs="Times New Roman"/>
          <w:lang w:val="en-GB"/>
        </w:rPr>
        <w:t xml:space="preserve">. </w:t>
      </w:r>
    </w:p>
    <w:p w14:paraId="55FD7784" w14:textId="77777777" w:rsidR="007F2F3F" w:rsidRDefault="007F2F3F" w:rsidP="00140994">
      <w:pPr>
        <w:rPr>
          <w:rFonts w:cs="Times New Roman"/>
          <w:lang w:val="en-GB"/>
        </w:rPr>
        <w:sectPr w:rsidR="007F2F3F" w:rsidSect="007F2F3F">
          <w:pgSz w:w="15840" w:h="12240" w:orient="landscape"/>
          <w:pgMar w:top="1440" w:right="1440" w:bottom="1440" w:left="1440" w:header="720" w:footer="720" w:gutter="0"/>
          <w:lnNumType w:countBy="1" w:restart="continuous"/>
          <w:cols w:space="720"/>
          <w:docGrid w:linePitch="360"/>
        </w:sectPr>
      </w:pPr>
    </w:p>
    <w:p w14:paraId="0BAFA13A" w14:textId="4D2E1655" w:rsidR="007F2F3F" w:rsidRDefault="007F2F3F" w:rsidP="00140994">
      <w:pPr>
        <w:rPr>
          <w:rFonts w:cs="Times New Roman"/>
          <w:lang w:val="en-GB"/>
        </w:rPr>
      </w:pPr>
      <w:r>
        <w:rPr>
          <w:rFonts w:cs="Times New Roman"/>
          <w:lang w:val="en-GB"/>
        </w:rPr>
        <w:lastRenderedPageBreak/>
        <w:t xml:space="preserve">Clinically important ARGs in Slovenia such as </w:t>
      </w:r>
      <w:r w:rsidRPr="00511463">
        <w:rPr>
          <w:rFonts w:cs="Times New Roman"/>
          <w:lang w:val="en-GB"/>
        </w:rPr>
        <w:t>bla</w:t>
      </w:r>
      <w:r w:rsidRPr="00511463">
        <w:rPr>
          <w:rFonts w:cs="Times New Roman"/>
          <w:vertAlign w:val="subscript"/>
          <w:lang w:val="en-GB"/>
        </w:rPr>
        <w:t>KPC</w:t>
      </w:r>
      <w:r w:rsidRPr="00511463">
        <w:rPr>
          <w:rFonts w:cs="Times New Roman"/>
          <w:lang w:val="en-GB"/>
        </w:rPr>
        <w:t>, bla</w:t>
      </w:r>
      <w:r w:rsidRPr="00511463">
        <w:rPr>
          <w:rFonts w:cs="Times New Roman"/>
          <w:vertAlign w:val="subscript"/>
          <w:lang w:val="en-GB"/>
        </w:rPr>
        <w:t>NDM</w:t>
      </w:r>
      <w:r w:rsidRPr="00511463">
        <w:rPr>
          <w:rFonts w:cs="Times New Roman"/>
          <w:lang w:val="en-GB"/>
        </w:rPr>
        <w:t>, bla</w:t>
      </w:r>
      <w:r w:rsidRPr="00511463">
        <w:rPr>
          <w:rFonts w:cs="Times New Roman"/>
          <w:vertAlign w:val="subscript"/>
          <w:lang w:val="en-GB"/>
        </w:rPr>
        <w:t>OXA48</w:t>
      </w:r>
      <w:r w:rsidRPr="00511463">
        <w:rPr>
          <w:rFonts w:cs="Times New Roman"/>
          <w:lang w:val="en-GB"/>
        </w:rPr>
        <w:t xml:space="preserve"> or bla</w:t>
      </w:r>
      <w:r w:rsidRPr="00511463">
        <w:rPr>
          <w:rFonts w:cs="Times New Roman"/>
          <w:vertAlign w:val="subscript"/>
          <w:lang w:val="en-GB"/>
        </w:rPr>
        <w:t>VIM</w:t>
      </w:r>
      <w:r w:rsidRPr="00511463">
        <w:rPr>
          <w:rFonts w:cs="Times New Roman"/>
          <w:lang w:val="en-GB"/>
        </w:rPr>
        <w:t xml:space="preserve"> which cause carbapenems resistance and bla</w:t>
      </w:r>
      <w:r w:rsidRPr="00511463">
        <w:rPr>
          <w:rFonts w:cs="Times New Roman"/>
          <w:vertAlign w:val="subscript"/>
          <w:lang w:val="en-GB"/>
        </w:rPr>
        <w:t>OXA23</w:t>
      </w:r>
      <w:r w:rsidRPr="00511463">
        <w:rPr>
          <w:rFonts w:cs="Times New Roman"/>
          <w:lang w:val="en-GB"/>
        </w:rPr>
        <w:t>, bla</w:t>
      </w:r>
      <w:r w:rsidRPr="00511463">
        <w:rPr>
          <w:rFonts w:cs="Times New Roman"/>
          <w:vertAlign w:val="subscript"/>
          <w:lang w:val="en-GB"/>
        </w:rPr>
        <w:t>OXA24</w:t>
      </w:r>
      <w:r w:rsidRPr="00511463">
        <w:rPr>
          <w:rFonts w:cs="Times New Roman"/>
          <w:lang w:val="en-GB"/>
        </w:rPr>
        <w:t xml:space="preserve"> which are present</w:t>
      </w:r>
      <w:r>
        <w:rPr>
          <w:rFonts w:cs="Times New Roman"/>
          <w:lang w:val="en-GB"/>
        </w:rPr>
        <w:t xml:space="preserve"> </w:t>
      </w:r>
      <w:r w:rsidRPr="00D70EDC">
        <w:rPr>
          <w:rFonts w:cs="Times New Roman"/>
          <w:lang w:val="en-GB"/>
        </w:rPr>
        <w:t>in</w:t>
      </w:r>
      <w:r w:rsidRPr="00511463">
        <w:rPr>
          <w:rFonts w:cs="Times New Roman"/>
          <w:i/>
          <w:iCs/>
          <w:lang w:val="en-GB"/>
        </w:rPr>
        <w:t xml:space="preserve"> Acinetobacter baumanii</w:t>
      </w:r>
      <w:r w:rsidRPr="00511463">
        <w:rPr>
          <w:rFonts w:cs="Times New Roman"/>
          <w:lang w:val="en-GB"/>
        </w:rPr>
        <w:t xml:space="preserve"> are not present</w:t>
      </w:r>
      <w:r>
        <w:rPr>
          <w:rFonts w:cs="Times New Roman"/>
          <w:lang w:val="en-GB"/>
        </w:rPr>
        <w:t xml:space="preserve"> in our dataset. The only clinically relevant ARG we found was CTX-M1 present in only one of the individuals (I) at very low abundance (up to 0.8 TPM), despite two other individuals consuming antibiotics during the study (E, H). The</w:t>
      </w:r>
      <w:r w:rsidRPr="00511463">
        <w:rPr>
          <w:rFonts w:cs="Times New Roman"/>
          <w:lang w:val="en-GB"/>
        </w:rPr>
        <w:t xml:space="preserve"> highest </w:t>
      </w:r>
      <w:r>
        <w:rPr>
          <w:rFonts w:cs="Times New Roman"/>
          <w:lang w:val="en-GB"/>
        </w:rPr>
        <w:t xml:space="preserve">diversity </w:t>
      </w:r>
      <w:r w:rsidRPr="00511463">
        <w:rPr>
          <w:rFonts w:cs="Times New Roman"/>
          <w:lang w:val="en-GB"/>
        </w:rPr>
        <w:t>ARG</w:t>
      </w:r>
      <w:r>
        <w:rPr>
          <w:rFonts w:cs="Times New Roman"/>
          <w:lang w:val="en-GB"/>
        </w:rPr>
        <w:t xml:space="preserve">s was detected on contigs belonging to </w:t>
      </w:r>
      <w:r w:rsidRPr="00511463">
        <w:rPr>
          <w:rFonts w:cs="Times New Roman"/>
          <w:lang w:val="en-GB"/>
        </w:rPr>
        <w:t xml:space="preserve">the phylum </w:t>
      </w:r>
      <w:r>
        <w:rPr>
          <w:rFonts w:cs="Times New Roman"/>
          <w:i/>
          <w:iCs/>
          <w:lang w:val="en-GB"/>
        </w:rPr>
        <w:t>Bacillota</w:t>
      </w:r>
      <w:r w:rsidRPr="00511463">
        <w:rPr>
          <w:rFonts w:cs="Times New Roman"/>
          <w:lang w:val="en-GB"/>
        </w:rPr>
        <w:t xml:space="preserve">, followed by </w:t>
      </w:r>
      <w:r>
        <w:rPr>
          <w:rFonts w:cs="Times New Roman"/>
          <w:i/>
          <w:iCs/>
          <w:lang w:val="en-GB"/>
        </w:rPr>
        <w:t>Bacteroidota</w:t>
      </w:r>
      <w:r>
        <w:rPr>
          <w:rFonts w:cs="Times New Roman"/>
          <w:lang w:val="en-GB"/>
        </w:rPr>
        <w:t xml:space="preserve">, but </w:t>
      </w:r>
      <w:r>
        <w:rPr>
          <w:rFonts w:cs="Times New Roman"/>
          <w:lang w:val="en-GB"/>
        </w:rPr>
        <w:t xml:space="preserve">the highest abundance of ARGs was detected in the phylum </w:t>
      </w:r>
      <w:r>
        <w:rPr>
          <w:rFonts w:cs="Times New Roman"/>
          <w:i/>
          <w:iCs/>
          <w:lang w:val="en-GB"/>
        </w:rPr>
        <w:t>Bacteroidota</w:t>
      </w:r>
      <w:r w:rsidRPr="00705B17">
        <w:rPr>
          <w:rFonts w:cs="Times New Roman"/>
          <w:lang w:val="en-GB"/>
        </w:rPr>
        <w:t xml:space="preserve">, followed by </w:t>
      </w:r>
      <w:r>
        <w:rPr>
          <w:rFonts w:cs="Times New Roman"/>
          <w:i/>
          <w:iCs/>
          <w:lang w:val="en-GB"/>
        </w:rPr>
        <w:t xml:space="preserve">Bacillota </w:t>
      </w:r>
      <w:r w:rsidRPr="00705B17">
        <w:rPr>
          <w:rFonts w:cs="Times New Roman"/>
          <w:lang w:val="en-GB"/>
        </w:rPr>
        <w:t xml:space="preserve">(Supplement Figure </w:t>
      </w:r>
      <w:r>
        <w:rPr>
          <w:rFonts w:cs="Times New Roman"/>
          <w:lang w:val="en-GB"/>
        </w:rPr>
        <w:t xml:space="preserve">6). </w:t>
      </w:r>
    </w:p>
    <w:p w14:paraId="143893D0" w14:textId="2D720ED4" w:rsidR="00140994" w:rsidRDefault="00140994" w:rsidP="00140994">
      <w:pPr>
        <w:rPr>
          <w:rFonts w:cs="Times New Roman"/>
          <w:lang w:val="en-GB"/>
        </w:rPr>
      </w:pPr>
      <w:r>
        <w:rPr>
          <w:rFonts w:cs="Times New Roman"/>
          <w:lang w:val="en-GB"/>
        </w:rPr>
        <w:t xml:space="preserve">Out of nine individuals in our cohort, only two (E, H) experienced a perturbation (consumption of doxycycline and amoxicillin, respectively) that influenced the diversity of their gut community. Other individuals travelled abroad, reported stressful life events, visited a dentist etc., but none of these significantly influenced their gut community. </w:t>
      </w:r>
      <w:r w:rsidRPr="00511463">
        <w:rPr>
          <w:rFonts w:cs="Times New Roman"/>
          <w:lang w:val="en-GB"/>
        </w:rPr>
        <w:t>We notice an increase in the number of reads mapped to ARGs in class beta-lactam during antibiotic consumption, but this is not the only increase as individual D also had quite turbulent dynamic of ARGs in class beta-lactam but did not consume antibiotics</w:t>
      </w:r>
      <w:r>
        <w:rPr>
          <w:rFonts w:cs="Times New Roman"/>
          <w:lang w:val="en-GB"/>
        </w:rPr>
        <w:t xml:space="preserve"> (Figure )</w:t>
      </w:r>
      <w:r w:rsidRPr="00511463">
        <w:rPr>
          <w:rFonts w:cs="Times New Roman"/>
          <w:lang w:val="en-GB"/>
        </w:rPr>
        <w:t>. The individual travel</w:t>
      </w:r>
      <w:r>
        <w:rPr>
          <w:rFonts w:cs="Times New Roman"/>
          <w:lang w:val="en-GB"/>
        </w:rPr>
        <w:t>l</w:t>
      </w:r>
      <w:r w:rsidRPr="00511463">
        <w:rPr>
          <w:rFonts w:cs="Times New Roman"/>
          <w:lang w:val="en-GB"/>
        </w:rPr>
        <w:t>ed during the study, but the increases/decreases do not correlate with the time of travel, while other individuals that travel</w:t>
      </w:r>
      <w:r>
        <w:rPr>
          <w:rFonts w:cs="Times New Roman"/>
          <w:lang w:val="en-GB"/>
        </w:rPr>
        <w:t>l</w:t>
      </w:r>
      <w:r w:rsidRPr="00511463">
        <w:rPr>
          <w:rFonts w:cs="Times New Roman"/>
          <w:lang w:val="en-GB"/>
        </w:rPr>
        <w:t xml:space="preserve">ed had no increase/decrease of beta-lactams during the study period. </w:t>
      </w:r>
      <w:r>
        <w:rPr>
          <w:rFonts w:cs="Times New Roman"/>
          <w:lang w:val="en-GB"/>
        </w:rPr>
        <w:t xml:space="preserve">The </w:t>
      </w:r>
      <w:r w:rsidRPr="00511463">
        <w:rPr>
          <w:rFonts w:cs="Times New Roman"/>
          <w:lang w:val="en-GB"/>
        </w:rPr>
        <w:t>number of reads mapped to different ARG classes change more drastically for some (tetracycline, beta-lactam, phenicol) than others and differ between individuals.</w:t>
      </w:r>
    </w:p>
    <w:p w14:paraId="58DB9940" w14:textId="77777777" w:rsidR="007F2F3F" w:rsidRDefault="007F2F3F" w:rsidP="00140994">
      <w:pPr>
        <w:rPr>
          <w:rFonts w:cs="Times New Roman"/>
          <w:lang w:val="en-GB"/>
        </w:rPr>
      </w:pPr>
    </w:p>
    <w:p w14:paraId="6814A1AF" w14:textId="0BCCA1E4" w:rsidR="00B02778" w:rsidRDefault="00593D0A" w:rsidP="00882270">
      <w:pPr>
        <w:rPr>
          <w:rFonts w:cs="Times New Roman"/>
          <w:lang w:val="en-GB"/>
        </w:rPr>
      </w:pPr>
      <w:r>
        <w:rPr>
          <w:rFonts w:cs="Times New Roman"/>
          <w:noProof/>
          <w:lang w:val="en-GB"/>
        </w:rPr>
        <w:lastRenderedPageBreak/>
        <w:drawing>
          <wp:inline distT="0" distB="0" distL="0" distR="0" wp14:anchorId="1169EB84" wp14:editId="6693C9B6">
            <wp:extent cx="5943600" cy="3657600"/>
            <wp:effectExtent l="0" t="0" r="0" b="0"/>
            <wp:docPr id="3480938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23AA09E8" w14:textId="67B68062" w:rsidR="00140994" w:rsidRDefault="00140994" w:rsidP="00882270">
      <w:pPr>
        <w:rPr>
          <w:rFonts w:cs="Times New Roman"/>
          <w:lang w:val="en-GB"/>
        </w:rPr>
      </w:pPr>
      <w:r>
        <w:rPr>
          <w:rFonts w:cs="Times New Roman"/>
          <w:lang w:val="en-GB"/>
        </w:rPr>
        <w:t xml:space="preserve">Figure. </w:t>
      </w:r>
    </w:p>
    <w:p w14:paraId="0341EB2A" w14:textId="77777777" w:rsidR="00140994" w:rsidRDefault="00140994" w:rsidP="00882270">
      <w:pPr>
        <w:rPr>
          <w:rFonts w:cs="Times New Roman"/>
          <w:lang w:val="en-GB"/>
        </w:rPr>
      </w:pPr>
    </w:p>
    <w:p w14:paraId="5C159A24" w14:textId="53EE97C9" w:rsidR="00B02778" w:rsidRDefault="00E97C31" w:rsidP="00882270">
      <w:pPr>
        <w:rPr>
          <w:rFonts w:cs="Times New Roman"/>
          <w:lang w:val="en-GB"/>
        </w:rPr>
      </w:pPr>
      <w:r>
        <w:rPr>
          <w:rFonts w:cs="Times New Roman"/>
          <w:lang w:val="en-GB"/>
        </w:rPr>
        <w:t xml:space="preserve">There is no correlation between the alpha diversity of a sample and the diversity or abundance of all ARGs in same sample. But if we separate ARGs by their class, we notice some classes of ARGs have a positive and some negative correlation between the diversity in a sample and ARGs abundance (Supplement Figure 7, 8). This is correlation is the result of </w:t>
      </w:r>
      <w:r w:rsidR="00140994">
        <w:rPr>
          <w:rFonts w:cs="Times New Roman"/>
          <w:lang w:val="en-GB"/>
        </w:rPr>
        <w:t xml:space="preserve">a few individuals with higher or lower diversity and their abundance of certain class of ARGs. For example, individual E is the one holding up the positive correlation for the class aminoglycosides and phenicol. </w:t>
      </w:r>
    </w:p>
    <w:p w14:paraId="1502F91D" w14:textId="4761B876" w:rsidR="00882270" w:rsidRDefault="00882270" w:rsidP="00882270">
      <w:pPr>
        <w:rPr>
          <w:rFonts w:cs="Times New Roman"/>
          <w:lang w:val="en-GB"/>
        </w:rPr>
      </w:pPr>
      <w:r>
        <w:rPr>
          <w:rFonts w:cs="Times New Roman"/>
          <w:lang w:val="en-GB"/>
        </w:rPr>
        <w:t xml:space="preserve">There is no correlation between either richness or Shannon’s diversity index (based on SGBs or OTUs) to the number of unique ARGs or to the number of reads mapped (TPM) to ARGs, this holds true whether we look at all ARGs together or if we separate them by the class of antibiotics towards which they have an effect. The correlations are driven by individuals higher diversity which drives higher diversity of ARGs, while within an individual a reduced or increased diversity did not influence the diversity of ARGs (Supplementary Figure 7, 8). </w:t>
      </w:r>
    </w:p>
    <w:p w14:paraId="29842DB4" w14:textId="6D352A75" w:rsidR="00AB6778" w:rsidRPr="00511463" w:rsidRDefault="00282B6C" w:rsidP="00812F3D">
      <w:pPr>
        <w:rPr>
          <w:rFonts w:cs="Times New Roman"/>
          <w:lang w:val="en-GB"/>
        </w:rPr>
      </w:pPr>
      <w:r w:rsidRPr="00511463">
        <w:rPr>
          <w:rFonts w:cs="Times New Roman"/>
          <w:lang w:val="en-GB"/>
        </w:rPr>
        <w:t xml:space="preserve">The third hypothesis could also be looked at on the level of population not only individual through time. </w:t>
      </w:r>
      <w:r w:rsidR="005C7D09" w:rsidRPr="00511463">
        <w:rPr>
          <w:lang w:val="en-GB"/>
        </w:rPr>
        <w:t xml:space="preserve">The reason we choose Shannon’s diversity index was because of previous analysis on rarefaction influence </w:t>
      </w:r>
      <w:r w:rsidR="005C7D09" w:rsidRPr="00511463">
        <w:rPr>
          <w:lang w:val="en-GB"/>
        </w:rPr>
        <w:lastRenderedPageBreak/>
        <w:t xml:space="preserve">on alpha diversity measures, where our type of analysis did not affect Shannon’s diversity index. </w:t>
      </w:r>
      <w:r w:rsidRPr="00511463">
        <w:rPr>
          <w:rFonts w:cs="Times New Roman"/>
          <w:lang w:val="en-GB"/>
        </w:rPr>
        <w:t>W</w:t>
      </w:r>
      <w:r w:rsidR="001C3B69" w:rsidRPr="00511463">
        <w:rPr>
          <w:rFonts w:cs="Times New Roman"/>
          <w:lang w:val="en-GB"/>
        </w:rPr>
        <w:t xml:space="preserve">hen looking at overall correlation between Shannon’s diversity index calculated based on OTUs and </w:t>
      </w:r>
      <w:r w:rsidR="00FE02AA" w:rsidRPr="00511463">
        <w:rPr>
          <w:rFonts w:cs="Times New Roman"/>
          <w:lang w:val="en-GB"/>
        </w:rPr>
        <w:t xml:space="preserve">the number of unique antimicrobial resistance genes in a sample there is a </w:t>
      </w:r>
      <w:r w:rsidR="00772E33" w:rsidRPr="00511463">
        <w:rPr>
          <w:rFonts w:cs="Times New Roman"/>
          <w:lang w:val="en-GB"/>
        </w:rPr>
        <w:t>statistically</w:t>
      </w:r>
      <w:r w:rsidR="00C1544B" w:rsidRPr="00511463">
        <w:rPr>
          <w:rFonts w:cs="Times New Roman"/>
          <w:lang w:val="en-GB"/>
        </w:rPr>
        <w:t xml:space="preserve"> significant</w:t>
      </w:r>
      <w:r w:rsidR="008C5141" w:rsidRPr="00511463">
        <w:rPr>
          <w:rFonts w:cs="Times New Roman"/>
          <w:lang w:val="en-GB"/>
        </w:rPr>
        <w:t xml:space="preserve"> (p &lt; 0.05)</w:t>
      </w:r>
      <w:r w:rsidR="00C1544B" w:rsidRPr="00511463">
        <w:rPr>
          <w:rFonts w:cs="Times New Roman"/>
          <w:lang w:val="en-GB"/>
        </w:rPr>
        <w:t xml:space="preserve"> </w:t>
      </w:r>
      <w:r w:rsidR="00772E33" w:rsidRPr="00511463">
        <w:rPr>
          <w:rFonts w:cs="Times New Roman"/>
          <w:lang w:val="en-GB"/>
        </w:rPr>
        <w:t xml:space="preserve">positive </w:t>
      </w:r>
      <w:r w:rsidR="00C1544B" w:rsidRPr="00511463">
        <w:rPr>
          <w:rFonts w:cs="Times New Roman"/>
          <w:lang w:val="en-GB"/>
        </w:rPr>
        <w:t xml:space="preserve">correlation for the classes tetracycline, phenicol, peptide, </w:t>
      </w:r>
      <w:r w:rsidR="005036FB" w:rsidRPr="00511463">
        <w:rPr>
          <w:rFonts w:cs="Times New Roman"/>
          <w:lang w:val="en-GB"/>
        </w:rPr>
        <w:t>glycopeptide</w:t>
      </w:r>
      <w:r w:rsidR="00772E33" w:rsidRPr="00511463">
        <w:rPr>
          <w:rFonts w:cs="Times New Roman"/>
          <w:lang w:val="en-GB"/>
        </w:rPr>
        <w:t xml:space="preserve">, beta-lactam and aminoglycoside, but for the class </w:t>
      </w:r>
      <w:r w:rsidR="005036FB" w:rsidRPr="00511463">
        <w:rPr>
          <w:rFonts w:cs="Times New Roman"/>
          <w:lang w:val="en-GB"/>
        </w:rPr>
        <w:t>fluoroquinolone</w:t>
      </w:r>
      <w:r w:rsidR="00772E33" w:rsidRPr="00511463">
        <w:rPr>
          <w:rFonts w:cs="Times New Roman"/>
          <w:lang w:val="en-GB"/>
        </w:rPr>
        <w:t xml:space="preserve"> there is a </w:t>
      </w:r>
      <w:r w:rsidR="005036FB" w:rsidRPr="00511463">
        <w:rPr>
          <w:rFonts w:cs="Times New Roman"/>
          <w:lang w:val="en-GB"/>
        </w:rPr>
        <w:t>statistically</w:t>
      </w:r>
      <w:r w:rsidR="00772E33" w:rsidRPr="00511463">
        <w:rPr>
          <w:rFonts w:cs="Times New Roman"/>
          <w:lang w:val="en-GB"/>
        </w:rPr>
        <w:t xml:space="preserve"> significant negative correlation </w:t>
      </w:r>
      <w:r w:rsidR="005036FB" w:rsidRPr="00511463">
        <w:rPr>
          <w:rFonts w:cs="Times New Roman"/>
          <w:lang w:val="en-GB"/>
        </w:rPr>
        <w:t>between the number of unique ARGs and Shannon’s diversity</w:t>
      </w:r>
      <w:r w:rsidR="00EE6D85" w:rsidRPr="00511463">
        <w:rPr>
          <w:rFonts w:cs="Times New Roman"/>
          <w:lang w:val="en-GB"/>
        </w:rPr>
        <w:t>. But these correlations do not persist when comparing the number of reads mapped to ARGs (so the number of copies of ARGs). They are different to above correlations. In case of correlations between Shannon diversity and number of mapped reads statistically significant positive correlation is present in the case of aminoglycoside, fosfomycin, gycopeptide, multidrug, mupirocin, nucleoside, phenicol, pleuromutilin, polyamine peptid, suflonamid, tetracycline and statistically significant negative correlation for the classes of beta-lactams, fluoroquinolone, fosmidomycin and triclosan. The</w:t>
      </w:r>
      <w:r w:rsidR="00AB6778" w:rsidRPr="00511463">
        <w:rPr>
          <w:rFonts w:cs="Times New Roman"/>
          <w:lang w:val="en-GB"/>
        </w:rPr>
        <w:t xml:space="preserve"> correlation is not on the level of individual</w:t>
      </w:r>
      <w:r w:rsidR="00EE6D85" w:rsidRPr="00511463">
        <w:rPr>
          <w:rFonts w:cs="Times New Roman"/>
          <w:lang w:val="en-GB"/>
        </w:rPr>
        <w:t xml:space="preserve">, </w:t>
      </w:r>
      <w:r w:rsidR="00AB6778" w:rsidRPr="00511463">
        <w:rPr>
          <w:rFonts w:cs="Times New Roman"/>
          <w:lang w:val="en-GB"/>
        </w:rPr>
        <w:t xml:space="preserve">but rather </w:t>
      </w:r>
      <w:r w:rsidR="00EE6D85" w:rsidRPr="00511463">
        <w:rPr>
          <w:rFonts w:cs="Times New Roman"/>
          <w:lang w:val="en-GB"/>
        </w:rPr>
        <w:t xml:space="preserve">samples with </w:t>
      </w:r>
      <w:r w:rsidR="00AB6778" w:rsidRPr="00511463">
        <w:rPr>
          <w:rFonts w:cs="Times New Roman"/>
          <w:lang w:val="en-GB"/>
        </w:rPr>
        <w:t>higher diversity also possess higher number of antimicrobial resistance genes</w:t>
      </w:r>
      <w:r w:rsidR="00EE6D85" w:rsidRPr="00511463">
        <w:rPr>
          <w:rFonts w:cs="Times New Roman"/>
          <w:lang w:val="en-GB"/>
        </w:rPr>
        <w:t xml:space="preserve"> for some bacterial classes while others do not have correlations. </w:t>
      </w:r>
    </w:p>
    <w:p w14:paraId="2DD8E4F2" w14:textId="6DEB86E5" w:rsidR="005C7D09" w:rsidRPr="00511463" w:rsidRDefault="005C7D09" w:rsidP="00812F3D">
      <w:pPr>
        <w:rPr>
          <w:lang w:val="en-GB"/>
        </w:rPr>
      </w:pPr>
      <w:r w:rsidRPr="00511463">
        <w:rPr>
          <w:lang w:val="en-GB"/>
        </w:rPr>
        <w:t xml:space="preserve">Correlations between richness of OTUs and ARGs for each person’s time point in both bulk microbiota and ethanol treated samples. There is no correlation between the number of OTUs and the number of ARGs, except in individual H (p = 0.005). </w:t>
      </w:r>
    </w:p>
    <w:p w14:paraId="54ADBA68" w14:textId="5B61DD7C" w:rsidR="005C7D09" w:rsidRPr="00511463" w:rsidRDefault="00115CDA" w:rsidP="00812F3D">
      <w:pPr>
        <w:rPr>
          <w:lang w:val="en-GB"/>
        </w:rPr>
      </w:pPr>
      <w:r w:rsidRPr="00511463">
        <w:rPr>
          <w:lang w:val="en-GB"/>
        </w:rPr>
        <w:t xml:space="preserve">We also checked how beta diversity </w:t>
      </w:r>
      <w:r w:rsidR="00F418E4" w:rsidRPr="00511463">
        <w:rPr>
          <w:lang w:val="en-GB"/>
        </w:rPr>
        <w:t>calculated on OTUs correlates with that calculated on the abundance of ARGs in our samples. The</w:t>
      </w:r>
      <w:r w:rsidR="008101CA" w:rsidRPr="00511463">
        <w:rPr>
          <w:lang w:val="en-GB"/>
        </w:rPr>
        <w:t xml:space="preserve">re is no correlation between the Bray-Curtis dissimilarity </w:t>
      </w:r>
      <w:r w:rsidR="00D102AB" w:rsidRPr="00511463">
        <w:rPr>
          <w:lang w:val="en-GB"/>
        </w:rPr>
        <w:t xml:space="preserve">calculated on OTUs and ARGs. </w:t>
      </w:r>
    </w:p>
    <w:p w14:paraId="1EC1A700" w14:textId="4D701E57" w:rsidR="00F71E97" w:rsidRPr="00511463" w:rsidRDefault="00F71E97" w:rsidP="00812F3D">
      <w:pPr>
        <w:rPr>
          <w:lang w:val="en-GB"/>
        </w:rPr>
      </w:pPr>
      <w:r w:rsidRPr="00511463">
        <w:rPr>
          <w:lang w:val="en-GB"/>
        </w:rPr>
        <w:t>Stability of ARGs over time</w:t>
      </w:r>
    </w:p>
    <w:p w14:paraId="5411EE32" w14:textId="36919469" w:rsidR="00F71E97" w:rsidRPr="00511463" w:rsidRDefault="00F71E97" w:rsidP="00812F3D">
      <w:pPr>
        <w:rPr>
          <w:lang w:val="en-GB"/>
        </w:rPr>
      </w:pPr>
      <w:r w:rsidRPr="00511463">
        <w:rPr>
          <w:lang w:val="en-GB"/>
        </w:rPr>
        <w:t xml:space="preserve">Stability can be understood in </w:t>
      </w:r>
      <w:r w:rsidR="00285D21" w:rsidRPr="00511463">
        <w:rPr>
          <w:lang w:val="en-GB"/>
        </w:rPr>
        <w:t>many ways</w:t>
      </w:r>
      <w:r w:rsidRPr="00511463">
        <w:rPr>
          <w:lang w:val="en-GB"/>
        </w:rPr>
        <w:t xml:space="preserve"> (see Chapter: A brain dump on stability). Here we have decided to </w:t>
      </w:r>
      <w:r w:rsidR="00285D21" w:rsidRPr="00511463">
        <w:rPr>
          <w:lang w:val="en-GB"/>
        </w:rPr>
        <w:t>investigate</w:t>
      </w:r>
      <w:r w:rsidR="00742518" w:rsidRPr="00511463">
        <w:rPr>
          <w:lang w:val="en-GB"/>
        </w:rPr>
        <w:t xml:space="preserve"> persistence of ARGs within an individual through time</w:t>
      </w:r>
      <w:r w:rsidR="00BD4870" w:rsidRPr="00511463">
        <w:rPr>
          <w:lang w:val="en-GB"/>
        </w:rPr>
        <w:t xml:space="preserve"> coupled with their occupancy (relative abundance)</w:t>
      </w:r>
      <w:r w:rsidR="00742518" w:rsidRPr="00511463">
        <w:rPr>
          <w:lang w:val="en-GB"/>
        </w:rPr>
        <w:t xml:space="preserve">. We are aware of the limitation of sequencing as an imperfect method that does not enable to say for sure that something is truly missing or just so rare that we have missed it with our depth of sequencing. But for the reason being we will </w:t>
      </w:r>
      <w:r w:rsidR="00810421" w:rsidRPr="00511463">
        <w:rPr>
          <w:lang w:val="en-GB"/>
        </w:rPr>
        <w:t>say that our sequencing was as good as possible, we will not say that something is gone missing but is under the level of detection.</w:t>
      </w:r>
      <w:r w:rsidR="00BD4870" w:rsidRPr="00511463">
        <w:rPr>
          <w:lang w:val="en-GB"/>
        </w:rPr>
        <w:t xml:space="preserve"> </w:t>
      </w:r>
      <w:r w:rsidR="00535400" w:rsidRPr="00511463">
        <w:rPr>
          <w:lang w:val="en-GB"/>
        </w:rPr>
        <w:t>A third of</w:t>
      </w:r>
      <w:r w:rsidR="00BD4870" w:rsidRPr="00511463">
        <w:rPr>
          <w:lang w:val="en-GB"/>
        </w:rPr>
        <w:t xml:space="preserve"> ARGs have been detected at all time points (</w:t>
      </w:r>
      <w:r w:rsidR="00535400" w:rsidRPr="00511463">
        <w:rPr>
          <w:lang w:val="en-GB"/>
        </w:rPr>
        <w:t xml:space="preserve">28.6 </w:t>
      </w:r>
      <w:r w:rsidR="00BD4870" w:rsidRPr="00511463">
        <w:rPr>
          <w:lang w:val="en-GB"/>
        </w:rPr>
        <w:t xml:space="preserve">%). We were unable to detect any loss or gain of a new ARG within an individual, even in individuals that had perturbations (AB or travel). </w:t>
      </w:r>
    </w:p>
    <w:p w14:paraId="44C9AA1B" w14:textId="77777777" w:rsidR="00DE546A" w:rsidRPr="00511463" w:rsidRDefault="00511463" w:rsidP="00DE546A">
      <w:pPr>
        <w:rPr>
          <w:rFonts w:cs="Times New Roman"/>
          <w:lang w:val="en-GB"/>
        </w:rPr>
      </w:pPr>
      <w:r w:rsidRPr="00511463">
        <w:rPr>
          <w:lang w:val="en-GB"/>
        </w:rPr>
        <w:br w:type="page"/>
      </w:r>
      <w:r w:rsidR="00DE546A" w:rsidRPr="00511463">
        <w:rPr>
          <w:rFonts w:cs="Times New Roman"/>
          <w:lang w:val="en-GB"/>
        </w:rPr>
        <w:lastRenderedPageBreak/>
        <w:t xml:space="preserve">On the level of individual (no statistics possible, as there are not enough perturbations) </w:t>
      </w:r>
    </w:p>
    <w:p w14:paraId="078FB43D" w14:textId="77777777" w:rsidR="00DE546A" w:rsidRPr="00511463" w:rsidRDefault="00DE546A" w:rsidP="00DE546A">
      <w:pPr>
        <w:rPr>
          <w:rFonts w:cs="Times New Roman"/>
          <w:lang w:val="en-GB"/>
        </w:rPr>
      </w:pPr>
      <w:r w:rsidRPr="00511463">
        <w:rPr>
          <w:rFonts w:cs="Times New Roman"/>
          <w:lang w:val="en-GB"/>
        </w:rPr>
        <w:t>Is there an increase of reads mapped to ARGs within an individual after a perturbation and consequent lower diversity (AB consumption, travel)?</w:t>
      </w:r>
    </w:p>
    <w:p w14:paraId="2F024740" w14:textId="77777777" w:rsidR="00DE546A" w:rsidRPr="00511463" w:rsidRDefault="00DE546A" w:rsidP="00DE546A">
      <w:pPr>
        <w:rPr>
          <w:rFonts w:cs="Times New Roman"/>
          <w:lang w:val="en-GB"/>
        </w:rPr>
      </w:pPr>
      <w:r w:rsidRPr="00511463">
        <w:rPr>
          <w:rFonts w:cs="Times New Roman"/>
          <w:lang w:val="en-GB"/>
        </w:rPr>
        <w:t>Is there an increase in the number of unique ARGs within an individual after a perturbation and consequent lower diversity (AB consumption, travel)?</w:t>
      </w:r>
    </w:p>
    <w:p w14:paraId="057439D8" w14:textId="77777777" w:rsidR="00DE546A" w:rsidRPr="00511463" w:rsidRDefault="00DE546A" w:rsidP="00DE546A">
      <w:pPr>
        <w:rPr>
          <w:rFonts w:cs="Times New Roman"/>
          <w:lang w:val="en-GB"/>
        </w:rPr>
      </w:pPr>
      <w:r w:rsidRPr="00511463">
        <w:rPr>
          <w:rFonts w:cs="Times New Roman"/>
          <w:lang w:val="en-GB"/>
        </w:rPr>
        <w:t>On the level of population</w:t>
      </w:r>
    </w:p>
    <w:p w14:paraId="56DBD3E8" w14:textId="77777777" w:rsidR="00DE546A" w:rsidRPr="00511463" w:rsidRDefault="00DE546A" w:rsidP="00DE546A">
      <w:pPr>
        <w:rPr>
          <w:rFonts w:cs="Times New Roman"/>
          <w:lang w:val="en-GB"/>
        </w:rPr>
      </w:pPr>
      <w:r w:rsidRPr="00511463">
        <w:rPr>
          <w:rFonts w:cs="Times New Roman"/>
          <w:lang w:val="en-GB"/>
        </w:rPr>
        <w:t>Is there a correlation between the diversity of a sample and number of unique ARGs?</w:t>
      </w:r>
    </w:p>
    <w:p w14:paraId="4A5D4D36" w14:textId="77777777" w:rsidR="00DE546A" w:rsidRPr="00511463" w:rsidRDefault="00DE546A" w:rsidP="00DE546A">
      <w:pPr>
        <w:rPr>
          <w:rFonts w:cs="Times New Roman"/>
          <w:lang w:val="en-GB"/>
        </w:rPr>
      </w:pPr>
      <w:r w:rsidRPr="00511463">
        <w:rPr>
          <w:rFonts w:cs="Times New Roman"/>
          <w:lang w:val="en-GB"/>
        </w:rPr>
        <w:t xml:space="preserve">Is there a correlation between the diversity of a samples number of reads mapped to ARGs? </w:t>
      </w:r>
    </w:p>
    <w:p w14:paraId="795D464D" w14:textId="7867F9F7" w:rsidR="00511463" w:rsidRPr="00511463" w:rsidRDefault="00511463">
      <w:pPr>
        <w:spacing w:line="259" w:lineRule="auto"/>
        <w:jc w:val="left"/>
        <w:rPr>
          <w:lang w:val="en-GB"/>
        </w:rPr>
      </w:pPr>
    </w:p>
    <w:p w14:paraId="2DE19901" w14:textId="391D47C1" w:rsidR="00810421" w:rsidRPr="001560D9" w:rsidRDefault="00511463" w:rsidP="00812F3D">
      <w:pPr>
        <w:rPr>
          <w:b/>
          <w:bCs/>
          <w:lang w:val="en-GB"/>
        </w:rPr>
      </w:pPr>
      <w:r w:rsidRPr="001560D9">
        <w:rPr>
          <w:b/>
          <w:bCs/>
          <w:lang w:val="en-GB"/>
        </w:rPr>
        <w:t>SUPPLEMENT TO RESULTS</w:t>
      </w:r>
    </w:p>
    <w:p w14:paraId="0020178A" w14:textId="77777777" w:rsidR="00511463" w:rsidRPr="00511463" w:rsidRDefault="00511463" w:rsidP="00511463">
      <w:pPr>
        <w:rPr>
          <w:rFonts w:cs="Times New Roman"/>
          <w:noProof/>
          <w:lang w:val="en-GB"/>
        </w:rPr>
      </w:pPr>
      <w:r w:rsidRPr="00511463">
        <w:rPr>
          <w:rFonts w:cs="Times New Roman"/>
          <w:noProof/>
          <w:lang w:val="en-GB"/>
        </w:rPr>
        <w:drawing>
          <wp:inline distT="0" distB="0" distL="0" distR="0" wp14:anchorId="5FF3E608" wp14:editId="09BCE22F">
            <wp:extent cx="5753735" cy="4330700"/>
            <wp:effectExtent l="0" t="0" r="0" b="0"/>
            <wp:docPr id="15" name="Picture 15" descr="Slika, ki vsebuje besede besedilo, diagram, risanje, skica&#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lika, ki vsebuje besede besedilo, diagram, risanje, skica&#10;&#10;Vsebina, ustvarjena z UI, morda ni praviln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3735" cy="4330700"/>
                    </a:xfrm>
                    <a:prstGeom prst="rect">
                      <a:avLst/>
                    </a:prstGeom>
                    <a:noFill/>
                    <a:ln>
                      <a:noFill/>
                    </a:ln>
                  </pic:spPr>
                </pic:pic>
              </a:graphicData>
            </a:graphic>
          </wp:inline>
        </w:drawing>
      </w:r>
    </w:p>
    <w:p w14:paraId="6A33CAB1" w14:textId="77777777" w:rsidR="00511463" w:rsidRPr="00511463" w:rsidRDefault="00511463" w:rsidP="00511463">
      <w:pPr>
        <w:rPr>
          <w:rFonts w:cs="Times New Roman"/>
          <w:lang w:val="en-GB"/>
        </w:rPr>
      </w:pPr>
      <w:r w:rsidRPr="00511463">
        <w:rPr>
          <w:rFonts w:cs="Times New Roman"/>
          <w:noProof/>
          <w:lang w:val="en-GB"/>
        </w:rPr>
        <w:t xml:space="preserve">Supplement Figure 1. Rarefaction curve for all samples. </w:t>
      </w:r>
    </w:p>
    <w:p w14:paraId="394C66EA" w14:textId="77777777" w:rsidR="00511463" w:rsidRDefault="00511463" w:rsidP="00812F3D">
      <w:pPr>
        <w:rPr>
          <w:lang w:val="en-GB"/>
        </w:rPr>
      </w:pPr>
    </w:p>
    <w:p w14:paraId="1D5E089A" w14:textId="2A2CE7A1" w:rsidR="007910CD" w:rsidRDefault="007910CD" w:rsidP="00812F3D">
      <w:pPr>
        <w:rPr>
          <w:lang w:val="en-GB"/>
        </w:rPr>
      </w:pPr>
      <w:r>
        <w:rPr>
          <w:noProof/>
          <w:lang w:val="en-GB"/>
        </w:rPr>
        <w:lastRenderedPageBreak/>
        <w:drawing>
          <wp:inline distT="0" distB="0" distL="0" distR="0" wp14:anchorId="05FAFB66" wp14:editId="5F4092FA">
            <wp:extent cx="5943600" cy="2657475"/>
            <wp:effectExtent l="0" t="0" r="0" b="9525"/>
            <wp:docPr id="184624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p>
    <w:p w14:paraId="009956BF" w14:textId="77777777" w:rsidR="007910CD" w:rsidRPr="007910CD" w:rsidRDefault="007910CD" w:rsidP="007910CD">
      <w:pPr>
        <w:pStyle w:val="Suppelement"/>
        <w:spacing w:line="360" w:lineRule="auto"/>
        <w:rPr>
          <w:sz w:val="22"/>
        </w:rPr>
      </w:pPr>
      <w:r w:rsidRPr="007910CD">
        <w:rPr>
          <w:lang w:val="en-GB"/>
        </w:rPr>
        <w:t xml:space="preserve">Supplement Figure 2: </w:t>
      </w:r>
      <w:r w:rsidRPr="007910CD">
        <w:rPr>
          <w:sz w:val="22"/>
        </w:rPr>
        <w:t xml:space="preserve">Dynamics of ethanol-resistant and ethanol non-resistant taxa between and within individuals. A) Boxplots showing between-individual (left) and within-individual (right) variability in community composition for ethanol-resistant (yellow) and non-resistant (green) communities. Variability was assessed using the Bray-Curtis dissimilarity, calculated separately for OTUs from the phylum </w:t>
      </w:r>
      <w:r w:rsidRPr="007910CD">
        <w:rPr>
          <w:i/>
          <w:iCs/>
          <w:sz w:val="22"/>
        </w:rPr>
        <w:t>Bacillota</w:t>
      </w:r>
      <w:r w:rsidRPr="007910CD">
        <w:rPr>
          <w:sz w:val="22"/>
        </w:rPr>
        <w:t xml:space="preserve"> and OTUs from other phyla. Bray-Curtis dissimilarity was derived from randomly subsampled communities (n = 24, iterations = 999), with the median distance used for visualization and statistical comparisons. Distributions were compared using the Wilcoxon rank-sum test. B) Community variability as measured by Bray-Curtis dissimilarity plotted against the number of days between sampling time points. Data are presented separately for phylum </w:t>
      </w:r>
      <w:r w:rsidRPr="007910CD">
        <w:rPr>
          <w:i/>
          <w:iCs/>
          <w:sz w:val="22"/>
        </w:rPr>
        <w:t>Bacillota</w:t>
      </w:r>
      <w:r w:rsidRPr="007910CD">
        <w:rPr>
          <w:sz w:val="22"/>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p w14:paraId="75E2A219" w14:textId="15A19390" w:rsidR="007910CD" w:rsidRDefault="007910CD" w:rsidP="00812F3D">
      <w:pPr>
        <w:rPr>
          <w:bCs/>
          <w:lang w:val="en-GB"/>
        </w:rPr>
      </w:pPr>
    </w:p>
    <w:p w14:paraId="1A359941" w14:textId="77777777" w:rsidR="001560D9" w:rsidRPr="00511463" w:rsidRDefault="001560D9" w:rsidP="001560D9">
      <w:pPr>
        <w:rPr>
          <w:lang w:val="en-GB"/>
        </w:rPr>
      </w:pPr>
      <w:r w:rsidRPr="00511463">
        <w:rPr>
          <w:b/>
          <w:lang w:val="en-GB"/>
        </w:rPr>
        <w:t xml:space="preserve">Supplement Table 1: </w:t>
      </w:r>
      <w:r w:rsidRPr="00511463">
        <w:rPr>
          <w:lang w:val="en-GB"/>
        </w:rPr>
        <w:t xml:space="preserve">Wilcox rank sum test between all fractions inter and intra individuals. </w:t>
      </w:r>
    </w:p>
    <w:tbl>
      <w:tblPr>
        <w:tblW w:w="8400" w:type="dxa"/>
        <w:tblCellMar>
          <w:left w:w="70" w:type="dxa"/>
          <w:right w:w="70" w:type="dxa"/>
        </w:tblCellMar>
        <w:tblLook w:val="04A0" w:firstRow="1" w:lastRow="0" w:firstColumn="1" w:lastColumn="0" w:noHBand="0" w:noVBand="1"/>
      </w:tblPr>
      <w:tblGrid>
        <w:gridCol w:w="1120"/>
        <w:gridCol w:w="5180"/>
        <w:gridCol w:w="1060"/>
        <w:gridCol w:w="1040"/>
      </w:tblGrid>
      <w:tr w:rsidR="001560D9" w:rsidRPr="00511463" w14:paraId="60749B02" w14:textId="77777777" w:rsidTr="001560D9">
        <w:trPr>
          <w:trHeight w:val="57"/>
          <w:tblHeader/>
        </w:trPr>
        <w:tc>
          <w:tcPr>
            <w:tcW w:w="1120" w:type="dxa"/>
            <w:vMerge w:val="restart"/>
            <w:tcBorders>
              <w:top w:val="single" w:sz="4" w:space="0" w:color="auto"/>
              <w:left w:val="nil"/>
              <w:bottom w:val="single" w:sz="4" w:space="0" w:color="000000"/>
              <w:right w:val="nil"/>
            </w:tcBorders>
            <w:vAlign w:val="bottom"/>
            <w:hideMark/>
          </w:tcPr>
          <w:p w14:paraId="1545153A" w14:textId="77777777" w:rsidR="001560D9" w:rsidRPr="001560D9" w:rsidRDefault="001560D9" w:rsidP="00D965ED">
            <w:pPr>
              <w:rPr>
                <w:rFonts w:eastAsia="Times New Roman" w:cs="Times New Roman"/>
                <w:sz w:val="20"/>
                <w:szCs w:val="20"/>
                <w:lang w:val="en-GB" w:eastAsia="sl-SI"/>
              </w:rPr>
            </w:pPr>
            <w:bookmarkStart w:id="5" w:name="_Hlk182900078"/>
            <w:r w:rsidRPr="001560D9">
              <w:rPr>
                <w:rFonts w:eastAsia="Times New Roman" w:cs="Times New Roman"/>
                <w:sz w:val="20"/>
                <w:szCs w:val="20"/>
                <w:lang w:val="en-GB" w:eastAsia="sl-SI"/>
              </w:rPr>
              <w:t>Distance measure</w:t>
            </w:r>
          </w:p>
        </w:tc>
        <w:tc>
          <w:tcPr>
            <w:tcW w:w="5180" w:type="dxa"/>
            <w:vMerge w:val="restart"/>
            <w:tcBorders>
              <w:top w:val="single" w:sz="4" w:space="0" w:color="auto"/>
              <w:left w:val="nil"/>
              <w:bottom w:val="single" w:sz="4" w:space="0" w:color="000000"/>
              <w:right w:val="nil"/>
            </w:tcBorders>
            <w:noWrap/>
            <w:vAlign w:val="bottom"/>
            <w:hideMark/>
          </w:tcPr>
          <w:p w14:paraId="164C17E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Between fractions </w:t>
            </w:r>
          </w:p>
        </w:tc>
        <w:tc>
          <w:tcPr>
            <w:tcW w:w="2100" w:type="dxa"/>
            <w:gridSpan w:val="2"/>
            <w:tcBorders>
              <w:top w:val="single" w:sz="4" w:space="0" w:color="auto"/>
              <w:left w:val="nil"/>
              <w:bottom w:val="single" w:sz="4" w:space="0" w:color="auto"/>
              <w:right w:val="nil"/>
            </w:tcBorders>
            <w:vAlign w:val="bottom"/>
            <w:hideMark/>
          </w:tcPr>
          <w:p w14:paraId="003DDDDA"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p-value  </w:t>
            </w:r>
          </w:p>
        </w:tc>
      </w:tr>
      <w:tr w:rsidR="001560D9" w:rsidRPr="00511463" w14:paraId="4125DC54" w14:textId="77777777" w:rsidTr="001560D9">
        <w:trPr>
          <w:trHeight w:val="57"/>
          <w:tblHeader/>
        </w:trPr>
        <w:tc>
          <w:tcPr>
            <w:tcW w:w="1120" w:type="dxa"/>
            <w:vMerge/>
            <w:tcBorders>
              <w:top w:val="single" w:sz="4" w:space="0" w:color="auto"/>
              <w:left w:val="nil"/>
              <w:bottom w:val="single" w:sz="4" w:space="0" w:color="000000"/>
              <w:right w:val="nil"/>
            </w:tcBorders>
            <w:vAlign w:val="center"/>
            <w:hideMark/>
          </w:tcPr>
          <w:p w14:paraId="746B7903" w14:textId="77777777" w:rsidR="001560D9" w:rsidRPr="001560D9" w:rsidRDefault="001560D9" w:rsidP="00D965ED">
            <w:pPr>
              <w:rPr>
                <w:rFonts w:eastAsia="Times New Roman" w:cs="Times New Roman"/>
                <w:sz w:val="20"/>
                <w:szCs w:val="20"/>
                <w:lang w:val="en-GB" w:eastAsia="sl-SI"/>
              </w:rPr>
            </w:pPr>
          </w:p>
        </w:tc>
        <w:tc>
          <w:tcPr>
            <w:tcW w:w="5180" w:type="dxa"/>
            <w:vMerge/>
            <w:tcBorders>
              <w:top w:val="single" w:sz="4" w:space="0" w:color="auto"/>
              <w:left w:val="nil"/>
              <w:bottom w:val="single" w:sz="4" w:space="0" w:color="000000"/>
              <w:right w:val="nil"/>
            </w:tcBorders>
            <w:vAlign w:val="center"/>
            <w:hideMark/>
          </w:tcPr>
          <w:p w14:paraId="5A0E55C9" w14:textId="77777777" w:rsidR="001560D9" w:rsidRPr="001560D9" w:rsidRDefault="001560D9" w:rsidP="00D965ED">
            <w:pPr>
              <w:rPr>
                <w:rFonts w:eastAsia="Times New Roman" w:cs="Times New Roman"/>
                <w:sz w:val="20"/>
                <w:szCs w:val="20"/>
                <w:lang w:val="en-GB" w:eastAsia="sl-SI"/>
              </w:rPr>
            </w:pPr>
          </w:p>
        </w:tc>
        <w:tc>
          <w:tcPr>
            <w:tcW w:w="1060" w:type="dxa"/>
            <w:tcBorders>
              <w:top w:val="nil"/>
              <w:left w:val="nil"/>
              <w:bottom w:val="single" w:sz="4" w:space="0" w:color="auto"/>
              <w:right w:val="nil"/>
            </w:tcBorders>
            <w:vAlign w:val="bottom"/>
            <w:hideMark/>
          </w:tcPr>
          <w:p w14:paraId="72FDD6DC"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Inter</w:t>
            </w:r>
          </w:p>
          <w:p w14:paraId="0F28A3C5"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individuals </w:t>
            </w:r>
          </w:p>
        </w:tc>
        <w:tc>
          <w:tcPr>
            <w:tcW w:w="1040" w:type="dxa"/>
            <w:tcBorders>
              <w:top w:val="nil"/>
              <w:left w:val="nil"/>
              <w:bottom w:val="single" w:sz="4" w:space="0" w:color="auto"/>
              <w:right w:val="nil"/>
            </w:tcBorders>
            <w:vAlign w:val="bottom"/>
            <w:hideMark/>
          </w:tcPr>
          <w:p w14:paraId="251F7B22"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Intra</w:t>
            </w:r>
          </w:p>
          <w:p w14:paraId="43C39487"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individuals </w:t>
            </w:r>
          </w:p>
        </w:tc>
      </w:tr>
      <w:tr w:rsidR="001560D9" w:rsidRPr="00511463" w14:paraId="46AD7BAB" w14:textId="77777777" w:rsidTr="001560D9">
        <w:trPr>
          <w:trHeight w:val="57"/>
        </w:trPr>
        <w:tc>
          <w:tcPr>
            <w:tcW w:w="1120" w:type="dxa"/>
            <w:vMerge w:val="restart"/>
            <w:tcBorders>
              <w:top w:val="nil"/>
              <w:left w:val="nil"/>
              <w:bottom w:val="single" w:sz="4" w:space="0" w:color="000000"/>
              <w:right w:val="nil"/>
            </w:tcBorders>
            <w:noWrap/>
            <w:hideMark/>
          </w:tcPr>
          <w:p w14:paraId="648261D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Bray-Curtis</w:t>
            </w:r>
          </w:p>
        </w:tc>
        <w:tc>
          <w:tcPr>
            <w:tcW w:w="5180" w:type="dxa"/>
            <w:tcBorders>
              <w:top w:val="nil"/>
              <w:left w:val="nil"/>
              <w:bottom w:val="nil"/>
              <w:right w:val="nil"/>
            </w:tcBorders>
            <w:noWrap/>
            <w:vAlign w:val="bottom"/>
            <w:hideMark/>
          </w:tcPr>
          <w:p w14:paraId="78EFB74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1F57715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0 </w:t>
            </w:r>
          </w:p>
        </w:tc>
        <w:tc>
          <w:tcPr>
            <w:tcW w:w="1040" w:type="dxa"/>
            <w:tcBorders>
              <w:top w:val="nil"/>
              <w:left w:val="nil"/>
              <w:bottom w:val="nil"/>
              <w:right w:val="nil"/>
            </w:tcBorders>
            <w:noWrap/>
            <w:vAlign w:val="bottom"/>
          </w:tcPr>
          <w:p w14:paraId="78A4005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7.7e-195</w:t>
            </w:r>
          </w:p>
        </w:tc>
      </w:tr>
      <w:tr w:rsidR="001560D9" w:rsidRPr="00511463" w14:paraId="64DCF2DC" w14:textId="77777777" w:rsidTr="001560D9">
        <w:trPr>
          <w:trHeight w:val="57"/>
        </w:trPr>
        <w:tc>
          <w:tcPr>
            <w:tcW w:w="1120" w:type="dxa"/>
            <w:vMerge/>
            <w:tcBorders>
              <w:top w:val="nil"/>
              <w:left w:val="nil"/>
              <w:bottom w:val="single" w:sz="4" w:space="0" w:color="000000"/>
              <w:right w:val="nil"/>
            </w:tcBorders>
            <w:vAlign w:val="center"/>
            <w:hideMark/>
          </w:tcPr>
          <w:p w14:paraId="086E315B"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0668288F"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64E8A7C6"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4C794F1D"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2e-19</w:t>
            </w:r>
          </w:p>
        </w:tc>
      </w:tr>
      <w:tr w:rsidR="001560D9" w:rsidRPr="00511463" w14:paraId="2575DA0A" w14:textId="77777777" w:rsidTr="001560D9">
        <w:trPr>
          <w:trHeight w:val="57"/>
        </w:trPr>
        <w:tc>
          <w:tcPr>
            <w:tcW w:w="1120" w:type="dxa"/>
            <w:vMerge/>
            <w:tcBorders>
              <w:top w:val="nil"/>
              <w:left w:val="nil"/>
              <w:bottom w:val="single" w:sz="4" w:space="0" w:color="000000"/>
              <w:right w:val="nil"/>
            </w:tcBorders>
            <w:vAlign w:val="center"/>
            <w:hideMark/>
          </w:tcPr>
          <w:p w14:paraId="0B5DCE46"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8BEF992"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41791AF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5E0CA07E"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1e-65</w:t>
            </w:r>
          </w:p>
        </w:tc>
      </w:tr>
      <w:tr w:rsidR="001560D9" w:rsidRPr="00511463" w14:paraId="4A121451" w14:textId="77777777" w:rsidTr="001560D9">
        <w:trPr>
          <w:trHeight w:val="57"/>
        </w:trPr>
        <w:tc>
          <w:tcPr>
            <w:tcW w:w="1120" w:type="dxa"/>
            <w:vMerge/>
            <w:tcBorders>
              <w:top w:val="nil"/>
              <w:left w:val="nil"/>
              <w:bottom w:val="single" w:sz="4" w:space="0" w:color="000000"/>
              <w:right w:val="nil"/>
            </w:tcBorders>
            <w:vAlign w:val="center"/>
            <w:hideMark/>
          </w:tcPr>
          <w:p w14:paraId="353A8A6C"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1DD3471"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3E31996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FD71A21"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2.2e-10</w:t>
            </w:r>
          </w:p>
        </w:tc>
      </w:tr>
      <w:tr w:rsidR="001560D9" w:rsidRPr="00511463" w14:paraId="0272181B" w14:textId="77777777" w:rsidTr="001560D9">
        <w:trPr>
          <w:trHeight w:val="57"/>
        </w:trPr>
        <w:tc>
          <w:tcPr>
            <w:tcW w:w="1120" w:type="dxa"/>
            <w:vMerge/>
            <w:tcBorders>
              <w:top w:val="nil"/>
              <w:left w:val="nil"/>
              <w:bottom w:val="single" w:sz="4" w:space="0" w:color="000000"/>
              <w:right w:val="nil"/>
            </w:tcBorders>
            <w:vAlign w:val="center"/>
            <w:hideMark/>
          </w:tcPr>
          <w:p w14:paraId="32A24756"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169774E7"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4B6C806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1e-20</w:t>
            </w:r>
          </w:p>
        </w:tc>
        <w:tc>
          <w:tcPr>
            <w:tcW w:w="1040" w:type="dxa"/>
            <w:tcBorders>
              <w:top w:val="nil"/>
              <w:left w:val="nil"/>
              <w:bottom w:val="nil"/>
              <w:right w:val="nil"/>
            </w:tcBorders>
            <w:noWrap/>
            <w:vAlign w:val="bottom"/>
          </w:tcPr>
          <w:p w14:paraId="1C87025B"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1e-60</w:t>
            </w:r>
          </w:p>
        </w:tc>
      </w:tr>
      <w:tr w:rsidR="001560D9" w:rsidRPr="00511463" w14:paraId="284A8B95" w14:textId="77777777" w:rsidTr="001560D9">
        <w:trPr>
          <w:trHeight w:val="57"/>
        </w:trPr>
        <w:tc>
          <w:tcPr>
            <w:tcW w:w="1120" w:type="dxa"/>
            <w:vMerge/>
            <w:tcBorders>
              <w:top w:val="nil"/>
              <w:left w:val="nil"/>
              <w:bottom w:val="single" w:sz="4" w:space="0" w:color="000000"/>
              <w:right w:val="nil"/>
            </w:tcBorders>
            <w:vAlign w:val="center"/>
            <w:hideMark/>
          </w:tcPr>
          <w:p w14:paraId="6E137C61"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7C977465"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595951D5"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52A53E0E"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4e-31</w:t>
            </w:r>
          </w:p>
        </w:tc>
      </w:tr>
      <w:tr w:rsidR="001560D9" w:rsidRPr="00511463" w14:paraId="24A9081F" w14:textId="77777777" w:rsidTr="001560D9">
        <w:trPr>
          <w:trHeight w:val="57"/>
        </w:trPr>
        <w:tc>
          <w:tcPr>
            <w:tcW w:w="1120" w:type="dxa"/>
            <w:vMerge w:val="restart"/>
            <w:tcBorders>
              <w:top w:val="nil"/>
              <w:left w:val="nil"/>
              <w:bottom w:val="single" w:sz="4" w:space="0" w:color="000000"/>
              <w:right w:val="nil"/>
            </w:tcBorders>
            <w:noWrap/>
            <w:hideMark/>
          </w:tcPr>
          <w:p w14:paraId="4ED9AD91"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Jaccard</w:t>
            </w:r>
          </w:p>
        </w:tc>
        <w:tc>
          <w:tcPr>
            <w:tcW w:w="5180" w:type="dxa"/>
            <w:tcBorders>
              <w:top w:val="nil"/>
              <w:left w:val="nil"/>
              <w:bottom w:val="nil"/>
              <w:right w:val="nil"/>
            </w:tcBorders>
            <w:noWrap/>
            <w:vAlign w:val="bottom"/>
            <w:hideMark/>
          </w:tcPr>
          <w:p w14:paraId="0FE476BC"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4AABC2B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3A59DE11"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2e-197</w:t>
            </w:r>
          </w:p>
        </w:tc>
      </w:tr>
      <w:tr w:rsidR="001560D9" w:rsidRPr="00511463" w14:paraId="6CA16D92" w14:textId="77777777" w:rsidTr="001560D9">
        <w:trPr>
          <w:trHeight w:val="57"/>
        </w:trPr>
        <w:tc>
          <w:tcPr>
            <w:tcW w:w="1120" w:type="dxa"/>
            <w:vMerge/>
            <w:tcBorders>
              <w:top w:val="nil"/>
              <w:left w:val="nil"/>
              <w:bottom w:val="single" w:sz="4" w:space="0" w:color="000000"/>
              <w:right w:val="nil"/>
            </w:tcBorders>
            <w:vAlign w:val="center"/>
            <w:hideMark/>
          </w:tcPr>
          <w:p w14:paraId="03A94DDB"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111C6DB4"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0AA94D2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1C00FAC7"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1e-23</w:t>
            </w:r>
          </w:p>
        </w:tc>
      </w:tr>
      <w:tr w:rsidR="001560D9" w:rsidRPr="00511463" w14:paraId="679F405C" w14:textId="77777777" w:rsidTr="001560D9">
        <w:trPr>
          <w:trHeight w:val="57"/>
        </w:trPr>
        <w:tc>
          <w:tcPr>
            <w:tcW w:w="1120" w:type="dxa"/>
            <w:vMerge/>
            <w:tcBorders>
              <w:top w:val="nil"/>
              <w:left w:val="nil"/>
              <w:bottom w:val="single" w:sz="4" w:space="0" w:color="000000"/>
              <w:right w:val="nil"/>
            </w:tcBorders>
            <w:vAlign w:val="center"/>
            <w:hideMark/>
          </w:tcPr>
          <w:p w14:paraId="07F56C9C"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6D5445CE"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5506E55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49873CD"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3e-61</w:t>
            </w:r>
          </w:p>
        </w:tc>
      </w:tr>
      <w:tr w:rsidR="001560D9" w:rsidRPr="00511463" w14:paraId="28D35C60" w14:textId="77777777" w:rsidTr="001560D9">
        <w:trPr>
          <w:trHeight w:val="57"/>
        </w:trPr>
        <w:tc>
          <w:tcPr>
            <w:tcW w:w="1120" w:type="dxa"/>
            <w:vMerge/>
            <w:tcBorders>
              <w:top w:val="nil"/>
              <w:left w:val="nil"/>
              <w:bottom w:val="single" w:sz="4" w:space="0" w:color="000000"/>
              <w:right w:val="nil"/>
            </w:tcBorders>
            <w:vAlign w:val="center"/>
            <w:hideMark/>
          </w:tcPr>
          <w:p w14:paraId="6374EECC"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17F9FF1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6CBC26A4"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923432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1e-6</w:t>
            </w:r>
          </w:p>
        </w:tc>
      </w:tr>
      <w:tr w:rsidR="001560D9" w:rsidRPr="00511463" w14:paraId="69479B6A" w14:textId="77777777" w:rsidTr="001560D9">
        <w:trPr>
          <w:trHeight w:val="57"/>
        </w:trPr>
        <w:tc>
          <w:tcPr>
            <w:tcW w:w="1120" w:type="dxa"/>
            <w:vMerge/>
            <w:tcBorders>
              <w:top w:val="nil"/>
              <w:left w:val="nil"/>
              <w:bottom w:val="single" w:sz="4" w:space="0" w:color="000000"/>
              <w:right w:val="nil"/>
            </w:tcBorders>
            <w:vAlign w:val="center"/>
            <w:hideMark/>
          </w:tcPr>
          <w:p w14:paraId="4F8B8D5D"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37BB155B"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1F2F257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0.01</w:t>
            </w:r>
          </w:p>
        </w:tc>
        <w:tc>
          <w:tcPr>
            <w:tcW w:w="1040" w:type="dxa"/>
            <w:tcBorders>
              <w:top w:val="nil"/>
              <w:left w:val="nil"/>
              <w:bottom w:val="nil"/>
              <w:right w:val="nil"/>
            </w:tcBorders>
            <w:noWrap/>
            <w:vAlign w:val="bottom"/>
          </w:tcPr>
          <w:p w14:paraId="6EBD252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1e-56</w:t>
            </w:r>
          </w:p>
        </w:tc>
      </w:tr>
      <w:tr w:rsidR="001560D9" w:rsidRPr="00511463" w14:paraId="4305572D" w14:textId="77777777" w:rsidTr="001560D9">
        <w:trPr>
          <w:trHeight w:val="57"/>
        </w:trPr>
        <w:tc>
          <w:tcPr>
            <w:tcW w:w="1120" w:type="dxa"/>
            <w:vMerge/>
            <w:tcBorders>
              <w:top w:val="nil"/>
              <w:left w:val="nil"/>
              <w:bottom w:val="single" w:sz="4" w:space="0" w:color="000000"/>
              <w:right w:val="nil"/>
            </w:tcBorders>
            <w:vAlign w:val="center"/>
            <w:hideMark/>
          </w:tcPr>
          <w:p w14:paraId="7B2225B8"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680DF97B"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7B28C46A"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66040374"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5e-38</w:t>
            </w:r>
          </w:p>
        </w:tc>
      </w:tr>
      <w:bookmarkEnd w:id="5"/>
    </w:tbl>
    <w:p w14:paraId="3EEE319D" w14:textId="77777777" w:rsidR="001560D9" w:rsidRPr="00511463" w:rsidRDefault="001560D9" w:rsidP="001560D9">
      <w:pPr>
        <w:rPr>
          <w:b/>
          <w:lang w:val="en-GB"/>
        </w:rPr>
      </w:pPr>
    </w:p>
    <w:p w14:paraId="52F22CD3" w14:textId="77777777" w:rsidR="001560D9" w:rsidRPr="00511463" w:rsidRDefault="001560D9" w:rsidP="001560D9">
      <w:pPr>
        <w:rPr>
          <w:lang w:val="en-GB"/>
        </w:rPr>
      </w:pPr>
      <w:r w:rsidRPr="00511463">
        <w:rPr>
          <w:b/>
          <w:lang w:val="en-GB"/>
        </w:rPr>
        <w:t>Supplement Table 2:</w:t>
      </w:r>
      <w:r w:rsidRPr="00511463">
        <w:rPr>
          <w:lang w:val="en-GB"/>
        </w:rPr>
        <w:t xml:space="preserve"> Pearson’s correlation values and p-values between median distance and time spans between an individual’s fractions. Significance is denoted as: * 0.05 – 0.01, **0.01 – 0.001 and *** &lt; 0.001. </w:t>
      </w:r>
    </w:p>
    <w:tbl>
      <w:tblPr>
        <w:tblW w:w="9072" w:type="dxa"/>
        <w:tblCellMar>
          <w:left w:w="70" w:type="dxa"/>
          <w:right w:w="70" w:type="dxa"/>
        </w:tblCellMar>
        <w:tblLook w:val="04A0" w:firstRow="1" w:lastRow="0" w:firstColumn="1" w:lastColumn="0" w:noHBand="0" w:noVBand="1"/>
      </w:tblPr>
      <w:tblGrid>
        <w:gridCol w:w="2410"/>
        <w:gridCol w:w="3260"/>
        <w:gridCol w:w="2127"/>
        <w:gridCol w:w="1275"/>
      </w:tblGrid>
      <w:tr w:rsidR="001560D9" w:rsidRPr="00511463" w14:paraId="19E944B1" w14:textId="77777777" w:rsidTr="001560D9">
        <w:trPr>
          <w:trHeight w:val="20"/>
          <w:tblHeader/>
        </w:trPr>
        <w:tc>
          <w:tcPr>
            <w:tcW w:w="2410" w:type="dxa"/>
            <w:tcBorders>
              <w:top w:val="single" w:sz="8" w:space="0" w:color="auto"/>
              <w:left w:val="nil"/>
              <w:bottom w:val="single" w:sz="8" w:space="0" w:color="auto"/>
              <w:right w:val="nil"/>
            </w:tcBorders>
            <w:noWrap/>
            <w:vAlign w:val="bottom"/>
            <w:hideMark/>
          </w:tcPr>
          <w:p w14:paraId="2FAE7DDC" w14:textId="77777777" w:rsidR="001560D9" w:rsidRPr="001560D9" w:rsidRDefault="001560D9" w:rsidP="00D965ED">
            <w:pPr>
              <w:rPr>
                <w:rFonts w:eastAsia="Times New Roman" w:cs="Times New Roman"/>
                <w:color w:val="000000"/>
                <w:sz w:val="20"/>
                <w:szCs w:val="20"/>
                <w:lang w:val="en-GB" w:eastAsia="sl-SI"/>
              </w:rPr>
            </w:pPr>
            <w:bookmarkStart w:id="6" w:name="_Hlk182900088"/>
            <w:r w:rsidRPr="001560D9">
              <w:rPr>
                <w:rFonts w:eastAsia="Times New Roman" w:cs="Times New Roman"/>
                <w:color w:val="000000"/>
                <w:sz w:val="20"/>
                <w:szCs w:val="20"/>
                <w:lang w:val="en-GB" w:eastAsia="sl-SI"/>
              </w:rPr>
              <w:t>Distance measure</w:t>
            </w:r>
          </w:p>
        </w:tc>
        <w:tc>
          <w:tcPr>
            <w:tcW w:w="3260" w:type="dxa"/>
            <w:tcBorders>
              <w:top w:val="single" w:sz="8" w:space="0" w:color="auto"/>
              <w:left w:val="nil"/>
              <w:bottom w:val="single" w:sz="8" w:space="0" w:color="auto"/>
              <w:right w:val="nil"/>
            </w:tcBorders>
            <w:noWrap/>
            <w:vAlign w:val="bottom"/>
            <w:hideMark/>
          </w:tcPr>
          <w:p w14:paraId="541F2747"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Fraction</w:t>
            </w:r>
          </w:p>
        </w:tc>
        <w:tc>
          <w:tcPr>
            <w:tcW w:w="2127" w:type="dxa"/>
            <w:tcBorders>
              <w:top w:val="single" w:sz="8" w:space="0" w:color="auto"/>
              <w:left w:val="nil"/>
              <w:bottom w:val="single" w:sz="8" w:space="0" w:color="auto"/>
              <w:right w:val="nil"/>
            </w:tcBorders>
            <w:vAlign w:val="bottom"/>
            <w:hideMark/>
          </w:tcPr>
          <w:p w14:paraId="4A32BE23"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Pearson's correlation </w:t>
            </w:r>
          </w:p>
        </w:tc>
        <w:tc>
          <w:tcPr>
            <w:tcW w:w="1275" w:type="dxa"/>
            <w:tcBorders>
              <w:top w:val="single" w:sz="8" w:space="0" w:color="auto"/>
              <w:left w:val="nil"/>
              <w:bottom w:val="single" w:sz="8" w:space="0" w:color="auto"/>
              <w:right w:val="nil"/>
            </w:tcBorders>
            <w:noWrap/>
            <w:vAlign w:val="bottom"/>
            <w:hideMark/>
          </w:tcPr>
          <w:p w14:paraId="17B51B6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p-value</w:t>
            </w:r>
          </w:p>
        </w:tc>
      </w:tr>
      <w:tr w:rsidR="001560D9" w:rsidRPr="00511463" w14:paraId="7BB4DD9F" w14:textId="77777777" w:rsidTr="001560D9">
        <w:trPr>
          <w:trHeight w:val="20"/>
        </w:trPr>
        <w:tc>
          <w:tcPr>
            <w:tcW w:w="2410" w:type="dxa"/>
            <w:tcBorders>
              <w:top w:val="nil"/>
              <w:left w:val="nil"/>
              <w:bottom w:val="nil"/>
              <w:right w:val="nil"/>
            </w:tcBorders>
            <w:noWrap/>
            <w:vAlign w:val="bottom"/>
            <w:hideMark/>
          </w:tcPr>
          <w:p w14:paraId="24FD00F6"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Bray-Curtis</w:t>
            </w:r>
          </w:p>
        </w:tc>
        <w:tc>
          <w:tcPr>
            <w:tcW w:w="3260" w:type="dxa"/>
            <w:tcBorders>
              <w:top w:val="nil"/>
              <w:left w:val="nil"/>
              <w:bottom w:val="nil"/>
              <w:right w:val="nil"/>
            </w:tcBorders>
            <w:noWrap/>
            <w:vAlign w:val="bottom"/>
            <w:hideMark/>
          </w:tcPr>
          <w:p w14:paraId="191A9BDC"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tcPr>
          <w:p w14:paraId="2CDA0D2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0.161</w:t>
            </w:r>
          </w:p>
        </w:tc>
        <w:tc>
          <w:tcPr>
            <w:tcW w:w="1275" w:type="dxa"/>
            <w:tcBorders>
              <w:top w:val="nil"/>
              <w:left w:val="nil"/>
              <w:bottom w:val="nil"/>
              <w:right w:val="nil"/>
            </w:tcBorders>
            <w:noWrap/>
            <w:vAlign w:val="bottom"/>
          </w:tcPr>
          <w:p w14:paraId="44368C6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0.0625</w:t>
            </w:r>
          </w:p>
        </w:tc>
      </w:tr>
      <w:tr w:rsidR="001560D9" w:rsidRPr="00511463" w14:paraId="290470B3" w14:textId="77777777" w:rsidTr="001560D9">
        <w:trPr>
          <w:trHeight w:val="20"/>
        </w:trPr>
        <w:tc>
          <w:tcPr>
            <w:tcW w:w="2410" w:type="dxa"/>
            <w:tcBorders>
              <w:top w:val="nil"/>
              <w:left w:val="nil"/>
              <w:bottom w:val="nil"/>
              <w:right w:val="nil"/>
            </w:tcBorders>
            <w:noWrap/>
            <w:vAlign w:val="bottom"/>
            <w:hideMark/>
          </w:tcPr>
          <w:p w14:paraId="64A72248"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7ADB185E"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tcPr>
          <w:p w14:paraId="4242C3C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0.138</w:t>
            </w:r>
          </w:p>
        </w:tc>
        <w:tc>
          <w:tcPr>
            <w:tcW w:w="1275" w:type="dxa"/>
            <w:tcBorders>
              <w:top w:val="nil"/>
              <w:left w:val="nil"/>
              <w:bottom w:val="nil"/>
              <w:right w:val="nil"/>
            </w:tcBorders>
            <w:noWrap/>
            <w:vAlign w:val="bottom"/>
          </w:tcPr>
          <w:p w14:paraId="165DD6C1"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0.112</w:t>
            </w:r>
          </w:p>
        </w:tc>
      </w:tr>
      <w:tr w:rsidR="001560D9" w:rsidRPr="00511463" w14:paraId="1CA022F1" w14:textId="77777777" w:rsidTr="001560D9">
        <w:trPr>
          <w:trHeight w:val="20"/>
        </w:trPr>
        <w:tc>
          <w:tcPr>
            <w:tcW w:w="2410" w:type="dxa"/>
            <w:tcBorders>
              <w:top w:val="nil"/>
              <w:left w:val="nil"/>
              <w:bottom w:val="nil"/>
              <w:right w:val="nil"/>
            </w:tcBorders>
            <w:noWrap/>
            <w:vAlign w:val="bottom"/>
            <w:hideMark/>
          </w:tcPr>
          <w:p w14:paraId="2A643A8D"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6226FD8D"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tcPr>
          <w:p w14:paraId="0CD9EB4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0.066</w:t>
            </w:r>
          </w:p>
        </w:tc>
        <w:tc>
          <w:tcPr>
            <w:tcW w:w="1275" w:type="dxa"/>
            <w:tcBorders>
              <w:top w:val="nil"/>
              <w:left w:val="nil"/>
              <w:bottom w:val="nil"/>
              <w:right w:val="nil"/>
            </w:tcBorders>
            <w:noWrap/>
            <w:vAlign w:val="bottom"/>
          </w:tcPr>
          <w:p w14:paraId="1F22FF1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0.44</w:t>
            </w:r>
          </w:p>
        </w:tc>
      </w:tr>
      <w:tr w:rsidR="001560D9" w:rsidRPr="00511463" w14:paraId="6311AB69" w14:textId="77777777" w:rsidTr="001560D9">
        <w:trPr>
          <w:trHeight w:val="20"/>
        </w:trPr>
        <w:tc>
          <w:tcPr>
            <w:tcW w:w="2410" w:type="dxa"/>
            <w:tcBorders>
              <w:top w:val="nil"/>
              <w:left w:val="nil"/>
              <w:bottom w:val="single" w:sz="4" w:space="0" w:color="auto"/>
              <w:right w:val="nil"/>
            </w:tcBorders>
            <w:noWrap/>
            <w:vAlign w:val="bottom"/>
            <w:hideMark/>
          </w:tcPr>
          <w:p w14:paraId="46694361"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4F4AB32F"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tcPr>
          <w:p w14:paraId="7FC8EED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-0.076</w:t>
            </w:r>
          </w:p>
        </w:tc>
        <w:tc>
          <w:tcPr>
            <w:tcW w:w="1275" w:type="dxa"/>
            <w:tcBorders>
              <w:top w:val="nil"/>
              <w:left w:val="nil"/>
              <w:bottom w:val="single" w:sz="4" w:space="0" w:color="auto"/>
              <w:right w:val="nil"/>
            </w:tcBorders>
            <w:noWrap/>
            <w:vAlign w:val="bottom"/>
          </w:tcPr>
          <w:p w14:paraId="5A7F5CA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0.38</w:t>
            </w:r>
          </w:p>
        </w:tc>
      </w:tr>
      <w:tr w:rsidR="001560D9" w:rsidRPr="00511463" w14:paraId="7D025881" w14:textId="77777777" w:rsidTr="001560D9">
        <w:trPr>
          <w:trHeight w:val="20"/>
        </w:trPr>
        <w:tc>
          <w:tcPr>
            <w:tcW w:w="2410" w:type="dxa"/>
            <w:tcBorders>
              <w:top w:val="nil"/>
              <w:left w:val="nil"/>
              <w:bottom w:val="nil"/>
              <w:right w:val="nil"/>
            </w:tcBorders>
            <w:noWrap/>
            <w:vAlign w:val="bottom"/>
            <w:hideMark/>
          </w:tcPr>
          <w:p w14:paraId="37E9BEF3"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Jaccard</w:t>
            </w:r>
          </w:p>
        </w:tc>
        <w:tc>
          <w:tcPr>
            <w:tcW w:w="3260" w:type="dxa"/>
            <w:tcBorders>
              <w:top w:val="nil"/>
              <w:left w:val="nil"/>
              <w:bottom w:val="nil"/>
              <w:right w:val="nil"/>
            </w:tcBorders>
            <w:noWrap/>
            <w:vAlign w:val="bottom"/>
            <w:hideMark/>
          </w:tcPr>
          <w:p w14:paraId="1D4F480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hideMark/>
          </w:tcPr>
          <w:p w14:paraId="058AB63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0.179</w:t>
            </w:r>
          </w:p>
        </w:tc>
        <w:tc>
          <w:tcPr>
            <w:tcW w:w="1275" w:type="dxa"/>
            <w:tcBorders>
              <w:top w:val="nil"/>
              <w:left w:val="nil"/>
              <w:bottom w:val="nil"/>
              <w:right w:val="nil"/>
            </w:tcBorders>
            <w:noWrap/>
            <w:vAlign w:val="bottom"/>
            <w:hideMark/>
          </w:tcPr>
          <w:p w14:paraId="357C4F7E"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0.038 *</w:t>
            </w:r>
          </w:p>
        </w:tc>
      </w:tr>
      <w:tr w:rsidR="001560D9" w:rsidRPr="00511463" w14:paraId="0302DF29" w14:textId="77777777" w:rsidTr="001560D9">
        <w:trPr>
          <w:trHeight w:val="20"/>
        </w:trPr>
        <w:tc>
          <w:tcPr>
            <w:tcW w:w="2410" w:type="dxa"/>
            <w:tcBorders>
              <w:top w:val="nil"/>
              <w:left w:val="nil"/>
              <w:bottom w:val="nil"/>
              <w:right w:val="nil"/>
            </w:tcBorders>
            <w:noWrap/>
            <w:vAlign w:val="bottom"/>
            <w:hideMark/>
          </w:tcPr>
          <w:p w14:paraId="5E0A54DB"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4D66497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hideMark/>
          </w:tcPr>
          <w:p w14:paraId="681D80B8"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0.133</w:t>
            </w:r>
          </w:p>
        </w:tc>
        <w:tc>
          <w:tcPr>
            <w:tcW w:w="1275" w:type="dxa"/>
            <w:tcBorders>
              <w:top w:val="nil"/>
              <w:left w:val="nil"/>
              <w:bottom w:val="nil"/>
              <w:right w:val="nil"/>
            </w:tcBorders>
            <w:noWrap/>
            <w:vAlign w:val="bottom"/>
            <w:hideMark/>
          </w:tcPr>
          <w:p w14:paraId="4EE003E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0.12</w:t>
            </w:r>
          </w:p>
        </w:tc>
      </w:tr>
      <w:tr w:rsidR="001560D9" w:rsidRPr="00511463" w14:paraId="047C01BB" w14:textId="77777777" w:rsidTr="001560D9">
        <w:trPr>
          <w:trHeight w:val="20"/>
        </w:trPr>
        <w:tc>
          <w:tcPr>
            <w:tcW w:w="2410" w:type="dxa"/>
            <w:tcBorders>
              <w:top w:val="nil"/>
              <w:left w:val="nil"/>
              <w:bottom w:val="nil"/>
              <w:right w:val="nil"/>
            </w:tcBorders>
            <w:noWrap/>
            <w:vAlign w:val="bottom"/>
            <w:hideMark/>
          </w:tcPr>
          <w:p w14:paraId="2037CF62"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181BB1E1"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hideMark/>
          </w:tcPr>
          <w:p w14:paraId="7983D5F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0.077</w:t>
            </w:r>
          </w:p>
        </w:tc>
        <w:tc>
          <w:tcPr>
            <w:tcW w:w="1275" w:type="dxa"/>
            <w:tcBorders>
              <w:top w:val="nil"/>
              <w:left w:val="nil"/>
              <w:bottom w:val="nil"/>
              <w:right w:val="nil"/>
            </w:tcBorders>
            <w:noWrap/>
            <w:vAlign w:val="bottom"/>
            <w:hideMark/>
          </w:tcPr>
          <w:p w14:paraId="51B4144F"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0.37</w:t>
            </w:r>
          </w:p>
        </w:tc>
      </w:tr>
      <w:tr w:rsidR="001560D9" w:rsidRPr="00511463" w14:paraId="11CCB04D" w14:textId="77777777" w:rsidTr="001560D9">
        <w:trPr>
          <w:trHeight w:val="20"/>
        </w:trPr>
        <w:tc>
          <w:tcPr>
            <w:tcW w:w="2410" w:type="dxa"/>
            <w:tcBorders>
              <w:top w:val="nil"/>
              <w:left w:val="nil"/>
              <w:bottom w:val="single" w:sz="4" w:space="0" w:color="auto"/>
              <w:right w:val="nil"/>
            </w:tcBorders>
            <w:noWrap/>
            <w:vAlign w:val="bottom"/>
            <w:hideMark/>
          </w:tcPr>
          <w:p w14:paraId="245B0D0C"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lastRenderedPageBreak/>
              <w:t> </w:t>
            </w:r>
          </w:p>
        </w:tc>
        <w:tc>
          <w:tcPr>
            <w:tcW w:w="3260" w:type="dxa"/>
            <w:tcBorders>
              <w:top w:val="nil"/>
              <w:left w:val="nil"/>
              <w:bottom w:val="single" w:sz="4" w:space="0" w:color="auto"/>
              <w:right w:val="nil"/>
            </w:tcBorders>
            <w:noWrap/>
            <w:vAlign w:val="bottom"/>
            <w:hideMark/>
          </w:tcPr>
          <w:p w14:paraId="54103BFB"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hideMark/>
          </w:tcPr>
          <w:p w14:paraId="0DD9F5FC"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-0.106</w:t>
            </w:r>
          </w:p>
        </w:tc>
        <w:tc>
          <w:tcPr>
            <w:tcW w:w="1275" w:type="dxa"/>
            <w:tcBorders>
              <w:top w:val="nil"/>
              <w:left w:val="nil"/>
              <w:bottom w:val="single" w:sz="4" w:space="0" w:color="auto"/>
              <w:right w:val="nil"/>
            </w:tcBorders>
            <w:noWrap/>
            <w:vAlign w:val="bottom"/>
            <w:hideMark/>
          </w:tcPr>
          <w:p w14:paraId="7DBE8A4D"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0.22</w:t>
            </w:r>
          </w:p>
        </w:tc>
      </w:tr>
      <w:bookmarkEnd w:id="6"/>
    </w:tbl>
    <w:p w14:paraId="7494250E" w14:textId="77777777" w:rsidR="001560D9" w:rsidRPr="00511463" w:rsidRDefault="001560D9" w:rsidP="001560D9">
      <w:pPr>
        <w:rPr>
          <w:lang w:val="en-GB"/>
        </w:rPr>
      </w:pPr>
    </w:p>
    <w:p w14:paraId="04BCC2F0" w14:textId="77777777" w:rsidR="001560D9" w:rsidRDefault="001560D9" w:rsidP="001560D9">
      <w:pPr>
        <w:rPr>
          <w:rFonts w:cs="Times New Roman"/>
          <w:lang w:val="en-GB"/>
        </w:rPr>
      </w:pPr>
    </w:p>
    <w:p w14:paraId="2CB8CF90" w14:textId="66F29EA3" w:rsidR="001560D9" w:rsidRPr="00511463" w:rsidRDefault="001560D9" w:rsidP="001560D9">
      <w:pPr>
        <w:rPr>
          <w:rFonts w:cs="Times New Roman"/>
          <w:lang w:val="en-GB"/>
        </w:rPr>
      </w:pPr>
      <w:r w:rsidRPr="00511463">
        <w:rPr>
          <w:rFonts w:cs="Times New Roman"/>
          <w:lang w:val="en-GB"/>
        </w:rPr>
        <w:t xml:space="preserve">Ethanol shock is a known protocol for removal of vegetative cells as 70% ethanol damages the cell wall of all known bacteria in the human gut but does not damage spores and other ethanol resistant cell forms </w:t>
      </w:r>
      <w:r w:rsidRPr="00511463">
        <w:rPr>
          <w:rFonts w:cs="Times New Roman"/>
          <w:lang w:val="en-GB"/>
        </w:rPr>
        <w:fldChar w:fldCharType="begin"/>
      </w:r>
      <w:r w:rsidRPr="00511463">
        <w:rPr>
          <w:rFonts w:cs="Times New Roman"/>
          <w:lang w:val="en-GB"/>
        </w:rPr>
        <w:instrText xml:space="preserve"> ADDIN ZOTERO_ITEM CSL_CITATION {"citationID":"5gUnM6wz","properties":{"formattedCitation":"(Koransky et al., 1978)","plainCitation":"(Koransky et al., 1978)","noteIndex":0},"citationItems":[{"id":"Dxt6p0iq/PFx2CRlx","uris":["http://zotero.org/users/8873894/items/IPG97BYU"],"itemData":{"id":2951,"type":"article-journal","abstract":"When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microbiology","DOI":"10.1128/aem.35.4.762-765.1978","ISSN":"1098-5336","issue":"4","journalAbbreviation":"Appl Environ Microbiol","language":"eng","note":"PMID: 348108\nPMCID: PMC242919","page":"762-765","source":"Europe PMC","title":"Use of ethanol for selective isolation of sporeforming microorganisms","volume":"35","author":[{"family":"Koransky","given":"J R"},{"family":"Allen","given":"S D"},{"family":"Dowell","given":"V R"}],"issued":{"date-parts":[["1978",4,1]]}}}],"schema":"https://github.com/citation-style-language/schema/raw/master/csl-citation.json"} </w:instrText>
      </w:r>
      <w:r w:rsidRPr="00511463">
        <w:rPr>
          <w:rFonts w:cs="Times New Roman"/>
          <w:lang w:val="en-GB"/>
        </w:rPr>
        <w:fldChar w:fldCharType="separate"/>
      </w:r>
      <w:r w:rsidRPr="00511463">
        <w:rPr>
          <w:rFonts w:cs="Times New Roman"/>
          <w:lang w:val="en-GB"/>
        </w:rPr>
        <w:t>(Koransky et al., 1978)</w:t>
      </w:r>
      <w:r w:rsidRPr="00511463">
        <w:rPr>
          <w:rFonts w:cs="Times New Roman"/>
          <w:lang w:val="en-GB"/>
        </w:rPr>
        <w:fldChar w:fldCharType="end"/>
      </w:r>
      <w:r w:rsidRPr="00511463">
        <w:rPr>
          <w:rFonts w:cs="Times New Roman"/>
          <w:lang w:val="en-GB"/>
        </w:rPr>
        <w:t xml:space="preserve">. To obtain a normalized amount of each OTU in a sample, we measured the absolute amount of the 16S rRNA gene in each sample by performing digital droplet PCR with the same primers that were used for amplification of fragments later sequenced. Comparison of the relative abundance in the bulk microbiota sample and ethanol resistant sample of ethanol resistant OTUs revealed that these two quantities are, despite different isolation protocols positively correlated in ethanol resistant OTUs (Supplement Figure 3). The same holds true for normalized abundances (Supplement Figure 4). We could thus compare the proportion of active cells that are also creating endospores. The ratio gives us the information on the sporulation frequency of each OTU determined as endospore forming. </w:t>
      </w:r>
    </w:p>
    <w:p w14:paraId="48FF9FF4" w14:textId="77777777" w:rsidR="001560D9" w:rsidRPr="00511463" w:rsidRDefault="001560D9" w:rsidP="001560D9">
      <w:pPr>
        <w:rPr>
          <w:lang w:val="en-GB"/>
        </w:rPr>
      </w:pPr>
      <w:r w:rsidRPr="00511463">
        <w:rPr>
          <w:noProof/>
          <w:lang w:val="en-GB"/>
        </w:rPr>
        <w:drawing>
          <wp:inline distT="0" distB="0" distL="0" distR="0" wp14:anchorId="1BB35275" wp14:editId="230A4A53">
            <wp:extent cx="5715000" cy="3401500"/>
            <wp:effectExtent l="0" t="0" r="0" b="8890"/>
            <wp:docPr id="684548441" name="Picture 19"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48441" name="Picture 19" descr="A collage of graphs&#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1083" cy="3417024"/>
                    </a:xfrm>
                    <a:prstGeom prst="rect">
                      <a:avLst/>
                    </a:prstGeom>
                    <a:noFill/>
                    <a:ln>
                      <a:noFill/>
                    </a:ln>
                  </pic:spPr>
                </pic:pic>
              </a:graphicData>
            </a:graphic>
          </wp:inline>
        </w:drawing>
      </w:r>
    </w:p>
    <w:p w14:paraId="11A828EA" w14:textId="3FE948CA" w:rsidR="001560D9" w:rsidRPr="00511463" w:rsidRDefault="001560D9" w:rsidP="001560D9">
      <w:pPr>
        <w:rPr>
          <w:lang w:val="en-GB"/>
        </w:rPr>
      </w:pPr>
      <w:r w:rsidRPr="001560D9">
        <w:rPr>
          <w:bCs/>
          <w:lang w:val="en-GB"/>
        </w:rPr>
        <w:t>Supplement Figure 3</w:t>
      </w:r>
      <w:r>
        <w:rPr>
          <w:bCs/>
          <w:lang w:val="en-GB"/>
        </w:rPr>
        <w:t xml:space="preserve">. </w:t>
      </w:r>
      <w:r w:rsidRPr="00511463">
        <w:rPr>
          <w:lang w:val="en-GB"/>
        </w:rPr>
        <w:t>Relative abundance in ethanol resistant sample and relative abundance in microbiota sample are positively correlated (p-value for each individual Pearson’s correlation is plotted in the top left corner of the plot).</w:t>
      </w:r>
    </w:p>
    <w:p w14:paraId="7B36413E" w14:textId="77777777" w:rsidR="001560D9" w:rsidRPr="00511463" w:rsidRDefault="001560D9" w:rsidP="001560D9">
      <w:pPr>
        <w:rPr>
          <w:lang w:val="en-GB"/>
        </w:rPr>
      </w:pPr>
      <w:r w:rsidRPr="00511463">
        <w:rPr>
          <w:noProof/>
          <w:lang w:val="en-GB"/>
        </w:rPr>
        <w:lastRenderedPageBreak/>
        <w:drawing>
          <wp:inline distT="0" distB="0" distL="0" distR="0" wp14:anchorId="43D4F964" wp14:editId="592E9655">
            <wp:extent cx="5771072" cy="3434874"/>
            <wp:effectExtent l="0" t="0" r="1270" b="0"/>
            <wp:docPr id="786164319"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64319" name="Picture 18" descr="A screenshot of a graph&#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81182" cy="3440891"/>
                    </a:xfrm>
                    <a:prstGeom prst="rect">
                      <a:avLst/>
                    </a:prstGeom>
                    <a:noFill/>
                    <a:ln>
                      <a:noFill/>
                    </a:ln>
                  </pic:spPr>
                </pic:pic>
              </a:graphicData>
            </a:graphic>
          </wp:inline>
        </w:drawing>
      </w:r>
    </w:p>
    <w:p w14:paraId="6B71D61E" w14:textId="3578890B" w:rsidR="001560D9" w:rsidRPr="00511463" w:rsidRDefault="001560D9" w:rsidP="001560D9">
      <w:pPr>
        <w:rPr>
          <w:lang w:val="en-GB"/>
        </w:rPr>
      </w:pPr>
      <w:r w:rsidRPr="001560D9">
        <w:rPr>
          <w:bCs/>
          <w:lang w:val="en-GB"/>
        </w:rPr>
        <w:t>Supplement Figure 4</w:t>
      </w:r>
      <w:r>
        <w:rPr>
          <w:bCs/>
          <w:lang w:val="en-GB"/>
        </w:rPr>
        <w:t>.</w:t>
      </w:r>
      <w:r w:rsidRPr="00511463">
        <w:rPr>
          <w:lang w:val="en-GB"/>
        </w:rPr>
        <w:t xml:space="preserve"> Normalized abundance in ethanol resistant sample and normalized abundance in microbiota sample are positively correlated (p-value for each individual Pearson’s correlation is plotted in the bottom right corner of the plot).</w:t>
      </w:r>
    </w:p>
    <w:p w14:paraId="09301AA3" w14:textId="77777777" w:rsidR="001560D9" w:rsidRPr="00511463" w:rsidRDefault="001560D9" w:rsidP="001560D9">
      <w:pPr>
        <w:rPr>
          <w:lang w:val="en-GB"/>
        </w:rPr>
      </w:pPr>
      <w:r w:rsidRPr="00511463">
        <w:rPr>
          <w:noProof/>
          <w:lang w:val="en-GB"/>
        </w:rPr>
        <w:lastRenderedPageBreak/>
        <w:drawing>
          <wp:inline distT="0" distB="0" distL="0" distR="0" wp14:anchorId="58CD1BA4" wp14:editId="713682AB">
            <wp:extent cx="5762625" cy="5762625"/>
            <wp:effectExtent l="0" t="0" r="9525" b="9525"/>
            <wp:docPr id="1425564270" name="Picture 15" descr="A grid of blue and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64270" name="Picture 15" descr="A grid of blue and white squares&#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2625" cy="5762625"/>
                    </a:xfrm>
                    <a:prstGeom prst="rect">
                      <a:avLst/>
                    </a:prstGeom>
                    <a:noFill/>
                    <a:ln>
                      <a:noFill/>
                    </a:ln>
                  </pic:spPr>
                </pic:pic>
              </a:graphicData>
            </a:graphic>
          </wp:inline>
        </w:drawing>
      </w:r>
    </w:p>
    <w:p w14:paraId="157A9BAF" w14:textId="5E445D85" w:rsidR="001560D9" w:rsidRPr="00511463" w:rsidRDefault="001560D9" w:rsidP="001560D9">
      <w:pPr>
        <w:rPr>
          <w:lang w:val="en-GB"/>
        </w:rPr>
      </w:pPr>
      <w:bookmarkStart w:id="7" w:name="_Hlk178928286"/>
      <w:r w:rsidRPr="001560D9">
        <w:rPr>
          <w:bCs/>
          <w:lang w:val="en-GB"/>
        </w:rPr>
        <w:t>Supplement Figure 5</w:t>
      </w:r>
      <w:r>
        <w:rPr>
          <w:bCs/>
          <w:lang w:val="en-GB"/>
        </w:rPr>
        <w:t>.</w:t>
      </w:r>
      <w:r w:rsidRPr="00511463">
        <w:rPr>
          <w:lang w:val="en-GB"/>
        </w:rPr>
        <w:t xml:space="preserve"> Correlation of sporulation frequency between OTUs within individuals. Mostly OTUs of an individual are correlated within an individual, which point to host specific </w:t>
      </w:r>
      <w:bookmarkEnd w:id="7"/>
      <w:r w:rsidRPr="00511463">
        <w:rPr>
          <w:lang w:val="en-GB"/>
        </w:rPr>
        <w:t xml:space="preserve">sporulation frequency. </w:t>
      </w:r>
    </w:p>
    <w:p w14:paraId="3DE4DA8B" w14:textId="2022EB2A" w:rsidR="001560D9" w:rsidRDefault="001560D9" w:rsidP="00812F3D">
      <w:pPr>
        <w:rPr>
          <w:bCs/>
          <w:lang w:val="en-GB"/>
        </w:rPr>
      </w:pPr>
    </w:p>
    <w:p w14:paraId="434C39C2" w14:textId="62D55CC2" w:rsidR="009C4708" w:rsidRDefault="00705B17" w:rsidP="00812F3D">
      <w:pPr>
        <w:rPr>
          <w:bCs/>
          <w:lang w:val="en-GB"/>
        </w:rPr>
      </w:pPr>
      <w:r>
        <w:rPr>
          <w:bCs/>
          <w:noProof/>
          <w:lang w:val="en-GB"/>
        </w:rPr>
        <w:lastRenderedPageBreak/>
        <w:drawing>
          <wp:inline distT="0" distB="0" distL="0" distR="0" wp14:anchorId="2338EAA4" wp14:editId="640DD977">
            <wp:extent cx="5934710" cy="2398395"/>
            <wp:effectExtent l="0" t="0" r="8890" b="1905"/>
            <wp:docPr id="13093465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34710" cy="2398395"/>
                    </a:xfrm>
                    <a:prstGeom prst="rect">
                      <a:avLst/>
                    </a:prstGeom>
                    <a:noFill/>
                    <a:ln>
                      <a:noFill/>
                    </a:ln>
                  </pic:spPr>
                </pic:pic>
              </a:graphicData>
            </a:graphic>
          </wp:inline>
        </w:drawing>
      </w:r>
    </w:p>
    <w:p w14:paraId="20FD1EFB" w14:textId="3CD46641" w:rsidR="00DF1F48" w:rsidRDefault="00DF1F48" w:rsidP="00812F3D">
      <w:pPr>
        <w:rPr>
          <w:bCs/>
          <w:lang w:val="en-GB"/>
        </w:rPr>
      </w:pPr>
      <w:r>
        <w:rPr>
          <w:bCs/>
          <w:lang w:val="en-GB"/>
        </w:rPr>
        <w:t xml:space="preserve">Supplement Figure 6. </w:t>
      </w:r>
      <w:r w:rsidR="00705B17">
        <w:rPr>
          <w:bCs/>
          <w:lang w:val="en-GB"/>
        </w:rPr>
        <w:t xml:space="preserve">Taxonomy of ARGs, left the number of unique ARGs </w:t>
      </w:r>
    </w:p>
    <w:p w14:paraId="5D1F8F3F" w14:textId="77777777" w:rsidR="00705B17" w:rsidRDefault="00705B17" w:rsidP="00812F3D">
      <w:pPr>
        <w:rPr>
          <w:bCs/>
          <w:lang w:val="en-GB"/>
        </w:rPr>
      </w:pPr>
    </w:p>
    <w:p w14:paraId="16273C64" w14:textId="4D5559D2" w:rsidR="00E97C31" w:rsidRDefault="00E97C31" w:rsidP="00812F3D">
      <w:pPr>
        <w:rPr>
          <w:bCs/>
          <w:lang w:val="en-GB"/>
        </w:rPr>
      </w:pPr>
      <w:r>
        <w:rPr>
          <w:bCs/>
          <w:noProof/>
          <w:lang w:val="en-GB"/>
        </w:rPr>
        <w:drawing>
          <wp:inline distT="0" distB="0" distL="0" distR="0" wp14:anchorId="7B32634F" wp14:editId="7871AF30">
            <wp:extent cx="5934710" cy="4157980"/>
            <wp:effectExtent l="0" t="0" r="8890" b="0"/>
            <wp:docPr id="15683921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4710" cy="4157980"/>
                    </a:xfrm>
                    <a:prstGeom prst="rect">
                      <a:avLst/>
                    </a:prstGeom>
                    <a:noFill/>
                    <a:ln>
                      <a:noFill/>
                    </a:ln>
                  </pic:spPr>
                </pic:pic>
              </a:graphicData>
            </a:graphic>
          </wp:inline>
        </w:drawing>
      </w:r>
    </w:p>
    <w:p w14:paraId="56C3849F" w14:textId="62A0848E" w:rsidR="00882270" w:rsidRDefault="00882270" w:rsidP="00812F3D">
      <w:pPr>
        <w:rPr>
          <w:bCs/>
          <w:lang w:val="en-GB"/>
        </w:rPr>
      </w:pPr>
      <w:r>
        <w:rPr>
          <w:bCs/>
          <w:lang w:val="en-GB"/>
        </w:rPr>
        <w:t xml:space="preserve">Supplement Figure 7. </w:t>
      </w:r>
      <w:r w:rsidR="00E97C31">
        <w:rPr>
          <w:bCs/>
          <w:lang w:val="en-GB"/>
        </w:rPr>
        <w:t xml:space="preserve">Correlation between diversity of bacterial species in a sample and richness of class of ARGs. </w:t>
      </w:r>
    </w:p>
    <w:p w14:paraId="5573340E" w14:textId="01B84466" w:rsidR="00E97C31" w:rsidRDefault="00E97C31" w:rsidP="00812F3D">
      <w:pPr>
        <w:rPr>
          <w:bCs/>
          <w:lang w:val="en-GB"/>
        </w:rPr>
      </w:pPr>
      <w:r>
        <w:rPr>
          <w:bCs/>
          <w:noProof/>
          <w:lang w:val="en-GB"/>
        </w:rPr>
        <w:lastRenderedPageBreak/>
        <w:drawing>
          <wp:inline distT="0" distB="0" distL="0" distR="0" wp14:anchorId="452D79C3" wp14:editId="7AFDDF6F">
            <wp:extent cx="5934710" cy="4157980"/>
            <wp:effectExtent l="0" t="0" r="8890" b="0"/>
            <wp:docPr id="16531744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34710" cy="4157980"/>
                    </a:xfrm>
                    <a:prstGeom prst="rect">
                      <a:avLst/>
                    </a:prstGeom>
                    <a:noFill/>
                    <a:ln>
                      <a:noFill/>
                    </a:ln>
                  </pic:spPr>
                </pic:pic>
              </a:graphicData>
            </a:graphic>
          </wp:inline>
        </w:drawing>
      </w:r>
    </w:p>
    <w:p w14:paraId="03DE219A" w14:textId="1032E2E2" w:rsidR="00882270" w:rsidRPr="00DF1F48" w:rsidRDefault="00882270" w:rsidP="00812F3D">
      <w:pPr>
        <w:rPr>
          <w:bCs/>
          <w:lang w:val="en-GB"/>
        </w:rPr>
      </w:pPr>
      <w:r>
        <w:rPr>
          <w:bCs/>
          <w:lang w:val="en-GB"/>
        </w:rPr>
        <w:t xml:space="preserve">Supplement Figrue 8. </w:t>
      </w:r>
      <w:r w:rsidR="00E97C31">
        <w:rPr>
          <w:bCs/>
          <w:lang w:val="en-GB"/>
        </w:rPr>
        <w:t xml:space="preserve">Correlation between diversity of bacterial species in a sample and abundance of class of ARGs. </w:t>
      </w:r>
    </w:p>
    <w:sectPr w:rsidR="00882270" w:rsidRPr="00DF1F48" w:rsidSect="00EA6699">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alatino Linotype">
    <w:panose1 w:val="02040502050505030304"/>
    <w:charset w:val="EE"/>
    <w:family w:val="roman"/>
    <w:pitch w:val="variable"/>
    <w:sig w:usb0="E0000287" w:usb1="40000013" w:usb2="00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83A60"/>
    <w:multiLevelType w:val="hybridMultilevel"/>
    <w:tmpl w:val="3948D2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38141B"/>
    <w:multiLevelType w:val="hybridMultilevel"/>
    <w:tmpl w:val="24A2B326"/>
    <w:lvl w:ilvl="0" w:tplc="0882ACA0">
      <w:numFmt w:val="bullet"/>
      <w:lvlText w:val="-"/>
      <w:lvlJc w:val="left"/>
      <w:pPr>
        <w:ind w:left="720" w:hanging="360"/>
      </w:pPr>
      <w:rPr>
        <w:rFonts w:ascii="Calibri" w:eastAsiaTheme="minorHAnsi"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 w15:restartNumberingAfterBreak="0">
    <w:nsid w:val="23B9182C"/>
    <w:multiLevelType w:val="multilevel"/>
    <w:tmpl w:val="279E489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73010FC"/>
    <w:multiLevelType w:val="hybridMultilevel"/>
    <w:tmpl w:val="CEF63F0C"/>
    <w:lvl w:ilvl="0" w:tplc="AF062BCE">
      <w:start w:val="7"/>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7DB472F"/>
    <w:multiLevelType w:val="hybridMultilevel"/>
    <w:tmpl w:val="10C6CB48"/>
    <w:lvl w:ilvl="0" w:tplc="2E1AEC5C">
      <w:start w:val="1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2CA4FD76"/>
    <w:multiLevelType w:val="multilevel"/>
    <w:tmpl w:val="B47225DA"/>
    <w:lvl w:ilvl="0">
      <w:start w:val="4"/>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 w15:restartNumberingAfterBreak="0">
    <w:nsid w:val="32117864"/>
    <w:multiLevelType w:val="hybridMultilevel"/>
    <w:tmpl w:val="F52C5990"/>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7" w15:restartNumberingAfterBreak="0">
    <w:nsid w:val="330E4C6B"/>
    <w:multiLevelType w:val="multilevel"/>
    <w:tmpl w:val="D42C5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6CBCCFD"/>
    <w:multiLevelType w:val="hybridMultilevel"/>
    <w:tmpl w:val="AA868B34"/>
    <w:lvl w:ilvl="0" w:tplc="BC580E0C">
      <w:start w:val="1"/>
      <w:numFmt w:val="decimal"/>
      <w:lvlText w:val="%1."/>
      <w:lvlJc w:val="left"/>
      <w:pPr>
        <w:ind w:left="720" w:hanging="360"/>
      </w:pPr>
    </w:lvl>
    <w:lvl w:ilvl="1" w:tplc="5A0CED94">
      <w:start w:val="1"/>
      <w:numFmt w:val="lowerLetter"/>
      <w:lvlText w:val="%2."/>
      <w:lvlJc w:val="left"/>
      <w:pPr>
        <w:ind w:left="1440" w:hanging="360"/>
      </w:pPr>
    </w:lvl>
    <w:lvl w:ilvl="2" w:tplc="C77217A8">
      <w:start w:val="1"/>
      <w:numFmt w:val="lowerRoman"/>
      <w:lvlText w:val="%3."/>
      <w:lvlJc w:val="right"/>
      <w:pPr>
        <w:ind w:left="2160" w:hanging="180"/>
      </w:pPr>
    </w:lvl>
    <w:lvl w:ilvl="3" w:tplc="E31C3202">
      <w:start w:val="1"/>
      <w:numFmt w:val="decimal"/>
      <w:lvlText w:val="%4."/>
      <w:lvlJc w:val="left"/>
      <w:pPr>
        <w:ind w:left="2880" w:hanging="360"/>
      </w:pPr>
    </w:lvl>
    <w:lvl w:ilvl="4" w:tplc="BF4C7BD8">
      <w:start w:val="1"/>
      <w:numFmt w:val="lowerLetter"/>
      <w:lvlText w:val="%5."/>
      <w:lvlJc w:val="left"/>
      <w:pPr>
        <w:ind w:left="3600" w:hanging="360"/>
      </w:pPr>
    </w:lvl>
    <w:lvl w:ilvl="5" w:tplc="7D1AD6C4">
      <w:start w:val="1"/>
      <w:numFmt w:val="lowerRoman"/>
      <w:lvlText w:val="%6."/>
      <w:lvlJc w:val="right"/>
      <w:pPr>
        <w:ind w:left="4320" w:hanging="180"/>
      </w:pPr>
    </w:lvl>
    <w:lvl w:ilvl="6" w:tplc="C8F618C8">
      <w:start w:val="1"/>
      <w:numFmt w:val="decimal"/>
      <w:lvlText w:val="%7."/>
      <w:lvlJc w:val="left"/>
      <w:pPr>
        <w:ind w:left="5040" w:hanging="360"/>
      </w:pPr>
    </w:lvl>
    <w:lvl w:ilvl="7" w:tplc="222E8712">
      <w:start w:val="1"/>
      <w:numFmt w:val="lowerLetter"/>
      <w:lvlText w:val="%8."/>
      <w:lvlJc w:val="left"/>
      <w:pPr>
        <w:ind w:left="5760" w:hanging="360"/>
      </w:pPr>
    </w:lvl>
    <w:lvl w:ilvl="8" w:tplc="4C607F0E">
      <w:start w:val="1"/>
      <w:numFmt w:val="lowerRoman"/>
      <w:lvlText w:val="%9."/>
      <w:lvlJc w:val="right"/>
      <w:pPr>
        <w:ind w:left="6480" w:hanging="180"/>
      </w:pPr>
    </w:lvl>
  </w:abstractNum>
  <w:abstractNum w:abstractNumId="9" w15:restartNumberingAfterBreak="0">
    <w:nsid w:val="3C0E162E"/>
    <w:multiLevelType w:val="hybridMultilevel"/>
    <w:tmpl w:val="DA301FC2"/>
    <w:lvl w:ilvl="0" w:tplc="A84A926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0" w15:restartNumberingAfterBreak="0">
    <w:nsid w:val="4521545E"/>
    <w:multiLevelType w:val="hybridMultilevel"/>
    <w:tmpl w:val="5FBE68EC"/>
    <w:lvl w:ilvl="0" w:tplc="0CEE491E">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48146B37"/>
    <w:multiLevelType w:val="hybridMultilevel"/>
    <w:tmpl w:val="448E8916"/>
    <w:lvl w:ilvl="0" w:tplc="3EAE2956">
      <w:start w:val="3"/>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2" w15:restartNumberingAfterBreak="0">
    <w:nsid w:val="4AFF5CCB"/>
    <w:multiLevelType w:val="hybridMultilevel"/>
    <w:tmpl w:val="05027F7C"/>
    <w:lvl w:ilvl="0" w:tplc="93A0DAB6">
      <w:start w:val="1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3" w15:restartNumberingAfterBreak="0">
    <w:nsid w:val="51296366"/>
    <w:multiLevelType w:val="hybridMultilevel"/>
    <w:tmpl w:val="3B4E96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3B21E0A"/>
    <w:multiLevelType w:val="hybridMultilevel"/>
    <w:tmpl w:val="9918D85E"/>
    <w:lvl w:ilvl="0" w:tplc="237C939E">
      <w:start w:val="18"/>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5" w15:restartNumberingAfterBreak="0">
    <w:nsid w:val="59C64353"/>
    <w:multiLevelType w:val="hybridMultilevel"/>
    <w:tmpl w:val="EDD2511E"/>
    <w:lvl w:ilvl="0" w:tplc="FFFFFFF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6" w15:restartNumberingAfterBreak="0">
    <w:nsid w:val="5D264996"/>
    <w:multiLevelType w:val="hybridMultilevel"/>
    <w:tmpl w:val="0ED416A8"/>
    <w:lvl w:ilvl="0" w:tplc="7256DAE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6D35432"/>
    <w:multiLevelType w:val="multilevel"/>
    <w:tmpl w:val="1ADAA6D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899704016">
    <w:abstractNumId w:val="8"/>
  </w:num>
  <w:num w:numId="2" w16cid:durableId="500315812">
    <w:abstractNumId w:val="5"/>
  </w:num>
  <w:num w:numId="3" w16cid:durableId="1224439763">
    <w:abstractNumId w:val="15"/>
  </w:num>
  <w:num w:numId="4" w16cid:durableId="789397893">
    <w:abstractNumId w:val="1"/>
  </w:num>
  <w:num w:numId="5" w16cid:durableId="65929297">
    <w:abstractNumId w:val="12"/>
  </w:num>
  <w:num w:numId="6" w16cid:durableId="41830671">
    <w:abstractNumId w:val="10"/>
  </w:num>
  <w:num w:numId="7" w16cid:durableId="1462311651">
    <w:abstractNumId w:val="11"/>
  </w:num>
  <w:num w:numId="8" w16cid:durableId="124587639">
    <w:abstractNumId w:val="14"/>
  </w:num>
  <w:num w:numId="9" w16cid:durableId="926111255">
    <w:abstractNumId w:val="6"/>
  </w:num>
  <w:num w:numId="10" w16cid:durableId="1541819649">
    <w:abstractNumId w:val="10"/>
  </w:num>
  <w:num w:numId="11" w16cid:durableId="1033456369">
    <w:abstractNumId w:val="9"/>
  </w:num>
  <w:num w:numId="12" w16cid:durableId="260795603">
    <w:abstractNumId w:val="13"/>
  </w:num>
  <w:num w:numId="13" w16cid:durableId="38020979">
    <w:abstractNumId w:val="2"/>
  </w:num>
  <w:num w:numId="14" w16cid:durableId="2082478144">
    <w:abstractNumId w:val="17"/>
  </w:num>
  <w:num w:numId="15" w16cid:durableId="299462417">
    <w:abstractNumId w:val="0"/>
  </w:num>
  <w:num w:numId="16" w16cid:durableId="1253398595">
    <w:abstractNumId w:val="3"/>
  </w:num>
  <w:num w:numId="17" w16cid:durableId="1507943819">
    <w:abstractNumId w:val="7"/>
  </w:num>
  <w:num w:numId="18" w16cid:durableId="64649991">
    <w:abstractNumId w:val="4"/>
  </w:num>
  <w:num w:numId="19" w16cid:durableId="167052018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018D5B"/>
    <w:rsid w:val="00004D16"/>
    <w:rsid w:val="000243DC"/>
    <w:rsid w:val="000319AD"/>
    <w:rsid w:val="000372C5"/>
    <w:rsid w:val="00040F19"/>
    <w:rsid w:val="000436F1"/>
    <w:rsid w:val="00043E2E"/>
    <w:rsid w:val="000441C5"/>
    <w:rsid w:val="00045047"/>
    <w:rsid w:val="00054310"/>
    <w:rsid w:val="00056D97"/>
    <w:rsid w:val="00073B32"/>
    <w:rsid w:val="00075600"/>
    <w:rsid w:val="0008144B"/>
    <w:rsid w:val="00091237"/>
    <w:rsid w:val="000A6B4A"/>
    <w:rsid w:val="000B273C"/>
    <w:rsid w:val="000B3498"/>
    <w:rsid w:val="000C0926"/>
    <w:rsid w:val="000C391E"/>
    <w:rsid w:val="000C4822"/>
    <w:rsid w:val="000C6506"/>
    <w:rsid w:val="000D4AD7"/>
    <w:rsid w:val="000D5BA7"/>
    <w:rsid w:val="000E0B94"/>
    <w:rsid w:val="000F392A"/>
    <w:rsid w:val="000F54D2"/>
    <w:rsid w:val="000F6B25"/>
    <w:rsid w:val="001013C4"/>
    <w:rsid w:val="00102916"/>
    <w:rsid w:val="00102B28"/>
    <w:rsid w:val="00115CDA"/>
    <w:rsid w:val="00126655"/>
    <w:rsid w:val="00127206"/>
    <w:rsid w:val="00135EA7"/>
    <w:rsid w:val="00136B56"/>
    <w:rsid w:val="0014025A"/>
    <w:rsid w:val="00140994"/>
    <w:rsid w:val="00140BAA"/>
    <w:rsid w:val="00145317"/>
    <w:rsid w:val="00154B83"/>
    <w:rsid w:val="001560D9"/>
    <w:rsid w:val="0015680D"/>
    <w:rsid w:val="00165E75"/>
    <w:rsid w:val="001663F9"/>
    <w:rsid w:val="001669F6"/>
    <w:rsid w:val="00182507"/>
    <w:rsid w:val="0018666E"/>
    <w:rsid w:val="00193AA5"/>
    <w:rsid w:val="00194EE2"/>
    <w:rsid w:val="0019748C"/>
    <w:rsid w:val="001A1251"/>
    <w:rsid w:val="001A1653"/>
    <w:rsid w:val="001A4AD5"/>
    <w:rsid w:val="001B1300"/>
    <w:rsid w:val="001C131F"/>
    <w:rsid w:val="001C3B69"/>
    <w:rsid w:val="001D2878"/>
    <w:rsid w:val="001D52B8"/>
    <w:rsid w:val="001D7A1C"/>
    <w:rsid w:val="001E0C06"/>
    <w:rsid w:val="001E1798"/>
    <w:rsid w:val="001E56F3"/>
    <w:rsid w:val="001F728F"/>
    <w:rsid w:val="002113A7"/>
    <w:rsid w:val="00227A39"/>
    <w:rsid w:val="0023380F"/>
    <w:rsid w:val="00235877"/>
    <w:rsid w:val="00241ED2"/>
    <w:rsid w:val="00244991"/>
    <w:rsid w:val="00245C71"/>
    <w:rsid w:val="00250AD6"/>
    <w:rsid w:val="00263D69"/>
    <w:rsid w:val="00274033"/>
    <w:rsid w:val="00274A5A"/>
    <w:rsid w:val="00275C58"/>
    <w:rsid w:val="00282B6C"/>
    <w:rsid w:val="00283AE2"/>
    <w:rsid w:val="00284BF9"/>
    <w:rsid w:val="00285D21"/>
    <w:rsid w:val="00286FB7"/>
    <w:rsid w:val="002878B9"/>
    <w:rsid w:val="002919DA"/>
    <w:rsid w:val="0029637A"/>
    <w:rsid w:val="00297478"/>
    <w:rsid w:val="002A2E47"/>
    <w:rsid w:val="002D0796"/>
    <w:rsid w:val="002D5805"/>
    <w:rsid w:val="002E5062"/>
    <w:rsid w:val="002F1FCD"/>
    <w:rsid w:val="00301615"/>
    <w:rsid w:val="00302B63"/>
    <w:rsid w:val="00316831"/>
    <w:rsid w:val="0031712F"/>
    <w:rsid w:val="003241EC"/>
    <w:rsid w:val="00330444"/>
    <w:rsid w:val="00351736"/>
    <w:rsid w:val="003523B8"/>
    <w:rsid w:val="0036785E"/>
    <w:rsid w:val="00372008"/>
    <w:rsid w:val="00375983"/>
    <w:rsid w:val="003878F8"/>
    <w:rsid w:val="00397801"/>
    <w:rsid w:val="003A1390"/>
    <w:rsid w:val="003A1DAC"/>
    <w:rsid w:val="003A38E6"/>
    <w:rsid w:val="003B43A7"/>
    <w:rsid w:val="003C01CE"/>
    <w:rsid w:val="003C464B"/>
    <w:rsid w:val="003D0A37"/>
    <w:rsid w:val="003D1FEA"/>
    <w:rsid w:val="003D561E"/>
    <w:rsid w:val="003E1BCA"/>
    <w:rsid w:val="003E3F9C"/>
    <w:rsid w:val="003E6A8D"/>
    <w:rsid w:val="003F331E"/>
    <w:rsid w:val="003F5792"/>
    <w:rsid w:val="00410552"/>
    <w:rsid w:val="004331C7"/>
    <w:rsid w:val="0043375A"/>
    <w:rsid w:val="00434DD2"/>
    <w:rsid w:val="00434DF6"/>
    <w:rsid w:val="004409FC"/>
    <w:rsid w:val="0044477F"/>
    <w:rsid w:val="00452141"/>
    <w:rsid w:val="00454E5D"/>
    <w:rsid w:val="0045513E"/>
    <w:rsid w:val="004612DD"/>
    <w:rsid w:val="0048430C"/>
    <w:rsid w:val="004846B9"/>
    <w:rsid w:val="00486ACB"/>
    <w:rsid w:val="0049469A"/>
    <w:rsid w:val="004A46C8"/>
    <w:rsid w:val="004A4DC5"/>
    <w:rsid w:val="004A6090"/>
    <w:rsid w:val="004B29E3"/>
    <w:rsid w:val="004C01C3"/>
    <w:rsid w:val="004C4318"/>
    <w:rsid w:val="004D0F16"/>
    <w:rsid w:val="004D545D"/>
    <w:rsid w:val="004E0A67"/>
    <w:rsid w:val="004E4C07"/>
    <w:rsid w:val="004E5802"/>
    <w:rsid w:val="004F09A1"/>
    <w:rsid w:val="004F1A7F"/>
    <w:rsid w:val="004F1B9D"/>
    <w:rsid w:val="00502F0C"/>
    <w:rsid w:val="005036FB"/>
    <w:rsid w:val="005057DE"/>
    <w:rsid w:val="00511463"/>
    <w:rsid w:val="00514700"/>
    <w:rsid w:val="00520831"/>
    <w:rsid w:val="0052649C"/>
    <w:rsid w:val="00526580"/>
    <w:rsid w:val="00535400"/>
    <w:rsid w:val="0054416F"/>
    <w:rsid w:val="005501ED"/>
    <w:rsid w:val="005518BA"/>
    <w:rsid w:val="00552208"/>
    <w:rsid w:val="0055230A"/>
    <w:rsid w:val="00554BDD"/>
    <w:rsid w:val="00573CE7"/>
    <w:rsid w:val="00593D0A"/>
    <w:rsid w:val="00593DAC"/>
    <w:rsid w:val="00594DFD"/>
    <w:rsid w:val="005950D0"/>
    <w:rsid w:val="005A5326"/>
    <w:rsid w:val="005B18B4"/>
    <w:rsid w:val="005B5FBF"/>
    <w:rsid w:val="005C0216"/>
    <w:rsid w:val="005C2BF5"/>
    <w:rsid w:val="005C7770"/>
    <w:rsid w:val="005C7D09"/>
    <w:rsid w:val="005D4DB7"/>
    <w:rsid w:val="005F7EC7"/>
    <w:rsid w:val="00603F76"/>
    <w:rsid w:val="00613901"/>
    <w:rsid w:val="00615812"/>
    <w:rsid w:val="00622267"/>
    <w:rsid w:val="00632677"/>
    <w:rsid w:val="00634930"/>
    <w:rsid w:val="00641259"/>
    <w:rsid w:val="006422E4"/>
    <w:rsid w:val="00644700"/>
    <w:rsid w:val="00645CFE"/>
    <w:rsid w:val="0065653C"/>
    <w:rsid w:val="006701BB"/>
    <w:rsid w:val="0067383A"/>
    <w:rsid w:val="00680693"/>
    <w:rsid w:val="006809B1"/>
    <w:rsid w:val="00684929"/>
    <w:rsid w:val="00685BDC"/>
    <w:rsid w:val="006870CA"/>
    <w:rsid w:val="006904A1"/>
    <w:rsid w:val="00697C92"/>
    <w:rsid w:val="006A314A"/>
    <w:rsid w:val="006A711F"/>
    <w:rsid w:val="006B40E8"/>
    <w:rsid w:val="006C0814"/>
    <w:rsid w:val="006C4D0F"/>
    <w:rsid w:val="006C6EE9"/>
    <w:rsid w:val="006F57BB"/>
    <w:rsid w:val="006F6025"/>
    <w:rsid w:val="00705B17"/>
    <w:rsid w:val="00712C93"/>
    <w:rsid w:val="0072028E"/>
    <w:rsid w:val="00724427"/>
    <w:rsid w:val="00727966"/>
    <w:rsid w:val="0073544A"/>
    <w:rsid w:val="00737785"/>
    <w:rsid w:val="00742518"/>
    <w:rsid w:val="00747291"/>
    <w:rsid w:val="0075332C"/>
    <w:rsid w:val="007622F7"/>
    <w:rsid w:val="00763184"/>
    <w:rsid w:val="007706FF"/>
    <w:rsid w:val="00772E33"/>
    <w:rsid w:val="007803FB"/>
    <w:rsid w:val="00780F68"/>
    <w:rsid w:val="00786591"/>
    <w:rsid w:val="007910CD"/>
    <w:rsid w:val="00791258"/>
    <w:rsid w:val="0079344D"/>
    <w:rsid w:val="007935A5"/>
    <w:rsid w:val="00793A1D"/>
    <w:rsid w:val="00796A7F"/>
    <w:rsid w:val="007A0A71"/>
    <w:rsid w:val="007A1179"/>
    <w:rsid w:val="007A1957"/>
    <w:rsid w:val="007A1DC0"/>
    <w:rsid w:val="007A518C"/>
    <w:rsid w:val="007B0DDC"/>
    <w:rsid w:val="007B2CAD"/>
    <w:rsid w:val="007B6495"/>
    <w:rsid w:val="007C4D81"/>
    <w:rsid w:val="007C5BAC"/>
    <w:rsid w:val="007C7934"/>
    <w:rsid w:val="007D14ED"/>
    <w:rsid w:val="007D41BB"/>
    <w:rsid w:val="007D4269"/>
    <w:rsid w:val="007E6E6F"/>
    <w:rsid w:val="007F26D6"/>
    <w:rsid w:val="007F2F3F"/>
    <w:rsid w:val="007F440C"/>
    <w:rsid w:val="007F4D11"/>
    <w:rsid w:val="00801D24"/>
    <w:rsid w:val="00805ADB"/>
    <w:rsid w:val="008101CA"/>
    <w:rsid w:val="00810421"/>
    <w:rsid w:val="00812F3D"/>
    <w:rsid w:val="008173E0"/>
    <w:rsid w:val="00823B70"/>
    <w:rsid w:val="008259CA"/>
    <w:rsid w:val="00843386"/>
    <w:rsid w:val="00852A44"/>
    <w:rsid w:val="00853011"/>
    <w:rsid w:val="00853552"/>
    <w:rsid w:val="008663E9"/>
    <w:rsid w:val="00870FC6"/>
    <w:rsid w:val="00882270"/>
    <w:rsid w:val="0088722C"/>
    <w:rsid w:val="008933A0"/>
    <w:rsid w:val="008B2C41"/>
    <w:rsid w:val="008B3DF4"/>
    <w:rsid w:val="008C0FE8"/>
    <w:rsid w:val="008C5141"/>
    <w:rsid w:val="008D439B"/>
    <w:rsid w:val="008E076F"/>
    <w:rsid w:val="008E5937"/>
    <w:rsid w:val="008F292A"/>
    <w:rsid w:val="008F7B0E"/>
    <w:rsid w:val="00903178"/>
    <w:rsid w:val="009111B6"/>
    <w:rsid w:val="009124B5"/>
    <w:rsid w:val="00915E63"/>
    <w:rsid w:val="00921637"/>
    <w:rsid w:val="00927EAB"/>
    <w:rsid w:val="00937B2C"/>
    <w:rsid w:val="00944686"/>
    <w:rsid w:val="00960EF5"/>
    <w:rsid w:val="00981841"/>
    <w:rsid w:val="00982B47"/>
    <w:rsid w:val="009863CC"/>
    <w:rsid w:val="00990C84"/>
    <w:rsid w:val="009A1ECD"/>
    <w:rsid w:val="009A3E39"/>
    <w:rsid w:val="009B0E01"/>
    <w:rsid w:val="009B49BD"/>
    <w:rsid w:val="009B5BA6"/>
    <w:rsid w:val="009B7D1A"/>
    <w:rsid w:val="009C3292"/>
    <w:rsid w:val="009C3428"/>
    <w:rsid w:val="009C4708"/>
    <w:rsid w:val="009E01C8"/>
    <w:rsid w:val="009E1AD4"/>
    <w:rsid w:val="009E29A7"/>
    <w:rsid w:val="009F648E"/>
    <w:rsid w:val="00A02877"/>
    <w:rsid w:val="00A03E6F"/>
    <w:rsid w:val="00A310C0"/>
    <w:rsid w:val="00A40CF9"/>
    <w:rsid w:val="00A60C10"/>
    <w:rsid w:val="00A642E9"/>
    <w:rsid w:val="00A65708"/>
    <w:rsid w:val="00A70215"/>
    <w:rsid w:val="00A7084E"/>
    <w:rsid w:val="00A7670E"/>
    <w:rsid w:val="00A76D39"/>
    <w:rsid w:val="00A80E79"/>
    <w:rsid w:val="00A82382"/>
    <w:rsid w:val="00A92B6A"/>
    <w:rsid w:val="00A92DAB"/>
    <w:rsid w:val="00A960AE"/>
    <w:rsid w:val="00A96849"/>
    <w:rsid w:val="00AA485C"/>
    <w:rsid w:val="00AA4F01"/>
    <w:rsid w:val="00AA6D81"/>
    <w:rsid w:val="00AB528F"/>
    <w:rsid w:val="00AB6778"/>
    <w:rsid w:val="00AC09BB"/>
    <w:rsid w:val="00AF3A0E"/>
    <w:rsid w:val="00AF4E88"/>
    <w:rsid w:val="00AF5595"/>
    <w:rsid w:val="00AF6214"/>
    <w:rsid w:val="00AF77A6"/>
    <w:rsid w:val="00B02778"/>
    <w:rsid w:val="00B06639"/>
    <w:rsid w:val="00B1000A"/>
    <w:rsid w:val="00B1399B"/>
    <w:rsid w:val="00B171CA"/>
    <w:rsid w:val="00B1752D"/>
    <w:rsid w:val="00B20CDB"/>
    <w:rsid w:val="00B20E3C"/>
    <w:rsid w:val="00B22031"/>
    <w:rsid w:val="00B22303"/>
    <w:rsid w:val="00B24E4C"/>
    <w:rsid w:val="00B25C36"/>
    <w:rsid w:val="00B25DB8"/>
    <w:rsid w:val="00B2615F"/>
    <w:rsid w:val="00B277C6"/>
    <w:rsid w:val="00B31314"/>
    <w:rsid w:val="00B36084"/>
    <w:rsid w:val="00B52E88"/>
    <w:rsid w:val="00B53EAE"/>
    <w:rsid w:val="00B54ED8"/>
    <w:rsid w:val="00B5502A"/>
    <w:rsid w:val="00B566C7"/>
    <w:rsid w:val="00B61A60"/>
    <w:rsid w:val="00B67295"/>
    <w:rsid w:val="00B77527"/>
    <w:rsid w:val="00B83ED2"/>
    <w:rsid w:val="00BA131E"/>
    <w:rsid w:val="00BA68A2"/>
    <w:rsid w:val="00BB269E"/>
    <w:rsid w:val="00BB28BA"/>
    <w:rsid w:val="00BB74E4"/>
    <w:rsid w:val="00BC7DE1"/>
    <w:rsid w:val="00BD0483"/>
    <w:rsid w:val="00BD4870"/>
    <w:rsid w:val="00BD7BE0"/>
    <w:rsid w:val="00C05127"/>
    <w:rsid w:val="00C1544B"/>
    <w:rsid w:val="00C20C17"/>
    <w:rsid w:val="00C21EE1"/>
    <w:rsid w:val="00C35609"/>
    <w:rsid w:val="00C37EDC"/>
    <w:rsid w:val="00C46FEA"/>
    <w:rsid w:val="00C50759"/>
    <w:rsid w:val="00C50B9A"/>
    <w:rsid w:val="00C51AE9"/>
    <w:rsid w:val="00C5522C"/>
    <w:rsid w:val="00C6027C"/>
    <w:rsid w:val="00C652C6"/>
    <w:rsid w:val="00C70049"/>
    <w:rsid w:val="00C7277C"/>
    <w:rsid w:val="00C75DA5"/>
    <w:rsid w:val="00C81423"/>
    <w:rsid w:val="00C86DE1"/>
    <w:rsid w:val="00C93E02"/>
    <w:rsid w:val="00C9741A"/>
    <w:rsid w:val="00CB03DD"/>
    <w:rsid w:val="00CB3C19"/>
    <w:rsid w:val="00CD16D2"/>
    <w:rsid w:val="00CE14E0"/>
    <w:rsid w:val="00CE39A4"/>
    <w:rsid w:val="00CE424E"/>
    <w:rsid w:val="00CF13F6"/>
    <w:rsid w:val="00CF18BC"/>
    <w:rsid w:val="00D102AB"/>
    <w:rsid w:val="00D107CD"/>
    <w:rsid w:val="00D2289B"/>
    <w:rsid w:val="00D239F1"/>
    <w:rsid w:val="00D35F6F"/>
    <w:rsid w:val="00D3744B"/>
    <w:rsid w:val="00D41D36"/>
    <w:rsid w:val="00D62819"/>
    <w:rsid w:val="00D65C34"/>
    <w:rsid w:val="00D705CD"/>
    <w:rsid w:val="00D70673"/>
    <w:rsid w:val="00D70EDC"/>
    <w:rsid w:val="00D73A1F"/>
    <w:rsid w:val="00D762B2"/>
    <w:rsid w:val="00D76F9C"/>
    <w:rsid w:val="00D81F34"/>
    <w:rsid w:val="00D82E47"/>
    <w:rsid w:val="00D8395C"/>
    <w:rsid w:val="00D96B62"/>
    <w:rsid w:val="00DA1EAF"/>
    <w:rsid w:val="00DA21FD"/>
    <w:rsid w:val="00DA4F9A"/>
    <w:rsid w:val="00DA5920"/>
    <w:rsid w:val="00DB09C5"/>
    <w:rsid w:val="00DB5AFA"/>
    <w:rsid w:val="00DC0648"/>
    <w:rsid w:val="00DC26AE"/>
    <w:rsid w:val="00DC54F3"/>
    <w:rsid w:val="00DD25B3"/>
    <w:rsid w:val="00DD63AA"/>
    <w:rsid w:val="00DD7EFF"/>
    <w:rsid w:val="00DE546A"/>
    <w:rsid w:val="00DE6066"/>
    <w:rsid w:val="00DE6B23"/>
    <w:rsid w:val="00DF1F48"/>
    <w:rsid w:val="00DF37B8"/>
    <w:rsid w:val="00DF6429"/>
    <w:rsid w:val="00E058E9"/>
    <w:rsid w:val="00E06888"/>
    <w:rsid w:val="00E06DC7"/>
    <w:rsid w:val="00E17AF1"/>
    <w:rsid w:val="00E22DEA"/>
    <w:rsid w:val="00E338BB"/>
    <w:rsid w:val="00E35552"/>
    <w:rsid w:val="00E43945"/>
    <w:rsid w:val="00E4557A"/>
    <w:rsid w:val="00E525C2"/>
    <w:rsid w:val="00E54247"/>
    <w:rsid w:val="00E6098D"/>
    <w:rsid w:val="00E83FFC"/>
    <w:rsid w:val="00E85F77"/>
    <w:rsid w:val="00E863FB"/>
    <w:rsid w:val="00E97C31"/>
    <w:rsid w:val="00E97F13"/>
    <w:rsid w:val="00EA6225"/>
    <w:rsid w:val="00EA6699"/>
    <w:rsid w:val="00EC6944"/>
    <w:rsid w:val="00EC6F68"/>
    <w:rsid w:val="00ED3632"/>
    <w:rsid w:val="00ED4692"/>
    <w:rsid w:val="00EE30B4"/>
    <w:rsid w:val="00EE6D85"/>
    <w:rsid w:val="00EF4442"/>
    <w:rsid w:val="00EF60E9"/>
    <w:rsid w:val="00F02416"/>
    <w:rsid w:val="00F15093"/>
    <w:rsid w:val="00F219A4"/>
    <w:rsid w:val="00F2650D"/>
    <w:rsid w:val="00F316FD"/>
    <w:rsid w:val="00F418E4"/>
    <w:rsid w:val="00F71E97"/>
    <w:rsid w:val="00F81FAA"/>
    <w:rsid w:val="00F93695"/>
    <w:rsid w:val="00F95387"/>
    <w:rsid w:val="00FA4A9C"/>
    <w:rsid w:val="00FB186A"/>
    <w:rsid w:val="00FB2F2F"/>
    <w:rsid w:val="00FB5EBC"/>
    <w:rsid w:val="00FC10B8"/>
    <w:rsid w:val="00FC529D"/>
    <w:rsid w:val="00FD446C"/>
    <w:rsid w:val="00FD62FD"/>
    <w:rsid w:val="00FE02AA"/>
    <w:rsid w:val="00FE58EF"/>
    <w:rsid w:val="00FE5B8D"/>
    <w:rsid w:val="00FE5EC8"/>
    <w:rsid w:val="00FF411B"/>
    <w:rsid w:val="00FF44A2"/>
    <w:rsid w:val="00FF7D15"/>
    <w:rsid w:val="0345E156"/>
    <w:rsid w:val="082D7715"/>
    <w:rsid w:val="0C82F704"/>
    <w:rsid w:val="0D018D5B"/>
    <w:rsid w:val="16A0756B"/>
    <w:rsid w:val="236FCB53"/>
    <w:rsid w:val="26A747B9"/>
    <w:rsid w:val="2FB1640D"/>
    <w:rsid w:val="3AFD7961"/>
    <w:rsid w:val="4092923B"/>
    <w:rsid w:val="423D1ACB"/>
    <w:rsid w:val="447BF4D9"/>
    <w:rsid w:val="461BD8E9"/>
    <w:rsid w:val="498A60B8"/>
    <w:rsid w:val="4F632F10"/>
    <w:rsid w:val="64C6A4F9"/>
    <w:rsid w:val="65F3055A"/>
    <w:rsid w:val="689F4D8D"/>
    <w:rsid w:val="6C191F86"/>
    <w:rsid w:val="6F1452FF"/>
    <w:rsid w:val="7E9FBD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18D5B"/>
  <w15:chartTrackingRefBased/>
  <w15:docId w15:val="{2E333A35-5A9E-4CB6-8856-B476B3A7E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E79"/>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6D81"/>
    <w:pPr>
      <w:outlineLvl w:val="0"/>
    </w:pPr>
    <w:rPr>
      <w:b/>
      <w:sz w:val="24"/>
    </w:rPr>
  </w:style>
  <w:style w:type="paragraph" w:styleId="Heading2">
    <w:name w:val="heading 2"/>
    <w:basedOn w:val="Normal"/>
    <w:next w:val="Normal"/>
    <w:link w:val="Heading2Char"/>
    <w:uiPriority w:val="9"/>
    <w:unhideWhenUsed/>
    <w:qFormat/>
    <w:rsid w:val="689F4D8D"/>
    <w:pPr>
      <w:outlineLvl w:val="1"/>
    </w:pPr>
    <w:rPr>
      <w:rFonts w:eastAsiaTheme="minorEastAsia"/>
      <w:b/>
      <w:bCs/>
    </w:rPr>
  </w:style>
  <w:style w:type="paragraph" w:styleId="Heading3">
    <w:name w:val="heading 3"/>
    <w:basedOn w:val="Normal"/>
    <w:next w:val="Normal"/>
    <w:link w:val="Heading3Char"/>
    <w:uiPriority w:val="9"/>
    <w:unhideWhenUsed/>
    <w:qFormat/>
    <w:rsid w:val="00981841"/>
    <w:pPr>
      <w:keepNext/>
      <w:keepLines/>
      <w:spacing w:before="40" w:after="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6D81"/>
    <w:rPr>
      <w:rFonts w:ascii="Times New Roman" w:hAnsi="Times New Roman"/>
      <w:b/>
      <w:sz w:val="24"/>
    </w:rPr>
  </w:style>
  <w:style w:type="character" w:customStyle="1" w:styleId="Heading2Char">
    <w:name w:val="Heading 2 Char"/>
    <w:basedOn w:val="DefaultParagraphFont"/>
    <w:link w:val="Heading2"/>
    <w:uiPriority w:val="9"/>
    <w:rsid w:val="689F4D8D"/>
    <w:rPr>
      <w:rFonts w:asciiTheme="minorHAnsi" w:eastAsiaTheme="minorEastAsia" w:hAnsiTheme="minorHAnsi" w:cstheme="minorBidi"/>
      <w:b/>
      <w:bCs/>
      <w:sz w:val="22"/>
      <w:szCs w:val="22"/>
    </w:rPr>
  </w:style>
  <w:style w:type="paragraph" w:styleId="ListParagraph">
    <w:name w:val="List Paragraph"/>
    <w:basedOn w:val="Normal"/>
    <w:uiPriority w:val="34"/>
    <w:qFormat/>
    <w:pPr>
      <w:ind w:left="720"/>
      <w:contextualSpacing/>
    </w:pPr>
  </w:style>
  <w:style w:type="paragraph" w:customStyle="1" w:styleId="MDPI51figurecaption">
    <w:name w:val="MDPI_5.1_figure_caption"/>
    <w:rsid w:val="002D5805"/>
    <w:pPr>
      <w:adjustRightInd w:val="0"/>
      <w:snapToGrid w:val="0"/>
      <w:spacing w:before="120" w:after="240" w:line="228" w:lineRule="auto"/>
      <w:ind w:left="2608"/>
      <w:jc w:val="both"/>
    </w:pPr>
    <w:rPr>
      <w:rFonts w:ascii="Palatino Linotype" w:eastAsia="Times New Roman" w:hAnsi="Palatino Linotype" w:cs="Times New Roman"/>
      <w:color w:val="000000"/>
      <w:sz w:val="18"/>
      <w:szCs w:val="20"/>
      <w:lang w:eastAsia="de-DE" w:bidi="en-US"/>
    </w:rPr>
  </w:style>
  <w:style w:type="paragraph" w:styleId="TOCHeading">
    <w:name w:val="TOC Heading"/>
    <w:basedOn w:val="Heading1"/>
    <w:next w:val="Normal"/>
    <w:uiPriority w:val="39"/>
    <w:unhideWhenUsed/>
    <w:qFormat/>
    <w:rsid w:val="00AA6D81"/>
    <w:pPr>
      <w:keepNext/>
      <w:keepLines/>
      <w:spacing w:before="240" w:after="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AA6D81"/>
    <w:pPr>
      <w:spacing w:after="100"/>
    </w:pPr>
  </w:style>
  <w:style w:type="character" w:styleId="Hyperlink">
    <w:name w:val="Hyperlink"/>
    <w:basedOn w:val="DefaultParagraphFont"/>
    <w:uiPriority w:val="99"/>
    <w:unhideWhenUsed/>
    <w:rsid w:val="00AA6D81"/>
    <w:rPr>
      <w:color w:val="0563C1" w:themeColor="hyperlink"/>
      <w:u w:val="single"/>
    </w:rPr>
  </w:style>
  <w:style w:type="character" w:customStyle="1" w:styleId="Heading3Char">
    <w:name w:val="Heading 3 Char"/>
    <w:basedOn w:val="DefaultParagraphFont"/>
    <w:link w:val="Heading3"/>
    <w:uiPriority w:val="9"/>
    <w:rsid w:val="00981841"/>
    <w:rPr>
      <w:rFonts w:ascii="Times New Roman" w:eastAsiaTheme="majorEastAsia" w:hAnsi="Times New Roman" w:cstheme="majorBidi"/>
      <w:b/>
      <w:szCs w:val="24"/>
    </w:rPr>
  </w:style>
  <w:style w:type="paragraph" w:styleId="Title">
    <w:name w:val="Title"/>
    <w:aliases w:val="Figures"/>
    <w:basedOn w:val="Normal"/>
    <w:next w:val="Normal"/>
    <w:link w:val="TitleChar"/>
    <w:uiPriority w:val="10"/>
    <w:qFormat/>
    <w:rsid w:val="00981841"/>
    <w:pPr>
      <w:spacing w:after="0"/>
      <w:contextualSpacing/>
    </w:pPr>
    <w:rPr>
      <w:rFonts w:eastAsiaTheme="majorEastAsia" w:cstheme="majorBidi"/>
      <w:spacing w:val="-10"/>
      <w:kern w:val="28"/>
      <w:szCs w:val="56"/>
    </w:rPr>
  </w:style>
  <w:style w:type="character" w:customStyle="1" w:styleId="TitleChar">
    <w:name w:val="Title Char"/>
    <w:aliases w:val="Figures Char"/>
    <w:basedOn w:val="DefaultParagraphFont"/>
    <w:link w:val="Title"/>
    <w:uiPriority w:val="10"/>
    <w:rsid w:val="00981841"/>
    <w:rPr>
      <w:rFonts w:ascii="Times New Roman" w:eastAsiaTheme="majorEastAsia" w:hAnsi="Times New Roman" w:cstheme="majorBidi"/>
      <w:spacing w:val="-10"/>
      <w:kern w:val="28"/>
      <w:szCs w:val="56"/>
    </w:rPr>
  </w:style>
  <w:style w:type="character" w:styleId="CommentReference">
    <w:name w:val="annotation reference"/>
    <w:basedOn w:val="DefaultParagraphFont"/>
    <w:uiPriority w:val="99"/>
    <w:semiHidden/>
    <w:unhideWhenUsed/>
    <w:qFormat/>
    <w:rsid w:val="00981841"/>
    <w:rPr>
      <w:sz w:val="16"/>
      <w:szCs w:val="16"/>
    </w:rPr>
  </w:style>
  <w:style w:type="paragraph" w:styleId="CommentText">
    <w:name w:val="annotation text"/>
    <w:basedOn w:val="Normal"/>
    <w:link w:val="CommentTextChar"/>
    <w:uiPriority w:val="99"/>
    <w:unhideWhenUsed/>
    <w:qFormat/>
    <w:rsid w:val="00981841"/>
    <w:pPr>
      <w:spacing w:line="240" w:lineRule="auto"/>
    </w:pPr>
    <w:rPr>
      <w:sz w:val="20"/>
      <w:szCs w:val="20"/>
    </w:rPr>
  </w:style>
  <w:style w:type="character" w:customStyle="1" w:styleId="CommentTextChar">
    <w:name w:val="Comment Text Char"/>
    <w:basedOn w:val="DefaultParagraphFont"/>
    <w:link w:val="CommentText"/>
    <w:uiPriority w:val="99"/>
    <w:qFormat/>
    <w:rsid w:val="00981841"/>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981841"/>
    <w:rPr>
      <w:b/>
      <w:bCs/>
    </w:rPr>
  </w:style>
  <w:style w:type="character" w:customStyle="1" w:styleId="CommentSubjectChar">
    <w:name w:val="Comment Subject Char"/>
    <w:basedOn w:val="CommentTextChar"/>
    <w:link w:val="CommentSubject"/>
    <w:uiPriority w:val="99"/>
    <w:semiHidden/>
    <w:rsid w:val="00981841"/>
    <w:rPr>
      <w:rFonts w:ascii="Times New Roman" w:hAnsi="Times New Roman"/>
      <w:b/>
      <w:bCs/>
      <w:sz w:val="20"/>
      <w:szCs w:val="20"/>
    </w:rPr>
  </w:style>
  <w:style w:type="character" w:styleId="LineNumber">
    <w:name w:val="line number"/>
    <w:basedOn w:val="DefaultParagraphFont"/>
    <w:uiPriority w:val="99"/>
    <w:semiHidden/>
    <w:unhideWhenUsed/>
    <w:rsid w:val="00EA6699"/>
  </w:style>
  <w:style w:type="character" w:styleId="UnresolvedMention">
    <w:name w:val="Unresolved Mention"/>
    <w:basedOn w:val="DefaultParagraphFont"/>
    <w:uiPriority w:val="99"/>
    <w:semiHidden/>
    <w:unhideWhenUsed/>
    <w:rsid w:val="00E4557A"/>
    <w:rPr>
      <w:color w:val="605E5C"/>
      <w:shd w:val="clear" w:color="auto" w:fill="E1DFDD"/>
    </w:rPr>
  </w:style>
  <w:style w:type="character" w:customStyle="1" w:styleId="SuppelementChar">
    <w:name w:val="Suppelement Char"/>
    <w:basedOn w:val="DefaultParagraphFont"/>
    <w:link w:val="Suppelement"/>
    <w:qFormat/>
    <w:rsid w:val="001663F9"/>
    <w:rPr>
      <w:rFonts w:ascii="Times New Roman" w:hAnsi="Times New Roman" w:cs="Times New Roman"/>
      <w:bCs/>
      <w:sz w:val="20"/>
    </w:rPr>
  </w:style>
  <w:style w:type="paragraph" w:customStyle="1" w:styleId="Suppelement">
    <w:name w:val="Suppelement"/>
    <w:basedOn w:val="Normal"/>
    <w:link w:val="SuppelementChar"/>
    <w:qFormat/>
    <w:rsid w:val="001663F9"/>
    <w:pPr>
      <w:suppressAutoHyphens/>
      <w:spacing w:before="120" w:line="480" w:lineRule="auto"/>
    </w:pPr>
    <w:rPr>
      <w:rFonts w:cs="Times New Roman"/>
      <w:bCs/>
      <w:sz w:val="20"/>
    </w:rPr>
  </w:style>
  <w:style w:type="character" w:styleId="PlaceholderText">
    <w:name w:val="Placeholder Text"/>
    <w:basedOn w:val="DefaultParagraphFont"/>
    <w:uiPriority w:val="99"/>
    <w:semiHidden/>
    <w:rsid w:val="00D107CD"/>
    <w:rPr>
      <w:color w:val="666666"/>
    </w:rPr>
  </w:style>
  <w:style w:type="character" w:customStyle="1" w:styleId="token">
    <w:name w:val="token"/>
    <w:basedOn w:val="DefaultParagraphFont"/>
    <w:rsid w:val="00D107CD"/>
  </w:style>
  <w:style w:type="character" w:styleId="Strong">
    <w:name w:val="Strong"/>
    <w:basedOn w:val="DefaultParagraphFont"/>
    <w:uiPriority w:val="22"/>
    <w:qFormat/>
    <w:rsid w:val="0073544A"/>
    <w:rPr>
      <w:b/>
      <w:bCs/>
    </w:rPr>
  </w:style>
  <w:style w:type="paragraph" w:styleId="NormalWeb">
    <w:name w:val="Normal (Web)"/>
    <w:basedOn w:val="Normal"/>
    <w:uiPriority w:val="99"/>
    <w:unhideWhenUsed/>
    <w:rsid w:val="009E29A7"/>
    <w:pPr>
      <w:spacing w:before="100" w:beforeAutospacing="1" w:after="100" w:afterAutospacing="1" w:line="240" w:lineRule="auto"/>
      <w:jc w:val="left"/>
    </w:pPr>
    <w:rPr>
      <w:rFonts w:eastAsia="Times New Roman" w:cs="Times New Roman"/>
      <w:sz w:val="24"/>
      <w:szCs w:val="24"/>
      <w:lang w:val="sl-SI" w:eastAsia="sl-SI"/>
    </w:rPr>
  </w:style>
  <w:style w:type="character" w:customStyle="1" w:styleId="katex-mathml">
    <w:name w:val="katex-mathml"/>
    <w:basedOn w:val="DefaultParagraphFont"/>
    <w:rsid w:val="0044477F"/>
  </w:style>
  <w:style w:type="paragraph" w:styleId="TOC2">
    <w:name w:val="toc 2"/>
    <w:basedOn w:val="Normal"/>
    <w:next w:val="Normal"/>
    <w:autoRedefine/>
    <w:uiPriority w:val="39"/>
    <w:unhideWhenUsed/>
    <w:rsid w:val="004D545D"/>
    <w:pPr>
      <w:spacing w:after="100"/>
      <w:ind w:left="220"/>
    </w:pPr>
  </w:style>
  <w:style w:type="paragraph" w:styleId="TOC3">
    <w:name w:val="toc 3"/>
    <w:basedOn w:val="Normal"/>
    <w:next w:val="Normal"/>
    <w:autoRedefine/>
    <w:uiPriority w:val="39"/>
    <w:unhideWhenUsed/>
    <w:rsid w:val="004D545D"/>
    <w:pPr>
      <w:spacing w:after="100"/>
      <w:ind w:left="440"/>
    </w:pPr>
  </w:style>
  <w:style w:type="table" w:styleId="TableGrid">
    <w:name w:val="Table Grid"/>
    <w:basedOn w:val="TableNormal"/>
    <w:uiPriority w:val="39"/>
    <w:rsid w:val="00CE3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0137452">
      <w:bodyDiv w:val="1"/>
      <w:marLeft w:val="0"/>
      <w:marRight w:val="0"/>
      <w:marTop w:val="0"/>
      <w:marBottom w:val="0"/>
      <w:divBdr>
        <w:top w:val="none" w:sz="0" w:space="0" w:color="auto"/>
        <w:left w:val="none" w:sz="0" w:space="0" w:color="auto"/>
        <w:bottom w:val="none" w:sz="0" w:space="0" w:color="auto"/>
        <w:right w:val="none" w:sz="0" w:space="0" w:color="auto"/>
      </w:divBdr>
      <w:divsChild>
        <w:div w:id="50734383">
          <w:marLeft w:val="446"/>
          <w:marRight w:val="0"/>
          <w:marTop w:val="0"/>
          <w:marBottom w:val="0"/>
          <w:divBdr>
            <w:top w:val="none" w:sz="0" w:space="0" w:color="auto"/>
            <w:left w:val="none" w:sz="0" w:space="0" w:color="auto"/>
            <w:bottom w:val="none" w:sz="0" w:space="0" w:color="auto"/>
            <w:right w:val="none" w:sz="0" w:space="0" w:color="auto"/>
          </w:divBdr>
        </w:div>
        <w:div w:id="437407017">
          <w:marLeft w:val="446"/>
          <w:marRight w:val="0"/>
          <w:marTop w:val="0"/>
          <w:marBottom w:val="0"/>
          <w:divBdr>
            <w:top w:val="none" w:sz="0" w:space="0" w:color="auto"/>
            <w:left w:val="none" w:sz="0" w:space="0" w:color="auto"/>
            <w:bottom w:val="none" w:sz="0" w:space="0" w:color="auto"/>
            <w:right w:val="none" w:sz="0" w:space="0" w:color="auto"/>
          </w:divBdr>
        </w:div>
        <w:div w:id="532377553">
          <w:marLeft w:val="446"/>
          <w:marRight w:val="0"/>
          <w:marTop w:val="0"/>
          <w:marBottom w:val="0"/>
          <w:divBdr>
            <w:top w:val="none" w:sz="0" w:space="0" w:color="auto"/>
            <w:left w:val="none" w:sz="0" w:space="0" w:color="auto"/>
            <w:bottom w:val="none" w:sz="0" w:space="0" w:color="auto"/>
            <w:right w:val="none" w:sz="0" w:space="0" w:color="auto"/>
          </w:divBdr>
        </w:div>
        <w:div w:id="906382672">
          <w:marLeft w:val="446"/>
          <w:marRight w:val="0"/>
          <w:marTop w:val="0"/>
          <w:marBottom w:val="0"/>
          <w:divBdr>
            <w:top w:val="none" w:sz="0" w:space="0" w:color="auto"/>
            <w:left w:val="none" w:sz="0" w:space="0" w:color="auto"/>
            <w:bottom w:val="none" w:sz="0" w:space="0" w:color="auto"/>
            <w:right w:val="none" w:sz="0" w:space="0" w:color="auto"/>
          </w:divBdr>
        </w:div>
        <w:div w:id="1218518297">
          <w:marLeft w:val="446"/>
          <w:marRight w:val="0"/>
          <w:marTop w:val="0"/>
          <w:marBottom w:val="0"/>
          <w:divBdr>
            <w:top w:val="none" w:sz="0" w:space="0" w:color="auto"/>
            <w:left w:val="none" w:sz="0" w:space="0" w:color="auto"/>
            <w:bottom w:val="none" w:sz="0" w:space="0" w:color="auto"/>
            <w:right w:val="none" w:sz="0" w:space="0" w:color="auto"/>
          </w:divBdr>
        </w:div>
        <w:div w:id="1541160915">
          <w:marLeft w:val="446"/>
          <w:marRight w:val="0"/>
          <w:marTop w:val="0"/>
          <w:marBottom w:val="0"/>
          <w:divBdr>
            <w:top w:val="none" w:sz="0" w:space="0" w:color="auto"/>
            <w:left w:val="none" w:sz="0" w:space="0" w:color="auto"/>
            <w:bottom w:val="none" w:sz="0" w:space="0" w:color="auto"/>
            <w:right w:val="none" w:sz="0" w:space="0" w:color="auto"/>
          </w:divBdr>
        </w:div>
        <w:div w:id="1567035075">
          <w:marLeft w:val="446"/>
          <w:marRight w:val="0"/>
          <w:marTop w:val="0"/>
          <w:marBottom w:val="0"/>
          <w:divBdr>
            <w:top w:val="none" w:sz="0" w:space="0" w:color="auto"/>
            <w:left w:val="none" w:sz="0" w:space="0" w:color="auto"/>
            <w:bottom w:val="none" w:sz="0" w:space="0" w:color="auto"/>
            <w:right w:val="none" w:sz="0" w:space="0" w:color="auto"/>
          </w:divBdr>
        </w:div>
        <w:div w:id="1704937148">
          <w:marLeft w:val="446"/>
          <w:marRight w:val="0"/>
          <w:marTop w:val="0"/>
          <w:marBottom w:val="0"/>
          <w:divBdr>
            <w:top w:val="none" w:sz="0" w:space="0" w:color="auto"/>
            <w:left w:val="none" w:sz="0" w:space="0" w:color="auto"/>
            <w:bottom w:val="none" w:sz="0" w:space="0" w:color="auto"/>
            <w:right w:val="none" w:sz="0" w:space="0" w:color="auto"/>
          </w:divBdr>
        </w:div>
        <w:div w:id="1844540465">
          <w:marLeft w:val="446"/>
          <w:marRight w:val="0"/>
          <w:marTop w:val="0"/>
          <w:marBottom w:val="0"/>
          <w:divBdr>
            <w:top w:val="none" w:sz="0" w:space="0" w:color="auto"/>
            <w:left w:val="none" w:sz="0" w:space="0" w:color="auto"/>
            <w:bottom w:val="none" w:sz="0" w:space="0" w:color="auto"/>
            <w:right w:val="none" w:sz="0" w:space="0" w:color="auto"/>
          </w:divBdr>
        </w:div>
      </w:divsChild>
    </w:div>
    <w:div w:id="379060654">
      <w:bodyDiv w:val="1"/>
      <w:marLeft w:val="0"/>
      <w:marRight w:val="0"/>
      <w:marTop w:val="0"/>
      <w:marBottom w:val="0"/>
      <w:divBdr>
        <w:top w:val="none" w:sz="0" w:space="0" w:color="auto"/>
        <w:left w:val="none" w:sz="0" w:space="0" w:color="auto"/>
        <w:bottom w:val="none" w:sz="0" w:space="0" w:color="auto"/>
        <w:right w:val="none" w:sz="0" w:space="0" w:color="auto"/>
      </w:divBdr>
    </w:div>
    <w:div w:id="533856991">
      <w:bodyDiv w:val="1"/>
      <w:marLeft w:val="0"/>
      <w:marRight w:val="0"/>
      <w:marTop w:val="0"/>
      <w:marBottom w:val="0"/>
      <w:divBdr>
        <w:top w:val="none" w:sz="0" w:space="0" w:color="auto"/>
        <w:left w:val="none" w:sz="0" w:space="0" w:color="auto"/>
        <w:bottom w:val="none" w:sz="0" w:space="0" w:color="auto"/>
        <w:right w:val="none" w:sz="0" w:space="0" w:color="auto"/>
      </w:divBdr>
    </w:div>
    <w:div w:id="543757274">
      <w:bodyDiv w:val="1"/>
      <w:marLeft w:val="0"/>
      <w:marRight w:val="0"/>
      <w:marTop w:val="0"/>
      <w:marBottom w:val="0"/>
      <w:divBdr>
        <w:top w:val="none" w:sz="0" w:space="0" w:color="auto"/>
        <w:left w:val="none" w:sz="0" w:space="0" w:color="auto"/>
        <w:bottom w:val="none" w:sz="0" w:space="0" w:color="auto"/>
        <w:right w:val="none" w:sz="0" w:space="0" w:color="auto"/>
      </w:divBdr>
    </w:div>
    <w:div w:id="933442869">
      <w:bodyDiv w:val="1"/>
      <w:marLeft w:val="0"/>
      <w:marRight w:val="0"/>
      <w:marTop w:val="0"/>
      <w:marBottom w:val="0"/>
      <w:divBdr>
        <w:top w:val="none" w:sz="0" w:space="0" w:color="auto"/>
        <w:left w:val="none" w:sz="0" w:space="0" w:color="auto"/>
        <w:bottom w:val="none" w:sz="0" w:space="0" w:color="auto"/>
        <w:right w:val="none" w:sz="0" w:space="0" w:color="auto"/>
      </w:divBdr>
    </w:div>
    <w:div w:id="941188589">
      <w:bodyDiv w:val="1"/>
      <w:marLeft w:val="0"/>
      <w:marRight w:val="0"/>
      <w:marTop w:val="0"/>
      <w:marBottom w:val="0"/>
      <w:divBdr>
        <w:top w:val="none" w:sz="0" w:space="0" w:color="auto"/>
        <w:left w:val="none" w:sz="0" w:space="0" w:color="auto"/>
        <w:bottom w:val="none" w:sz="0" w:space="0" w:color="auto"/>
        <w:right w:val="none" w:sz="0" w:space="0" w:color="auto"/>
      </w:divBdr>
    </w:div>
    <w:div w:id="956449408">
      <w:bodyDiv w:val="1"/>
      <w:marLeft w:val="0"/>
      <w:marRight w:val="0"/>
      <w:marTop w:val="0"/>
      <w:marBottom w:val="0"/>
      <w:divBdr>
        <w:top w:val="none" w:sz="0" w:space="0" w:color="auto"/>
        <w:left w:val="none" w:sz="0" w:space="0" w:color="auto"/>
        <w:bottom w:val="none" w:sz="0" w:space="0" w:color="auto"/>
        <w:right w:val="none" w:sz="0" w:space="0" w:color="auto"/>
      </w:divBdr>
    </w:div>
    <w:div w:id="1123840592">
      <w:bodyDiv w:val="1"/>
      <w:marLeft w:val="0"/>
      <w:marRight w:val="0"/>
      <w:marTop w:val="0"/>
      <w:marBottom w:val="0"/>
      <w:divBdr>
        <w:top w:val="none" w:sz="0" w:space="0" w:color="auto"/>
        <w:left w:val="none" w:sz="0" w:space="0" w:color="auto"/>
        <w:bottom w:val="none" w:sz="0" w:space="0" w:color="auto"/>
        <w:right w:val="none" w:sz="0" w:space="0" w:color="auto"/>
      </w:divBdr>
    </w:div>
    <w:div w:id="1363676441">
      <w:bodyDiv w:val="1"/>
      <w:marLeft w:val="0"/>
      <w:marRight w:val="0"/>
      <w:marTop w:val="0"/>
      <w:marBottom w:val="0"/>
      <w:divBdr>
        <w:top w:val="none" w:sz="0" w:space="0" w:color="auto"/>
        <w:left w:val="none" w:sz="0" w:space="0" w:color="auto"/>
        <w:bottom w:val="none" w:sz="0" w:space="0" w:color="auto"/>
        <w:right w:val="none" w:sz="0" w:space="0" w:color="auto"/>
      </w:divBdr>
    </w:div>
    <w:div w:id="1503544691">
      <w:bodyDiv w:val="1"/>
      <w:marLeft w:val="0"/>
      <w:marRight w:val="0"/>
      <w:marTop w:val="0"/>
      <w:marBottom w:val="0"/>
      <w:divBdr>
        <w:top w:val="none" w:sz="0" w:space="0" w:color="auto"/>
        <w:left w:val="none" w:sz="0" w:space="0" w:color="auto"/>
        <w:bottom w:val="none" w:sz="0" w:space="0" w:color="auto"/>
        <w:right w:val="none" w:sz="0" w:space="0" w:color="auto"/>
      </w:divBdr>
      <w:divsChild>
        <w:div w:id="370694194">
          <w:marLeft w:val="446"/>
          <w:marRight w:val="0"/>
          <w:marTop w:val="0"/>
          <w:marBottom w:val="0"/>
          <w:divBdr>
            <w:top w:val="none" w:sz="0" w:space="0" w:color="auto"/>
            <w:left w:val="none" w:sz="0" w:space="0" w:color="auto"/>
            <w:bottom w:val="none" w:sz="0" w:space="0" w:color="auto"/>
            <w:right w:val="none" w:sz="0" w:space="0" w:color="auto"/>
          </w:divBdr>
        </w:div>
        <w:div w:id="563376820">
          <w:marLeft w:val="446"/>
          <w:marRight w:val="0"/>
          <w:marTop w:val="0"/>
          <w:marBottom w:val="0"/>
          <w:divBdr>
            <w:top w:val="none" w:sz="0" w:space="0" w:color="auto"/>
            <w:left w:val="none" w:sz="0" w:space="0" w:color="auto"/>
            <w:bottom w:val="none" w:sz="0" w:space="0" w:color="auto"/>
            <w:right w:val="none" w:sz="0" w:space="0" w:color="auto"/>
          </w:divBdr>
        </w:div>
        <w:div w:id="740099423">
          <w:marLeft w:val="446"/>
          <w:marRight w:val="0"/>
          <w:marTop w:val="0"/>
          <w:marBottom w:val="0"/>
          <w:divBdr>
            <w:top w:val="none" w:sz="0" w:space="0" w:color="auto"/>
            <w:left w:val="none" w:sz="0" w:space="0" w:color="auto"/>
            <w:bottom w:val="none" w:sz="0" w:space="0" w:color="auto"/>
            <w:right w:val="none" w:sz="0" w:space="0" w:color="auto"/>
          </w:divBdr>
        </w:div>
        <w:div w:id="919756608">
          <w:marLeft w:val="446"/>
          <w:marRight w:val="0"/>
          <w:marTop w:val="0"/>
          <w:marBottom w:val="0"/>
          <w:divBdr>
            <w:top w:val="none" w:sz="0" w:space="0" w:color="auto"/>
            <w:left w:val="none" w:sz="0" w:space="0" w:color="auto"/>
            <w:bottom w:val="none" w:sz="0" w:space="0" w:color="auto"/>
            <w:right w:val="none" w:sz="0" w:space="0" w:color="auto"/>
          </w:divBdr>
        </w:div>
        <w:div w:id="1283000866">
          <w:marLeft w:val="446"/>
          <w:marRight w:val="0"/>
          <w:marTop w:val="0"/>
          <w:marBottom w:val="0"/>
          <w:divBdr>
            <w:top w:val="none" w:sz="0" w:space="0" w:color="auto"/>
            <w:left w:val="none" w:sz="0" w:space="0" w:color="auto"/>
            <w:bottom w:val="none" w:sz="0" w:space="0" w:color="auto"/>
            <w:right w:val="none" w:sz="0" w:space="0" w:color="auto"/>
          </w:divBdr>
        </w:div>
        <w:div w:id="1321035062">
          <w:marLeft w:val="446"/>
          <w:marRight w:val="0"/>
          <w:marTop w:val="0"/>
          <w:marBottom w:val="0"/>
          <w:divBdr>
            <w:top w:val="none" w:sz="0" w:space="0" w:color="auto"/>
            <w:left w:val="none" w:sz="0" w:space="0" w:color="auto"/>
            <w:bottom w:val="none" w:sz="0" w:space="0" w:color="auto"/>
            <w:right w:val="none" w:sz="0" w:space="0" w:color="auto"/>
          </w:divBdr>
        </w:div>
        <w:div w:id="1624772421">
          <w:marLeft w:val="446"/>
          <w:marRight w:val="0"/>
          <w:marTop w:val="0"/>
          <w:marBottom w:val="0"/>
          <w:divBdr>
            <w:top w:val="none" w:sz="0" w:space="0" w:color="auto"/>
            <w:left w:val="none" w:sz="0" w:space="0" w:color="auto"/>
            <w:bottom w:val="none" w:sz="0" w:space="0" w:color="auto"/>
            <w:right w:val="none" w:sz="0" w:space="0" w:color="auto"/>
          </w:divBdr>
        </w:div>
        <w:div w:id="1796679842">
          <w:marLeft w:val="446"/>
          <w:marRight w:val="0"/>
          <w:marTop w:val="0"/>
          <w:marBottom w:val="0"/>
          <w:divBdr>
            <w:top w:val="none" w:sz="0" w:space="0" w:color="auto"/>
            <w:left w:val="none" w:sz="0" w:space="0" w:color="auto"/>
            <w:bottom w:val="none" w:sz="0" w:space="0" w:color="auto"/>
            <w:right w:val="none" w:sz="0" w:space="0" w:color="auto"/>
          </w:divBdr>
        </w:div>
        <w:div w:id="1964992932">
          <w:marLeft w:val="446"/>
          <w:marRight w:val="0"/>
          <w:marTop w:val="0"/>
          <w:marBottom w:val="0"/>
          <w:divBdr>
            <w:top w:val="none" w:sz="0" w:space="0" w:color="auto"/>
            <w:left w:val="none" w:sz="0" w:space="0" w:color="auto"/>
            <w:bottom w:val="none" w:sz="0" w:space="0" w:color="auto"/>
            <w:right w:val="none" w:sz="0" w:space="0" w:color="auto"/>
          </w:divBdr>
        </w:div>
      </w:divsChild>
    </w:div>
    <w:div w:id="2143649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7.tiff"/><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tiff"/><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svg"/><Relationship Id="rId30" Type="http://schemas.openxmlformats.org/officeDocument/2006/relationships/image" Target="media/image22.png"/><Relationship Id="rId35" Type="http://schemas.openxmlformats.org/officeDocument/2006/relationships/image" Target="media/image27.tiff"/><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14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9D87474-3EBB-4ACC-A135-BD365A3CA97B}">
  <we:reference id="wa200005121" version="1.2.0.0" store="en-US" storeType="OMEX"/>
  <we:alternateReferences>
    <we:reference id="wa20000512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f55d08a-0069-40d8-a291-75548a5ec77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6FF1348B5A57BF46B7804D7D36612614" ma:contentTypeVersion="17" ma:contentTypeDescription="Ustvari nov dokument." ma:contentTypeScope="" ma:versionID="42c98733484f0617f77bd98af01932cd">
  <xsd:schema xmlns:xsd="http://www.w3.org/2001/XMLSchema" xmlns:xs="http://www.w3.org/2001/XMLSchema" xmlns:p="http://schemas.microsoft.com/office/2006/metadata/properties" xmlns:ns3="4f55d08a-0069-40d8-a291-75548a5ec777" xmlns:ns4="9fd6fad8-3284-496a-bbed-7d967a3b87d0" targetNamespace="http://schemas.microsoft.com/office/2006/metadata/properties" ma:root="true" ma:fieldsID="ed2b79974da54f11581300a0fb084b22" ns3:_="" ns4:_="">
    <xsd:import namespace="4f55d08a-0069-40d8-a291-75548a5ec777"/>
    <xsd:import namespace="9fd6fad8-3284-496a-bbed-7d967a3b87d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55d08a-0069-40d8-a291-75548a5ec7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fd6fad8-3284-496a-bbed-7d967a3b87d0" elementFormDefault="qualified">
    <xsd:import namespace="http://schemas.microsoft.com/office/2006/documentManagement/types"/>
    <xsd:import namespace="http://schemas.microsoft.com/office/infopath/2007/PartnerControls"/>
    <xsd:element name="SharedWithUsers" ma:index="16" nillable="true" ma:displayName="V skupni rabi z"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V skupni rabi s podrobnostmi" ma:internalName="SharedWithDetails" ma:readOnly="true">
      <xsd:simpleType>
        <xsd:restriction base="dms:Note">
          <xsd:maxLength value="255"/>
        </xsd:restriction>
      </xsd:simpleType>
    </xsd:element>
    <xsd:element name="SharingHintHash" ma:index="18" nillable="true" ma:displayName="Razprševanje namiga za skupno rab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vsebine"/>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CB1D082-108D-4016-BE22-996FF71F1DAB}">
  <ds:schemaRefs>
    <ds:schemaRef ds:uri="http://schemas.microsoft.com/office/2006/metadata/properties"/>
    <ds:schemaRef ds:uri="http://schemas.microsoft.com/office/infopath/2007/PartnerControls"/>
    <ds:schemaRef ds:uri="4f55d08a-0069-40d8-a291-75548a5ec777"/>
  </ds:schemaRefs>
</ds:datastoreItem>
</file>

<file path=customXml/itemProps2.xml><?xml version="1.0" encoding="utf-8"?>
<ds:datastoreItem xmlns:ds="http://schemas.openxmlformats.org/officeDocument/2006/customXml" ds:itemID="{3A420A34-C6C1-4133-B131-788AAF7A79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55d08a-0069-40d8-a291-75548a5ec777"/>
    <ds:schemaRef ds:uri="9fd6fad8-3284-496a-bbed-7d967a3b87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8E5364C-18B7-4A54-8C36-D94A2C71CA85}">
  <ds:schemaRefs>
    <ds:schemaRef ds:uri="http://schemas.openxmlformats.org/officeDocument/2006/bibliography"/>
  </ds:schemaRefs>
</ds:datastoreItem>
</file>

<file path=customXml/itemProps4.xml><?xml version="1.0" encoding="utf-8"?>
<ds:datastoreItem xmlns:ds="http://schemas.openxmlformats.org/officeDocument/2006/customXml" ds:itemID="{ED432E98-C80D-4A90-9378-7B34A112963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11209</TotalTime>
  <Pages>35</Pages>
  <Words>6557</Words>
  <Characters>37376</Characters>
  <Application>Microsoft Office Word</Application>
  <DocSecurity>0</DocSecurity>
  <Lines>311</Lines>
  <Paragraphs>87</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43846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29</cp:revision>
  <dcterms:created xsi:type="dcterms:W3CDTF">2024-12-20T11:57:00Z</dcterms:created>
  <dcterms:modified xsi:type="dcterms:W3CDTF">2025-10-10T13:35:00Z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0x0101006FF1348B5A57BF46B7804D7D36612614</vt:lpwstr>
  </property>
  <property fmtid="{D5CDD505-2E9C-101B-9397-08002B2CF9AE}" pid="3" name="ZOTERO_PREF_1">
    <vt:lpwstr>&lt;data data-version="3" zotero-version="7.0.9"&gt;&lt;session id="Dxt6p0iq"/&gt;&lt;style id="http://www.zotero.org/styles/apa" locale="en-US" hasBibliography="1" bibliographyStyleHasBeenSet="0"/&gt;&lt;prefs&gt;&lt;pref name="fieldType" value="Field"/&gt;&lt;pref name="automaticJourna</vt:lpwstr>
  </property>
  <property fmtid="{D5CDD505-2E9C-101B-9397-08002B2CF9AE}" pid="4" name="ZOTERO_PREF_2">
    <vt:lpwstr>lAbbreviations" value="true"/&gt;&lt;/prefs&gt;&lt;/data&gt;</vt:lpwstr>
  </property>
</Properties>
</file>